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/>
        </w:rPr>
        <w:t>陕西省用能预算管理实施方案（试行）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/>
        </w:rPr>
        <w:cr/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t>（征求意见稿）</w:t>
      </w:r>
      <w:bookmarkStart w:id="0" w:name="_GoBack"/>
      <w:bookmarkEnd w:id="0"/>
    </w:p>
    <w:p>
      <w:pPr>
        <w:pStyle w:val="2"/>
        <w:rPr>
          <w:rFonts w:hint="eastAsia"/>
          <w:lang w:val="en-US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为深入贯彻党中央、国务院和省委、省政府能耗双控的决策部署，大力推进经济社会发展绿色转型，确保完成全省“十四五”能耗双控目标任务，助力实现碳达峰碳中和目标，根据《国务院关于印发2030年前碳达峰行动方案的通知》（国发〔2021〕23号）《陕西省人民政府关于印发碳达峰实施方案的通知》（陕政发〔2022〕18号）《陕西省人民政府关于印发“十四五”节能减排综合工作实施方案的通知》（陕政发〔2022〕25号）等文件要求，现就我省重点行业企业开展用能预算管理制定如下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（以下简称《方案》）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  <w:t>一、重点行业企业范围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钢铁（31）、有色（32）、建材（30）、石化（25）、化工（26）等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高耗能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行业年综合能源消费量1万吨标准煤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（全口径）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及以上的重点用能企业。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  <w:t>二、用能预算管理原则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依据企业用能基准指标，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综合考虑企业单位产品能效水平、工业增加值（产值）能耗强度等因素，确定企业年度用能预算目标。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t>用能基准指标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t>确定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1.存量企业：指2020年底前建成投产入统的企业。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用能基准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企业2020年度经审核的能源利用状况报告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值或行业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基准水平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合法建成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产能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测算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确定（二者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取小值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2020年生产不正常的，取前3年能源消费总量平均值；前3年生产不正常的，取前5年能源消费总量平均值。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行业基准水平见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《工业重点领域能效标杆水平和基准水平（2023年版）》（发改产业〔2023〕723号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，以下同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企业：指“十四五”期间建成投产入统的企业。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基准指标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节能审查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批复意见和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u w:val="none"/>
          <w:lang w:val="en-US" w:eastAsia="zh-CN"/>
        </w:rPr>
        <w:t>节能验收结果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确定（二者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取小值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t>（二）年度用能预算指标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t>确定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企业年度用能预算指标=用能基准指标×（单位产品能效系数+单位工业增加值强度系数）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.单位产品能效系数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确定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（1）单位产品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能效系数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发改产业〔2023〕723号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明确的重点领域标准水平和基准水平确定，达到标杆水平的，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能效系数取0.5；达到基准水平的取0.4；未达到基准水平的取0.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对重点领域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的行业，依据国家现行能耗限额标准确定能效水平系数，单位产品能效达到先进值的，能效系数取0.5；达到准入值的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0.4；达到限定值的取0.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25；未达到限定值的，不得用能。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没有能耗标准的，对标行业、团体标准或同类型项目能效水平进行评价，确定能效系数。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企业生产多种产品的，能效系数取各产品系数的加权平均值。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.单位工业增加值强度系数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/>
        </w:rPr>
        <w:t>确定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企业单位工业增加值能耗与全省规上工业单位工业增加值能耗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：强度系数=0.5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×全省规上工业单位增加值能耗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企业单位工业增加值能耗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企业工业增加值按生产法计算，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综合能源消费量按等价值计算。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3.重点用能企业可再生能源电力消费（以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为凭证）比例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须达到总用电量的30%以上。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硅铁、电石、电解铝、多晶硅、工业硅等用电量大的行业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可再生能源电力消费（以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为凭证）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比例达到60%以上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的，不受年度用能预算指标限制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  <w:t>三、用能预算执行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《方案》印发15日内，各市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（区）发展改革部门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企业用能基准指标及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年度用能预算指标。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从2024年起，每年一季度确定企业本年度用能预算指标，并报备省发展改革委。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审核方式可自行组织或委托第三方机构审核。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各市（区）发展改革部门确定重点企业年度用能预算指标后，应及时公示。企业如有异议，在公示期间以书面形式向市（区）发展改革部门提交复核申请。各市（区）发展改革部门应及时进行复核，并将结果告知相关企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（二）企业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年度用能预算指标,制定用能预算管理方案，落实节能管理制度，加强用能管理，有序用能。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各市（区）发展改革部门应依托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全省重点用能单位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能耗在线监测平台对企业能源消费及用能预算执行情况实行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监测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预警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、年结算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。对超出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年度用能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预算指标的企业，通过市场化交易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、购买绿电（以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绿证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为凭证）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等方式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足超额用能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要求；对超预算用能、未按以上方式满足用能需要的，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对应扣减下年度用能预算指标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，同时用好用足煤电市场交易电价政策，企业下年度市场交易电价上浮不受20%的限制，并将有关情况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纳入信用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平台，严重失信的实行联合惩戒。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各市（区）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发展改革部门将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企业用能预算管理情况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纳入目标责任考核。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发展改革委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各市（区）用能预算管理情况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纳入能耗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，组织专家或委托第三方对企业用能预算执行情况进行抽查复核。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对用能预算指标控制好的企业，各市（区）发展改革部门可视情予以表彰奖励。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（五）企业年度用能预算结余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能耗指标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，由省、市（区）发展改革部门统筹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交易获得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用能指标仅在交易当年有效。交易可通过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公共资源交易平台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在市域内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采用定价转让或竞拍转让方式，也可通过省公共资源交易平台跨市（区）交易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交易资金可用于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助企业节能降碳技术改造。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但企业通过节能技改节约的用能指标，交易所得归企业所有。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（六）对企业虚报、瞒报、漏报的用能量，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发展改革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部门在确定下年度用能预算时，核减20%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用能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指标。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  <w:t>四、加强组织领导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/>
        </w:rPr>
        <w:cr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各市（区）发展改革部门要高度重视用能预算管理，抓紧编制本地区重点行业企业用能预算分配方案，尽快上报各市（区）重点行业企业能源消费预算汇总表（见附件），落实中省有关文件精神，推动各项节能管控措施，确保各重点企业按照年度用能预算指标合理有序用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高耗能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行业重点企业能源消费预算汇总表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cr/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高耗能行业重点企业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能源消费预算汇总表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tbl>
      <w:tblPr>
        <w:tblStyle w:val="7"/>
        <w:tblW w:w="14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36"/>
        <w:gridCol w:w="1334"/>
        <w:gridCol w:w="1049"/>
        <w:gridCol w:w="1179"/>
        <w:gridCol w:w="1003"/>
        <w:gridCol w:w="988"/>
        <w:gridCol w:w="1179"/>
        <w:gridCol w:w="1192"/>
        <w:gridCol w:w="1192"/>
        <w:gridCol w:w="1192"/>
        <w:gridCol w:w="1192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、县）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单位产品能耗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单位工业增加值能耗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lang w:val="en-US" w:eastAsia="zh-CN"/>
              </w:rPr>
              <w:t>用能预算基准指标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（万吨标煤）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本年度用能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指标（万吨标煤）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本年度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实际用能指标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（万吨标煤）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通过交易获得的用能指标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（万吨标煤）</w:t>
            </w: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下年度用能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指标（万吨标煤）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B02E6"/>
    <w:multiLevelType w:val="singleLevel"/>
    <w:tmpl w:val="BBFB02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FEA196"/>
    <w:multiLevelType w:val="singleLevel"/>
    <w:tmpl w:val="FBFEA1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F7C018"/>
    <w:multiLevelType w:val="singleLevel"/>
    <w:tmpl w:val="5EF7C0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FFD2FAFC"/>
    <w:rsid w:val="1B9B2FDB"/>
    <w:rsid w:val="1EF3CC2D"/>
    <w:rsid w:val="5A045F85"/>
    <w:rsid w:val="5BFF8330"/>
    <w:rsid w:val="5FBD58BC"/>
    <w:rsid w:val="6A6FC0F5"/>
    <w:rsid w:val="79EF3FB2"/>
    <w:rsid w:val="7B3BE7E6"/>
    <w:rsid w:val="7FAF6DE7"/>
    <w:rsid w:val="7FE933C2"/>
    <w:rsid w:val="7FEF4A73"/>
    <w:rsid w:val="BD5F6966"/>
    <w:rsid w:val="BFA34FB1"/>
    <w:rsid w:val="CEFE4EA6"/>
    <w:rsid w:val="CFFFF52C"/>
    <w:rsid w:val="D4BD88CE"/>
    <w:rsid w:val="DFDDC7AE"/>
    <w:rsid w:val="F9DEBCBE"/>
    <w:rsid w:val="FB8F2170"/>
    <w:rsid w:val="FBD76BE1"/>
    <w:rsid w:val="FDFFB978"/>
    <w:rsid w:val="FEDFF5D1"/>
    <w:rsid w:val="FEFC857A"/>
    <w:rsid w:val="FF4FA8C8"/>
    <w:rsid w:val="FFD2FAFC"/>
    <w:rsid w:val="FFD77BDD"/>
    <w:rsid w:val="FF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  <w:rPr>
      <w:rFonts w:eastAsia="楷体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2023-05-13T08:39:00Z</dcterms:created>
  <dc:creator>guest</dc:creator>
  <cp:lastModifiedBy>WPS_1601169991</cp:lastModifiedBy>
  <cp:lastPrinted>2023-10-27T01:37:00Z</cp:lastPrinted>
  <dcterms:modified xsi:type="dcterms:W3CDTF">2023-10-27T06:48:32Z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C3B105FAF46648ECAF1E23392A50C8E8_13</vt:lpwstr>
  </property>
</Properties>
</file>