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default" w:ascii="仿宋_GB2312" w:eastAsia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</w:rPr>
        <w:t>　</w:t>
      </w:r>
      <w:r>
        <w:rPr>
          <w:rFonts w:hint="default" w:ascii="方正小标宋简体" w:eastAsia="方正小标宋简体"/>
          <w:sz w:val="44"/>
          <w:szCs w:val="44"/>
        </w:rPr>
        <w:t>陕西</w:t>
      </w:r>
      <w:r>
        <w:rPr>
          <w:rFonts w:hint="eastAsia" w:ascii="方正小标宋简体" w:eastAsia="方正小标宋简体"/>
          <w:sz w:val="44"/>
          <w:szCs w:val="44"/>
        </w:rPr>
        <w:t>省公办高等学校学生公寓收费管理办法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</w:rPr>
        <w:t>（征求意见稿）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="3461" w:leftChars="0"/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left="3461"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32"/>
          <w:szCs w:val="32"/>
          <w:lang w:val="en-US" w:eastAsia="zh-CN"/>
        </w:rPr>
        <w:t>第一章  总 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20" w:lineRule="atLeas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我省公办高等学校（以下简称公办高校）学生公寓收费管理，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维护学生和学校的合法权益，促进教育事业健康发展，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根据国家公办高校收费管理有关规定,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陕西省行政区域内</w:t>
      </w:r>
      <w:r>
        <w:rPr>
          <w:rFonts w:hint="eastAsia" w:ascii="仿宋_GB2312" w:hAnsi="仿宋_GB2312" w:eastAsia="仿宋_GB2312" w:cs="仿宋_GB2312"/>
          <w:sz w:val="32"/>
          <w:szCs w:val="32"/>
        </w:rPr>
        <w:t>公办高校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学生公寓住宿收费及管理适用本办法。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第三条  公办高校为学生提供住宿服务，可向学生收取住宿费。</w:t>
      </w:r>
      <w:r>
        <w:rPr>
          <w:rFonts w:hint="eastAsia" w:ascii="仿宋_GB2312" w:hAnsi="仿宋_GB2312" w:eastAsia="仿宋_GB2312" w:cs="仿宋_GB2312"/>
          <w:sz w:val="32"/>
          <w:szCs w:val="32"/>
        </w:rPr>
        <w:t>住宿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不以营利为目的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，体现</w:t>
      </w:r>
      <w:r>
        <w:rPr>
          <w:rFonts w:hint="eastAsia" w:ascii="仿宋_GB2312" w:hAnsi="仿宋_GB2312" w:eastAsia="仿宋_GB2312" w:cs="仿宋_GB2312"/>
          <w:sz w:val="32"/>
          <w:szCs w:val="32"/>
        </w:rPr>
        <w:t>同质同价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优质优价的原则。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firstLine="3200" w:firstLineChars="1000"/>
        <w:jc w:val="both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32"/>
          <w:szCs w:val="32"/>
          <w:lang w:val="en-US" w:eastAsia="zh-CN"/>
        </w:rPr>
        <w:t>第二章 收费标准的制定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公办高校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住宿费，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根据学生公寓室内生均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建筑</w:t>
      </w:r>
      <w:r>
        <w:rPr>
          <w:rFonts w:hint="eastAsia" w:ascii="仿宋_GB2312" w:hAnsi="仿宋_GB2312" w:eastAsia="仿宋_GB2312" w:cs="仿宋_GB2312"/>
          <w:sz w:val="32"/>
          <w:szCs w:val="32"/>
        </w:rPr>
        <w:t>面积、基础设施、管理服务等条件划分为三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</w:rPr>
        <w:t>，收费标准实行最高限价管理。公办高校在各类最高收费标准范围内确定具体收费标准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学生公寓分类及最高收费标准见附件。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第五条  新建或改扩建学生公寓，按照</w:t>
      </w:r>
      <w:r>
        <w:rPr>
          <w:rFonts w:hint="eastAsia" w:ascii="仿宋_GB2312" w:hAnsi="仿宋" w:eastAsia="仿宋_GB2312"/>
          <w:sz w:val="32"/>
          <w:szCs w:val="32"/>
        </w:rPr>
        <w:t>住宿费标准分类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件，收费标准抄送省级价格、财政、教育主管部门，公示后按附表标准收费；条件设施明显高于所列标准，最高住宿费标准仍无法弥补其成本支出的，住宿费标准可由公办高校提出申请，省级教育主管部门综合考虑实际建设成本、学校住宿条件、经济发展水平等因素提出意见，经省级价格、财政部门审核后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第六条  申报新建学生公寓收费标准时，公办高校应向价格、财政、教育主管部门提供：学生公寓立项批文、土地使用权证、工程质量验收和消防设施验收证明文件，学生公寓建筑面积、宿舍使用面积、设施配备及住宿安排情况等。非学校投资建设的学生公寓，还应提供与有关学校签订的书面协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教育主管部门应提供：申请制定收费标准的方案、依据和理由以及成本测算材料。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申请人应当对提供材料的真实性、完整性、合法性负责。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firstLine="2240" w:firstLineChars="7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32"/>
          <w:szCs w:val="32"/>
          <w:lang w:val="en-US" w:eastAsia="zh-CN"/>
        </w:rPr>
        <w:t>第三章  收费项目的管理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atLeas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第七条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办高校向入住学生按学期或学年收取住宿费，不得跨学年预收。对其他社会组织和个人出资修建供公办高校使用，或公办高校根据需求购买其服务的学生公寓，应由学校统一管理，统一收费，社会组织或个人不得收取住宿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对寒暑假期间未离校的学生，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应当妥善安排住宿，不得另行收取住宿费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按规定离校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实习、访学或休学时间满一个学期</w:t>
      </w:r>
      <w:r>
        <w:rPr>
          <w:rFonts w:hint="eastAsia" w:ascii="仿宋_GB2312" w:hAnsi="仿宋_GB2312" w:eastAsia="仿宋_GB2312" w:cs="仿宋_GB2312"/>
          <w:sz w:val="32"/>
          <w:szCs w:val="32"/>
        </w:rPr>
        <w:t>且未占用床位的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，期间不收取</w:t>
      </w:r>
      <w:r>
        <w:rPr>
          <w:rFonts w:hint="eastAsia" w:ascii="仿宋_GB2312" w:hAnsi="仿宋_GB2312" w:eastAsia="仿宋_GB2312" w:cs="仿宋_GB2312"/>
          <w:sz w:val="32"/>
          <w:szCs w:val="32"/>
        </w:rPr>
        <w:t>住宿费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家庭经济困难学生按照国家有关规定享受住宿费减免政策，减免幅度由学校确定。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学生因故休学、转学、退学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以及其他原因未发生住宿而申请退费的，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高校应根据其实际住宿时间，按月计退住宿费。住宿费计退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=学年住宿费标准×（10-学生实际在校月数），在校时间未满一个月按一个月计算。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退费应自学生申请之日起10个工作日办结。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在保证学生正常学习、生活用水、用电和具备计量条件的前提下，学生公寓用水、用电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实行定额管理，具体定额标准由各公办高校自主确定。学生公寓用水、用电在定额范围内的不收费（每学年按10个月计），超额部分按居民生活用水、用电价格向学生收取。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atLeast"/>
        <w:ind w:firstLine="720" w:firstLineChars="22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公办高校在学生自愿前提下安装的空调，可按照非营利原则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据实</w:t>
      </w:r>
      <w:r>
        <w:rPr>
          <w:rFonts w:hint="eastAsia" w:ascii="仿宋_GB2312" w:hAnsi="仿宋_GB2312" w:eastAsia="仿宋_GB2312" w:cs="仿宋_GB2312"/>
          <w:sz w:val="32"/>
          <w:szCs w:val="32"/>
        </w:rPr>
        <w:t>收取空调折旧费。空调折旧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</w:rPr>
        <w:t>按年分摊，具体管理和收费办法由各公办高校合理确定，每学年公布一次运行成本。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atLeast"/>
        <w:ind w:left="10" w:leftChars="5" w:firstLine="457" w:firstLineChars="1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公办高校学生住宿实行公寓化管理，每栋楼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设专人负责安全保卫、公寓文化建设、公共场所保洁、收发传达等工作；公寓显著位置应公布学生公寓管理规定、管理人员联系方式等内容。学生公寓床上用品学校可统一规格由学生自备，不得统一采购、强制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atLeast"/>
        <w:ind w:left="-14" w:leftChars="-7" w:firstLine="652" w:firstLineChars="20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办高校学生公寓执行收费公示制度。学校在招生简章和录取通知书中，应当注明不同类别学生公寓的住宿费标准，供学生选择。学校要在醒目位置和收费窗口向学生公示公寓楼号、公寓条件、收费标准和用水、用电定额标准及收费有关情况，不得以任何借口、任何形式向住宿学生收取押金，更不得向学生强制服务、变相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atLeast"/>
        <w:ind w:firstLine="720" w:firstLineChars="22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公办高校学生公寓住宿费收入由学校统筹并纳入学校预算经费，通过陕西省非税收入收缴管理系统缴入同级财政专户，实行收支两条线管理，使用省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部门监（印）制的财政票据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atLeast"/>
        <w:ind w:firstLine="720" w:firstLineChars="22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numPr>
          <w:ilvl w:val="0"/>
          <w:numId w:val="0"/>
        </w:numPr>
        <w:ind w:firstLine="2880" w:firstLineChars="900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32"/>
          <w:szCs w:val="32"/>
          <w:lang w:val="en-US" w:eastAsia="zh-CN"/>
        </w:rPr>
        <w:t>第四章  监督检查及其他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atLeast"/>
        <w:ind w:firstLine="720" w:firstLineChars="22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非全日制研究生的住宿费在学校满足全日制硕士、博士研究生基本住宿需求的前提下，可按照成本补偿的原则确定，由学生自愿选择，按协议收费。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atLeast"/>
        <w:ind w:firstLine="720" w:firstLineChars="22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公办中等专业学校学生公寓住宿费标准及公寓管理办法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参照</w:t>
      </w:r>
      <w:r>
        <w:rPr>
          <w:rFonts w:hint="eastAsia" w:ascii="仿宋_GB2312" w:hAnsi="仿宋_GB2312" w:eastAsia="仿宋_GB2312" w:cs="仿宋_GB2312"/>
          <w:sz w:val="32"/>
          <w:szCs w:val="32"/>
        </w:rPr>
        <w:t>上述规定执行。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atLeast"/>
        <w:ind w:firstLine="720" w:firstLineChars="22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学生公寓住宿费收取实行“老生老办法、新生新办法”。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atLeast"/>
        <w:ind w:firstLine="720" w:firstLineChars="225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价格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、财政、教育、市场监管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主管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部门应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在职权范围内加强对公办高校学生公寓收费行为的监管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和监督检查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对违反国家法律法规、政策和本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办法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规定的行为，由市场监管部门依照《中华人民共和国价格法》和《价格违法行为行政处罚规定》等法律法规实施行政处罚。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atLeast"/>
        <w:ind w:firstLine="720" w:firstLineChars="225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自2022年  月  日起施行。</w:t>
      </w:r>
      <w:r>
        <w:rPr>
          <w:rFonts w:hint="eastAsia" w:ascii="仿宋_GB2312" w:hAnsi="仿宋_GB2312" w:eastAsia="仿宋_GB2312" w:cs="仿宋_GB2312"/>
          <w:sz w:val="32"/>
          <w:szCs w:val="32"/>
        </w:rPr>
        <w:t>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</w:rPr>
        <w:t>省物价局、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</w:rPr>
        <w:t>省财政厅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、陕西省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教育厅《关于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我省公办高等学校学生公寓收费管理有关问题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</w:t>
      </w:r>
      <w:r>
        <w:rPr>
          <w:rFonts w:hint="eastAsia" w:ascii="仿宋_GB2312" w:hAnsi="仿宋_GB2312" w:eastAsia="仿宋_GB2312" w:cs="仿宋_GB2312"/>
          <w:sz w:val="32"/>
          <w:szCs w:val="32"/>
        </w:rPr>
        <w:t>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atLeas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附件：陕西省公办高校学生公寓住宿费标准分类表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atLeas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atLeast"/>
        <w:textAlignment w:val="auto"/>
        <w:rPr>
          <w:rFonts w:hint="eastAsia" w:ascii="仿宋_GB2312" w:eastAsia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atLeast"/>
        <w:textAlignment w:val="auto"/>
        <w:rPr>
          <w:rFonts w:hint="eastAsia" w:ascii="仿宋_GB2312" w:eastAsia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atLeast"/>
        <w:ind w:firstLine="3480" w:firstLineChars="1450"/>
        <w:textAlignment w:val="auto"/>
        <w:rPr>
          <w:rFonts w:ascii="仿宋_GB2312" w:eastAsia="仿宋_GB2312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701" w:right="1304" w:bottom="1418" w:left="1531" w:header="851" w:footer="992" w:gutter="0"/>
          <w:pgNumType w:start="1"/>
          <w:cols w:space="720" w:num="1"/>
          <w:titlePg/>
          <w:docGrid w:type="linesAndChars" w:linePitch="312" w:charSpace="0"/>
        </w:sectPr>
      </w:pPr>
    </w:p>
    <w:p>
      <w:pPr>
        <w:spacing w:line="34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</w:p>
    <w:p>
      <w:pPr>
        <w:spacing w:before="312" w:beforeLines="100" w:after="312" w:afterLines="100" w:line="6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陕西省公办高校学生公寓住宿费标准分类表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6579"/>
        <w:gridCol w:w="1736"/>
        <w:gridCol w:w="2198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70" w:type="dxa"/>
            <w:vMerge w:val="restart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学生公寓类别</w:t>
            </w:r>
          </w:p>
        </w:tc>
        <w:tc>
          <w:tcPr>
            <w:tcW w:w="6579" w:type="dxa"/>
            <w:vMerge w:val="restart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学生公寓条件</w:t>
            </w:r>
          </w:p>
        </w:tc>
        <w:tc>
          <w:tcPr>
            <w:tcW w:w="3934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住宿费标准（元/生学年）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579" w:type="dxa"/>
            <w:vMerge w:val="continue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设室内卫生间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设公用卫生间</w:t>
            </w: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一类</w:t>
            </w:r>
          </w:p>
        </w:tc>
        <w:tc>
          <w:tcPr>
            <w:tcW w:w="6579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生均建筑面积不少于8平方米，每室入住4人或6人，实行单人单床住宿方式，冬有暖气、夏有电扇，引入信息网络专线，每人均配有独立的衣柜、物品柜、书架、椅子等，并有专人负责公共区域清洁卫生和安全保卫工作。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1200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1100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7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二类</w:t>
            </w:r>
          </w:p>
        </w:tc>
        <w:tc>
          <w:tcPr>
            <w:tcW w:w="6579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生均建筑面积不少于6平方米，每室入住6人，实行架子床住宿方式，冬有暖气、夏有电扇，引入信息网络专线，有专人负责公共区域清洁卫生和安全保卫工作。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1000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900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97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6579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生均建筑面积不少于6平方米，每室入住6人，实行单人单床住宿方式，冬有暖气、夏有电扇，引入信息网络专线，每人均配有独立的衣柜、物品柜、书架、椅子等，并有专人负责公共区域清洁卫生和安全保卫工作。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1100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1000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三类</w:t>
            </w:r>
          </w:p>
        </w:tc>
        <w:tc>
          <w:tcPr>
            <w:tcW w:w="6579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生均建筑面积不少于4平方米，每室入住不超过8人，实行上下架子床住宿方式。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800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冬有暖气、夏有电扇650，冬季无暖气500。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>
      <w:pPr>
        <w:spacing w:line="420" w:lineRule="exac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注：1、学生公寓条件介于两类之间的，按高于较低类别收费标准低于较高类别收费标准的原则，由各学校自主确定具体收费标准。</w:t>
      </w:r>
    </w:p>
    <w:p>
      <w:pPr>
        <w:spacing w:line="420" w:lineRule="exact"/>
        <w:ind w:firstLine="240" w:firstLineChars="100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304" w:right="1418" w:bottom="1531" w:left="1701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" w:eastAsia="仿宋_GB231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492760</wp:posOffset>
                </wp:positionV>
                <wp:extent cx="466725" cy="297180"/>
                <wp:effectExtent l="0" t="0" r="9525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8pt;margin-top:38.8pt;height:23.4pt;width:36.75pt;z-index:251659264;mso-width-relative:page;mso-height-relative:page;" stroked="f" coordsize="21600,21600" o:gfxdata="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CWCyV2AAAAAoBAAAPAAAAAAAAAAEAIAAAACIAAABkcnMvZG93bnJldi54&#10;bWxQSwECFAAUAAAACACHTuJA7uPQUcEBAAB2AwAADgAAAAAAAAABACAAAAAnAQAAZHJzL2Uyb0Rv&#10;Yy54bWxQSwUGAAAAAAYABgBZAQAAWgUAAAAA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" w:eastAsia="仿宋_GB2312"/>
          <w:sz w:val="24"/>
        </w:rPr>
        <w:t xml:space="preserve">  2、公办中等专业学校学生公寓住宿费标准及公寓管理办法参照执行。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7F297D08"/>
    <w:rsid w:val="7F2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2022-08-15T01:11:00Z</dcterms:created>
  <dc:creator>许文宇</dc:creator>
  <cp:lastModifiedBy>许文宇</cp:lastModifiedBy>
  <dcterms:modified xsi:type="dcterms:W3CDTF">2022-08-15T01:11:33Z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3F796907D7604E2091818C4B67DBF89E</vt:lpwstr>
  </property>
</Properties>
</file>