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西安高新区推行“四维创新”全链条服务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36"/>
          <w:szCs w:val="36"/>
          <w:highlight w:val="none"/>
          <w:lang w:val="en-US" w:eastAsia="zh-CN"/>
        </w:rPr>
        <w:t>构建企业全生命周期保障新模式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Style w:val="7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autoSpaceDE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/>
        </w:rPr>
      </w:pP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近年来，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西安高新区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坚持树牢企业“全生命周期”服务理念，围绕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破解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企业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发展中的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</w:rPr>
        <w:t>难点、堵点、痛点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eastAsia="zh-CN"/>
        </w:rPr>
        <w:t>，推行</w:t>
      </w:r>
      <w:r>
        <w:rPr>
          <w:rStyle w:val="7"/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“四维创新”全链条服务，通过服务创新、体系创新、保障创新、监管创新，持续降低企业准入准营门槛，进一步便利获取经营要素，营造宽松环境，全力扶持企业成长壮大，激发市场主体活力，助力经济社会高质量发展。</w:t>
      </w:r>
    </w:p>
    <w:p>
      <w:pPr>
        <w:pStyle w:val="2"/>
        <w:keepNext w:val="0"/>
        <w:keepLines w:val="0"/>
        <w:pageBreakBefore w:val="0"/>
        <w:kinsoku/>
        <w:wordWrap/>
        <w:topLinePunct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一、服务创新，降低准入准营门槛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坚持在“减环节、降成本、省时间”上下功夫，打造准入准营“高新样板”。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一是全力“提速办”。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推行开办企业证照登记、印章刻制、企业办税、社保、公积金、银行开户等业务全流程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网上办、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办、免费办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，实现开办企业全流程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2小时办结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“全程电子化”登记数量占全区企业注册总量90%以上。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二是深化“集成办”。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实施“证照联办”新模式，实现人力资源、劳务派遣等11个事项平均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结时间缩短40%以上；深化推动“一业一证”改革，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小型医疗机构等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个行业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实现“一证准营”，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办理时限压缩84%以上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三是推进“就近办”。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开发“智能预约多点叫号”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系统，构建以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综合服务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大厅为主干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便民服务中心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+8个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政务服务站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+8个政务服务驿站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为分支的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服务网格，实现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掌上预约、智能引导、就近办理、一键导航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sz w:val="32"/>
          <w:szCs w:val="32"/>
          <w:highlight w:val="none"/>
          <w:lang w:val="en-US" w:eastAsia="zh-CN"/>
        </w:rPr>
        <w:t>四是探索“智慧办”。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首创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“智能秒批”，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自贸区内普通货物运输经营许可（拟购置）”等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24小时即时受理、即时办结，平均办理用时3分钟。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zh-CN"/>
        </w:rPr>
        <w:t>二、体系创新，扶持企业成长壮大。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持续优化完善成果转化、孵化培育机制，构建企业全生命周期服务体系。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一是建立全链条孵化体系。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探索推出“苗圃+综合孵化器+专业孵化器+企业加速器”的全链条孵化培育体系，形成以自建综合性孵化器为主，投资或共建各类专业孵化器“1+N”式的孵化器集群发展模式，获得了业界的广泛认可。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二是构建梯度培育格局。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设置“科技梯度培育”和“工信梯度培育”两条主线梯队，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分层分类精准施策，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通过出政策、建平台，解决企业发展的共性和个性化需求，促进中小企业发展壮大。同步实施“信用+园区”服务新模式，有效解决小微企业在产业培育、融资发展等方面难点问题。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三是创新成果转化机制。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出“一院一所一校模式”，支持传统高校、科研院所开放人才、技术成果、实验环境、资本等资源，高校、科研院所的科技创新能力得以充分释放，构筑了“科技金融+科技服务+共性技术平台+科技空间+科技智库”为一体的成果转化“生态雨林”。</w:t>
      </w:r>
    </w:p>
    <w:p>
      <w:pPr>
        <w:keepNext w:val="0"/>
        <w:keepLines w:val="0"/>
        <w:pageBreakBefore w:val="0"/>
        <w:kinsoku/>
        <w:wordWrap/>
        <w:overflowPunct w:val="0"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zh-CN"/>
        </w:rPr>
        <w:t>三、保障创新，便利获取经营要素。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搭建“助企一把”公共服务平台，完善亲商助企“三有”长效机制，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sz w:val="32"/>
          <w:szCs w:val="32"/>
          <w:highlight w:val="none"/>
          <w:lang w:val="en-US" w:eastAsia="zh-CN"/>
        </w:rPr>
        <w:t>构建企业全生命周期要素保障体系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一是构建产业发展新模式。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以“产业大集群”概念，高水平构建“55611”现代产业体系，实行主导产业发展“链长制”，完善产业链上下游联动机制，深度融合“招大引强”与“延链补链”，合力推进高新特色产业链发展。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二是促进惠企政策“直达快享”。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出台“科创九条”“上市十条”等政策，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构建快速兑现机制，推动政策红利精准直达、快兑快享，兑现“三次创业”系列优惠政策资金超过28亿元，有效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激发市场主体创新活力。推行惠企政策“免申即享”，实现由“企业找政策”向“政策找企业”转变。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三是畅通融资对接渠道。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打造“畅融高新”融资对接平台，建立涵盖行业部门、园区、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、企业、金融机构、地方金融组织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创投机构的“畅融”机制。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建成全国首家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“硬科技支行”，从专属产品、服务模式、审批机制等方面开展全方位创新，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硬科技企业担保融资最高全额免担保费。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0"/>
          <w:sz w:val="32"/>
          <w:szCs w:val="32"/>
          <w:highlight w:val="none"/>
          <w:lang w:val="en-US" w:eastAsia="zh-CN" w:bidi="ar-SA"/>
        </w:rPr>
        <w:t>四是加速区域人才聚集。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面向全球实施“百万人才计划”，建立健全人才“引育用留”闭环机制，聚焦重点产业打造人才载体，出台系列人才政策，推动人才链与产业链、创新链深度融合。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四、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</w:rPr>
        <w:t>监管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创新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</w:rPr>
        <w:t>，助力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pacing w:val="0"/>
          <w:sz w:val="32"/>
          <w:szCs w:val="32"/>
          <w:highlight w:val="none"/>
        </w:rPr>
        <w:t>轻装前行。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聚焦打造公平竞争、宽松有度的经营环境，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推行“智慧化+信用化+网格化”监管，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探索包容审慎监管，实现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监管“无事不扰”。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一是深化监管体制创新。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以“双随机、一公开”监管为基本手段、以重点监管为补充的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新型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市场监管体系建设，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推行全区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“一张清单”统监管，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“双随机、一公开”监管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部门、事项、平台入驻、结果公示全覆盖，推动“注重前置审批”向“注重事中事后监管”转变，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跨部门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联合抽查检查对象占比近10%。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二是创新信用分级分类监管。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分级“信用+智慧”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分级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分类监管模式，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高新区市场综合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智慧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监管平台，对市场主体开展信用分类和风险分级管理，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对区内19万户市场主体进行科学分类，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实施智慧化精准化差异化监管。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三是推行包容审慎监管。</w:t>
      </w:r>
      <w:r>
        <w:rPr>
          <w:rFonts w:hint="eastAsia" w:ascii="仿宋_GB2312" w:hAnsi="仿宋_GB2312" w:eastAsia="仿宋_GB2312" w:cs="仿宋_GB2312"/>
          <w:bCs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落实包容审慎三张清单（轻微违法行为不予处罚清单、违法行为应当从轻或减轻处罚清单、违法行为可以从轻或减轻处罚清单），对“四新”经济领域商事主体实施包容审慎监管，试点探索触发式监管、“沙盒监管”等先进监管方式，给予市场主体充分发展空间。</w:t>
      </w:r>
    </w:p>
    <w:p>
      <w:pPr>
        <w:pStyle w:val="2"/>
        <w:keepNext w:val="0"/>
        <w:keepLines w:val="0"/>
        <w:pageBreakBefore w:val="0"/>
        <w:kinsoku/>
        <w:wordWrap/>
        <w:autoSpaceDN/>
        <w:bidi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4D97B47"/>
    <w:rsid w:val="54D9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1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1926</Words>
  <Characters>1947</Characters>
  <Lines>0</Lines>
  <Paragraphs>0</Paragraphs>
  <TotalTime>0</TotalTime>
  <ScaleCrop>false</ScaleCrop>
  <LinksUpToDate>false</LinksUpToDate>
  <CharactersWithSpaces>1947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2023-05-10T00:42:00Z</dcterms:created>
  <dc:creator>admin</dc:creator>
  <cp:lastModifiedBy>admin</cp:lastModifiedBy>
  <dcterms:modified xsi:type="dcterms:W3CDTF">2023-05-10T00:42:52Z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30413D88BF0443BF8B451534A7522194_11</vt:lpwstr>
  </property>
</Properties>
</file>