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课题承担单位名单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6342"/>
        <w:gridCol w:w="5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承担单位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陕西省促进创业投资高质量发展实施路径与工作措施研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究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陕西大岳咨询有限责任公司、西安电子科技大学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充分发挥创业投资基金作用 加快培育发展新质生产力</w:t>
            </w:r>
          </w:p>
        </w:tc>
        <w:tc>
          <w:tcPr>
            <w:tcW w:w="5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陕西金融控股集团有限公司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汉仪新人文宋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A6549"/>
    <w:rsid w:val="1DEB84AE"/>
    <w:rsid w:val="3FFF4C80"/>
    <w:rsid w:val="69FC3DFB"/>
    <w:rsid w:val="EFBB0D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默认段落字体1"/>
    <w:qFormat/>
    <w:uiPriority w:val="0"/>
  </w:style>
  <w:style w:type="paragraph" w:customStyle="1" w:styleId="9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49</Characters>
  <TotalTime>8</TotalTime>
  <ScaleCrop>false</ScaleCrop>
  <LinksUpToDate>false</LinksUpToDate>
  <CharactersWithSpaces>49</CharactersWithSpaces>
  <Application>WPS Office_11.8.2.10229_F1E327BC-269C-435d-A152-05C5408002CA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guest</dc:creator>
  <cp:lastModifiedBy>guest</cp:lastModifiedBy>
  <dcterms:modified xsi:type="dcterms:W3CDTF">2024-08-30T22:46:26Z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DC57B95F65BF4C4CA8E60537CB761907_13</vt:lpwstr>
  </property>
</Properties>
</file>