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tabs>
          <w:tab w:val="left" w:pos="5400"/>
          <w:tab w:val="left" w:pos="6660"/>
          <w:tab w:val="left" w:pos="6840"/>
        </w:tabs>
        <w:spacing w:line="500" w:lineRule="exact"/>
        <w:jc w:val="center"/>
        <w:rPr>
          <w:rFonts w:ascii="黑体" w:eastAsia="黑体"/>
          <w:sz w:val="36"/>
        </w:rPr>
      </w:pPr>
    </w:p>
    <w:p>
      <w:pPr>
        <w:widowControl/>
        <w:spacing w:after="156" w:line="600" w:lineRule="atLeast"/>
        <w:jc w:val="center"/>
        <w:rPr>
          <w:rFonts w:ascii="华文中宋" w:hAnsi="华文中宋" w:eastAsia="华文中宋" w:cs="华文中宋"/>
          <w:kern w:val="0"/>
          <w:sz w:val="36"/>
          <w:szCs w:val="36"/>
        </w:rPr>
      </w:pPr>
      <w:r>
        <w:rPr>
          <w:rFonts w:hint="eastAsia" w:ascii="华文中宋" w:hAnsi="华文中宋" w:eastAsia="华文中宋" w:cs="华文中宋"/>
          <w:kern w:val="0"/>
          <w:sz w:val="36"/>
          <w:szCs w:val="36"/>
        </w:rPr>
        <w:t>陕西省18种重要商品零售价格周监测任务报表</w:t>
      </w:r>
    </w:p>
    <w:p>
      <w:pPr>
        <w:widowControl/>
        <w:spacing w:line="300" w:lineRule="atLeast"/>
        <w:ind w:firstLine="480" w:firstLineChars="200"/>
        <w:rPr>
          <w:rFonts w:hint="eastAsia" w:ascii="仿宋" w:hAnsi="仿宋" w:eastAsia="仿宋" w:cs="仿宋"/>
          <w:sz w:val="24"/>
        </w:rPr>
      </w:pPr>
    </w:p>
    <w:p>
      <w:pPr>
        <w:widowControl/>
        <w:spacing w:line="300" w:lineRule="atLeast"/>
        <w:ind w:firstLine="480" w:firstLineChars="200"/>
        <w:rPr>
          <w:rFonts w:ascii="仿宋" w:hAnsi="仿宋" w:eastAsia="仿宋" w:cs="仿宋"/>
          <w:kern w:val="0"/>
          <w:sz w:val="24"/>
        </w:rPr>
      </w:pPr>
      <w:bookmarkStart w:id="0" w:name="_GoBack"/>
      <w:bookmarkEnd w:id="0"/>
      <w:r>
        <w:rPr>
          <w:rFonts w:hint="eastAsia" w:ascii="仿宋" w:hAnsi="仿宋" w:eastAsia="仿宋" w:cs="仿宋"/>
          <w:sz w:val="24"/>
        </w:rPr>
        <w:t>陕西省发展改革委价格监测局</w:t>
      </w:r>
      <w:r>
        <w:rPr>
          <w:rFonts w:hint="eastAsia" w:ascii="仿宋" w:hAnsi="仿宋" w:eastAsia="仿宋" w:cs="仿宋"/>
          <w:kern w:val="0"/>
          <w:sz w:val="24"/>
        </w:rPr>
        <w:t xml:space="preserve">                                                                     2024年4月2日 （第14周）</w:t>
      </w:r>
    </w:p>
    <w:tbl>
      <w:tblPr>
        <w:tblStyle w:val="4"/>
        <w:tblpPr w:leftFromText="180" w:rightFromText="180" w:vertAnchor="text" w:horzAnchor="margin" w:tblpXSpec="center" w:tblpY="125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88"/>
        <w:gridCol w:w="997"/>
        <w:gridCol w:w="851"/>
        <w:gridCol w:w="846"/>
        <w:gridCol w:w="846"/>
        <w:gridCol w:w="846"/>
        <w:gridCol w:w="846"/>
        <w:gridCol w:w="846"/>
        <w:gridCol w:w="846"/>
        <w:gridCol w:w="846"/>
        <w:gridCol w:w="846"/>
        <w:gridCol w:w="846"/>
        <w:gridCol w:w="846"/>
        <w:gridCol w:w="846"/>
        <w:gridCol w:w="846"/>
        <w:gridCol w:w="992"/>
        <w:gridCol w:w="99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988" w:type="dxa"/>
            <w:vMerge w:val="restart"/>
          </w:tcPr>
          <w:p>
            <w:pPr>
              <w:widowControl/>
              <w:spacing w:line="240" w:lineRule="atLeast"/>
              <w:jc w:val="center"/>
              <w:rPr>
                <w:rFonts w:ascii="楷体_GB2312" w:eastAsia="楷体_GB2312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楷体_GB2312" w:eastAsia="楷体_GB2312"/>
                <w:b/>
                <w:bCs/>
                <w:kern w:val="0"/>
                <w:sz w:val="18"/>
                <w:szCs w:val="18"/>
              </w:rPr>
              <w:t>商品</w:t>
            </w:r>
          </w:p>
          <w:p>
            <w:pPr>
              <w:jc w:val="center"/>
            </w:pPr>
            <w:r>
              <w:rPr>
                <w:rFonts w:hint="eastAsia" w:ascii="楷体_GB2312" w:eastAsia="楷体_GB2312"/>
                <w:b/>
                <w:bCs/>
                <w:kern w:val="0"/>
                <w:sz w:val="18"/>
                <w:szCs w:val="18"/>
              </w:rPr>
              <w:t>名称</w:t>
            </w:r>
          </w:p>
        </w:tc>
        <w:tc>
          <w:tcPr>
            <w:tcW w:w="997" w:type="dxa"/>
            <w:vMerge w:val="restart"/>
            <w:shd w:val="clear" w:color="auto" w:fill="auto"/>
          </w:tcPr>
          <w:p>
            <w:pPr>
              <w:widowControl/>
              <w:spacing w:line="240" w:lineRule="atLeast"/>
              <w:jc w:val="center"/>
              <w:rPr>
                <w:rFonts w:ascii="楷体_GB2312" w:eastAsia="楷体_GB2312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楷体_GB2312" w:eastAsia="楷体_GB2312"/>
                <w:b/>
                <w:bCs/>
                <w:kern w:val="0"/>
                <w:sz w:val="18"/>
                <w:szCs w:val="18"/>
              </w:rPr>
              <w:t>规格</w:t>
            </w:r>
          </w:p>
          <w:p>
            <w:pPr>
              <w:widowControl/>
              <w:jc w:val="center"/>
            </w:pPr>
            <w:r>
              <w:rPr>
                <w:rFonts w:hint="eastAsia" w:ascii="楷体_GB2312" w:eastAsia="楷体_GB2312"/>
                <w:b/>
                <w:bCs/>
                <w:kern w:val="0"/>
                <w:sz w:val="18"/>
                <w:szCs w:val="18"/>
              </w:rPr>
              <w:t>等级</w:t>
            </w:r>
          </w:p>
        </w:tc>
        <w:tc>
          <w:tcPr>
            <w:tcW w:w="851" w:type="dxa"/>
            <w:vMerge w:val="restart"/>
            <w:shd w:val="clear" w:color="auto" w:fill="auto"/>
          </w:tcPr>
          <w:p>
            <w:pPr>
              <w:widowControl/>
              <w:spacing w:line="240" w:lineRule="atLeast"/>
              <w:jc w:val="center"/>
              <w:rPr>
                <w:rFonts w:ascii="楷体_GB2312" w:eastAsia="楷体_GB2312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楷体_GB2312" w:eastAsia="楷体_GB2312"/>
                <w:b/>
                <w:bCs/>
                <w:kern w:val="0"/>
                <w:sz w:val="18"/>
                <w:szCs w:val="18"/>
              </w:rPr>
              <w:t>计价</w:t>
            </w:r>
          </w:p>
          <w:p>
            <w:pPr>
              <w:widowControl/>
              <w:jc w:val="center"/>
            </w:pPr>
            <w:r>
              <w:rPr>
                <w:rFonts w:hint="eastAsia" w:ascii="楷体_GB2312" w:eastAsia="楷体_GB2312"/>
                <w:b/>
                <w:bCs/>
                <w:kern w:val="0"/>
                <w:sz w:val="18"/>
                <w:szCs w:val="18"/>
              </w:rPr>
              <w:t>单位</w:t>
            </w:r>
          </w:p>
        </w:tc>
        <w:tc>
          <w:tcPr>
            <w:tcW w:w="10152" w:type="dxa"/>
            <w:gridSpan w:val="12"/>
            <w:shd w:val="clear" w:color="auto" w:fill="auto"/>
          </w:tcPr>
          <w:p>
            <w:pPr>
              <w:widowControl/>
              <w:jc w:val="center"/>
            </w:pPr>
            <w:r>
              <w:rPr>
                <w:rFonts w:hint="eastAsia" w:ascii="楷体_GB2312" w:eastAsia="楷体_GB2312"/>
                <w:b/>
                <w:bCs/>
                <w:spacing w:val="20"/>
                <w:kern w:val="0"/>
                <w:sz w:val="18"/>
                <w:szCs w:val="18"/>
              </w:rPr>
              <w:t>零售价</w:t>
            </w:r>
          </w:p>
        </w:tc>
        <w:tc>
          <w:tcPr>
            <w:tcW w:w="992" w:type="dxa"/>
            <w:vMerge w:val="restart"/>
            <w:shd w:val="clear" w:color="auto" w:fill="auto"/>
          </w:tcPr>
          <w:p>
            <w:pPr>
              <w:widowControl/>
              <w:spacing w:line="240" w:lineRule="atLeast"/>
              <w:jc w:val="center"/>
              <w:rPr>
                <w:rFonts w:ascii="楷体_GB2312" w:eastAsia="楷体_GB2312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楷体_GB2312" w:eastAsia="楷体_GB2312"/>
                <w:b/>
                <w:bCs/>
                <w:kern w:val="0"/>
                <w:sz w:val="18"/>
                <w:szCs w:val="18"/>
              </w:rPr>
              <w:t>平 均</w:t>
            </w:r>
          </w:p>
          <w:p>
            <w:pPr>
              <w:widowControl/>
              <w:spacing w:line="240" w:lineRule="atLeast"/>
              <w:jc w:val="center"/>
            </w:pPr>
            <w:r>
              <w:rPr>
                <w:rFonts w:hint="eastAsia" w:ascii="楷体_GB2312" w:eastAsia="楷体_GB2312"/>
                <w:b/>
                <w:bCs/>
                <w:kern w:val="0"/>
                <w:sz w:val="18"/>
                <w:szCs w:val="18"/>
              </w:rPr>
              <w:t>价 格</w:t>
            </w:r>
          </w:p>
        </w:tc>
        <w:tc>
          <w:tcPr>
            <w:tcW w:w="998" w:type="dxa"/>
            <w:vMerge w:val="restart"/>
            <w:shd w:val="clear" w:color="auto" w:fill="auto"/>
          </w:tcPr>
          <w:p>
            <w:pPr>
              <w:widowControl/>
              <w:spacing w:line="240" w:lineRule="atLeast"/>
              <w:jc w:val="center"/>
            </w:pPr>
            <w:r>
              <w:rPr>
                <w:rFonts w:hint="eastAsia" w:ascii="楷体_GB2312" w:eastAsia="楷体_GB2312"/>
                <w:bCs/>
                <w:kern w:val="0"/>
                <w:sz w:val="18"/>
                <w:szCs w:val="18"/>
              </w:rPr>
              <w:t>比3月26日±%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</w:trPr>
        <w:tc>
          <w:tcPr>
            <w:tcW w:w="988" w:type="dxa"/>
            <w:vMerge w:val="continue"/>
          </w:tcPr>
          <w:p>
            <w:pPr>
              <w:jc w:val="center"/>
            </w:pPr>
          </w:p>
        </w:tc>
        <w:tc>
          <w:tcPr>
            <w:tcW w:w="997" w:type="dxa"/>
            <w:vMerge w:val="continue"/>
            <w:shd w:val="clear" w:color="auto" w:fill="auto"/>
          </w:tcPr>
          <w:p>
            <w:pPr>
              <w:widowControl/>
              <w:jc w:val="center"/>
            </w:pPr>
          </w:p>
        </w:tc>
        <w:tc>
          <w:tcPr>
            <w:tcW w:w="851" w:type="dxa"/>
            <w:vMerge w:val="continue"/>
            <w:shd w:val="clear" w:color="auto" w:fill="auto"/>
          </w:tcPr>
          <w:p>
            <w:pPr>
              <w:widowControl/>
              <w:jc w:val="center"/>
            </w:pP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spacing w:line="240" w:lineRule="atLeast"/>
              <w:jc w:val="center"/>
              <w:rPr>
                <w:rFonts w:ascii="楷体_GB2312" w:eastAsia="楷体_GB2312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楷体_GB2312" w:eastAsia="楷体_GB2312"/>
                <w:b/>
                <w:bCs/>
                <w:kern w:val="0"/>
                <w:sz w:val="18"/>
                <w:szCs w:val="18"/>
              </w:rPr>
              <w:t>西安市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spacing w:line="240" w:lineRule="atLeast"/>
              <w:jc w:val="center"/>
              <w:rPr>
                <w:rFonts w:ascii="楷体_GB2312" w:eastAsia="楷体_GB2312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楷体_GB2312" w:eastAsia="楷体_GB2312"/>
                <w:b/>
                <w:bCs/>
                <w:kern w:val="0"/>
                <w:sz w:val="18"/>
                <w:szCs w:val="18"/>
              </w:rPr>
              <w:t>宝鸡市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spacing w:line="240" w:lineRule="atLeast"/>
              <w:jc w:val="center"/>
              <w:rPr>
                <w:rFonts w:ascii="楷体_GB2312" w:eastAsia="楷体_GB2312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楷体_GB2312" w:eastAsia="楷体_GB2312"/>
                <w:b/>
                <w:bCs/>
                <w:kern w:val="0"/>
                <w:sz w:val="18"/>
                <w:szCs w:val="18"/>
              </w:rPr>
              <w:t>咸阳市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spacing w:line="240" w:lineRule="atLeast"/>
              <w:jc w:val="center"/>
              <w:rPr>
                <w:rFonts w:ascii="楷体_GB2312" w:eastAsia="楷体_GB2312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楷体_GB2312" w:eastAsia="楷体_GB2312"/>
                <w:b/>
                <w:bCs/>
                <w:kern w:val="0"/>
                <w:sz w:val="18"/>
                <w:szCs w:val="18"/>
              </w:rPr>
              <w:t>铜川市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spacing w:line="240" w:lineRule="atLeast"/>
              <w:jc w:val="center"/>
              <w:rPr>
                <w:rFonts w:ascii="楷体_GB2312" w:eastAsia="楷体_GB2312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楷体_GB2312" w:eastAsia="楷体_GB2312"/>
                <w:b/>
                <w:bCs/>
                <w:kern w:val="0"/>
                <w:sz w:val="18"/>
                <w:szCs w:val="18"/>
              </w:rPr>
              <w:t>渭南市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spacing w:line="240" w:lineRule="atLeast"/>
              <w:jc w:val="center"/>
              <w:rPr>
                <w:rFonts w:ascii="楷体_GB2312" w:eastAsia="楷体_GB2312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楷体_GB2312" w:eastAsia="楷体_GB2312"/>
                <w:b/>
                <w:bCs/>
                <w:kern w:val="0"/>
                <w:sz w:val="18"/>
                <w:szCs w:val="18"/>
              </w:rPr>
              <w:t>延安市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spacing w:line="240" w:lineRule="atLeast"/>
              <w:jc w:val="center"/>
              <w:rPr>
                <w:rFonts w:ascii="楷体_GB2312" w:eastAsia="楷体_GB2312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楷体_GB2312" w:eastAsia="楷体_GB2312"/>
                <w:b/>
                <w:bCs/>
                <w:kern w:val="0"/>
                <w:sz w:val="18"/>
                <w:szCs w:val="18"/>
              </w:rPr>
              <w:t>榆林市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spacing w:line="240" w:lineRule="atLeast"/>
              <w:jc w:val="center"/>
              <w:rPr>
                <w:rFonts w:ascii="楷体_GB2312" w:eastAsia="楷体_GB2312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楷体_GB2312" w:eastAsia="楷体_GB2312"/>
                <w:b/>
                <w:bCs/>
                <w:kern w:val="0"/>
                <w:sz w:val="18"/>
                <w:szCs w:val="18"/>
              </w:rPr>
              <w:t>汉中市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spacing w:line="240" w:lineRule="atLeast"/>
              <w:jc w:val="center"/>
              <w:rPr>
                <w:rFonts w:ascii="楷体_GB2312" w:eastAsia="楷体_GB2312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楷体_GB2312" w:eastAsia="楷体_GB2312"/>
                <w:b/>
                <w:bCs/>
                <w:kern w:val="0"/>
                <w:sz w:val="18"/>
                <w:szCs w:val="18"/>
              </w:rPr>
              <w:t>安康市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spacing w:line="240" w:lineRule="atLeast"/>
              <w:jc w:val="center"/>
              <w:rPr>
                <w:rFonts w:ascii="楷体_GB2312" w:eastAsia="楷体_GB2312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楷体_GB2312" w:eastAsia="楷体_GB2312"/>
                <w:b/>
                <w:bCs/>
                <w:kern w:val="0"/>
                <w:sz w:val="18"/>
                <w:szCs w:val="18"/>
              </w:rPr>
              <w:t>商洛市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spacing w:line="240" w:lineRule="atLeast"/>
              <w:jc w:val="center"/>
              <w:rPr>
                <w:rFonts w:ascii="楷体_GB2312" w:eastAsia="楷体_GB2312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楷体_GB2312" w:eastAsia="楷体_GB2312"/>
                <w:b/>
                <w:bCs/>
                <w:kern w:val="0"/>
                <w:sz w:val="18"/>
                <w:szCs w:val="18"/>
              </w:rPr>
              <w:t>韩城市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spacing w:line="240" w:lineRule="atLeast"/>
              <w:jc w:val="center"/>
              <w:rPr>
                <w:rFonts w:ascii="楷体_GB2312" w:eastAsia="楷体_GB2312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楷体_GB2312" w:eastAsia="楷体_GB2312"/>
                <w:b/>
                <w:bCs/>
                <w:kern w:val="0"/>
                <w:sz w:val="18"/>
                <w:szCs w:val="18"/>
              </w:rPr>
              <w:t>杨凌区</w:t>
            </w:r>
          </w:p>
        </w:tc>
        <w:tc>
          <w:tcPr>
            <w:tcW w:w="992" w:type="dxa"/>
            <w:vMerge w:val="continue"/>
            <w:shd w:val="clear" w:color="auto" w:fill="auto"/>
          </w:tcPr>
          <w:p>
            <w:pPr>
              <w:widowControl/>
              <w:jc w:val="center"/>
            </w:pPr>
          </w:p>
        </w:tc>
        <w:tc>
          <w:tcPr>
            <w:tcW w:w="998" w:type="dxa"/>
            <w:vMerge w:val="continue"/>
            <w:shd w:val="clear" w:color="auto" w:fill="auto"/>
          </w:tcPr>
          <w:p>
            <w:pPr>
              <w:widowControl/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</w:trPr>
        <w:tc>
          <w:tcPr>
            <w:tcW w:w="988" w:type="dxa"/>
            <w:vAlign w:val="center"/>
          </w:tcPr>
          <w:p>
            <w:pPr>
              <w:widowControl/>
              <w:spacing w:line="120" w:lineRule="atLeast"/>
              <w:jc w:val="center"/>
              <w:rPr>
                <w:rFonts w:ascii="楷体_GB2312" w:eastAsia="楷体_GB2312"/>
                <w:kern w:val="0"/>
                <w:sz w:val="18"/>
                <w:szCs w:val="18"/>
              </w:rPr>
            </w:pPr>
            <w:r>
              <w:rPr>
                <w:rFonts w:hint="eastAsia" w:ascii="楷体_GB2312" w:eastAsia="楷体_GB2312"/>
                <w:kern w:val="0"/>
                <w:sz w:val="18"/>
                <w:szCs w:val="18"/>
              </w:rPr>
              <w:t>面粉</w:t>
            </w:r>
          </w:p>
        </w:tc>
        <w:tc>
          <w:tcPr>
            <w:tcW w:w="997" w:type="dxa"/>
            <w:shd w:val="clear" w:color="auto" w:fill="auto"/>
            <w:vAlign w:val="center"/>
          </w:tcPr>
          <w:p>
            <w:pPr>
              <w:widowControl/>
              <w:spacing w:line="200" w:lineRule="atLeast"/>
              <w:jc w:val="center"/>
              <w:rPr>
                <w:rFonts w:ascii="楷体_GB2312" w:eastAsia="楷体_GB2312"/>
                <w:kern w:val="0"/>
                <w:sz w:val="18"/>
                <w:szCs w:val="18"/>
              </w:rPr>
            </w:pPr>
            <w:r>
              <w:rPr>
                <w:rFonts w:hint="eastAsia" w:ascii="楷体_GB2312" w:eastAsia="楷体_GB2312"/>
                <w:kern w:val="0"/>
                <w:sz w:val="18"/>
                <w:szCs w:val="18"/>
              </w:rPr>
              <w:t>特一粉</w:t>
            </w:r>
          </w:p>
        </w:tc>
        <w:tc>
          <w:tcPr>
            <w:tcW w:w="851" w:type="dxa"/>
            <w:shd w:val="clear" w:color="auto" w:fill="auto"/>
            <w:vAlign w:val="center"/>
          </w:tcPr>
          <w:p>
            <w:pPr>
              <w:widowControl/>
              <w:spacing w:line="200" w:lineRule="atLeast"/>
              <w:jc w:val="center"/>
              <w:rPr>
                <w:rFonts w:ascii="楷体_GB2312" w:eastAsia="楷体_GB2312"/>
                <w:spacing w:val="-20"/>
                <w:kern w:val="0"/>
                <w:sz w:val="15"/>
                <w:szCs w:val="15"/>
              </w:rPr>
            </w:pPr>
            <w:r>
              <w:rPr>
                <w:rFonts w:hint="eastAsia" w:ascii="楷体_GB2312" w:eastAsia="楷体_GB2312"/>
                <w:spacing w:val="-20"/>
                <w:kern w:val="0"/>
                <w:sz w:val="15"/>
                <w:szCs w:val="15"/>
              </w:rPr>
              <w:t>元/500克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2.25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2.70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2.60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2.50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2.40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2.57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2.20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2.00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2.75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2.20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2.00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2.30</w:t>
            </w:r>
          </w:p>
        </w:tc>
        <w:tc>
          <w:tcPr>
            <w:tcW w:w="992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2.37</w:t>
            </w:r>
          </w:p>
        </w:tc>
        <w:tc>
          <w:tcPr>
            <w:tcW w:w="998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0.4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</w:trPr>
        <w:tc>
          <w:tcPr>
            <w:tcW w:w="988" w:type="dxa"/>
            <w:vAlign w:val="center"/>
          </w:tcPr>
          <w:p>
            <w:pPr>
              <w:widowControl/>
              <w:spacing w:line="120" w:lineRule="atLeast"/>
              <w:jc w:val="center"/>
              <w:rPr>
                <w:rFonts w:ascii="楷体_GB2312" w:eastAsia="楷体_GB2312"/>
                <w:kern w:val="0"/>
                <w:sz w:val="18"/>
                <w:szCs w:val="18"/>
              </w:rPr>
            </w:pPr>
            <w:r>
              <w:rPr>
                <w:rFonts w:hint="eastAsia" w:ascii="楷体_GB2312" w:eastAsia="楷体_GB2312"/>
                <w:kern w:val="0"/>
                <w:sz w:val="18"/>
                <w:szCs w:val="18"/>
              </w:rPr>
              <w:t>大米</w:t>
            </w:r>
          </w:p>
        </w:tc>
        <w:tc>
          <w:tcPr>
            <w:tcW w:w="997" w:type="dxa"/>
            <w:shd w:val="clear" w:color="auto" w:fill="auto"/>
            <w:vAlign w:val="center"/>
          </w:tcPr>
          <w:p>
            <w:pPr>
              <w:widowControl/>
              <w:spacing w:line="200" w:lineRule="atLeast"/>
              <w:jc w:val="center"/>
              <w:rPr>
                <w:rFonts w:ascii="楷体_GB2312" w:eastAsia="楷体_GB2312"/>
                <w:kern w:val="0"/>
                <w:sz w:val="18"/>
                <w:szCs w:val="18"/>
              </w:rPr>
            </w:pPr>
            <w:r>
              <w:rPr>
                <w:rFonts w:hint="eastAsia" w:ascii="楷体_GB2312" w:eastAsia="楷体_GB2312"/>
                <w:kern w:val="0"/>
                <w:sz w:val="18"/>
                <w:szCs w:val="18"/>
              </w:rPr>
              <w:t>粳米</w:t>
            </w:r>
          </w:p>
        </w:tc>
        <w:tc>
          <w:tcPr>
            <w:tcW w:w="851" w:type="dxa"/>
            <w:shd w:val="clear" w:color="auto" w:fill="auto"/>
            <w:vAlign w:val="center"/>
          </w:tcPr>
          <w:p>
            <w:pPr>
              <w:widowControl/>
              <w:spacing w:line="200" w:lineRule="atLeast"/>
              <w:jc w:val="center"/>
              <w:rPr>
                <w:rFonts w:ascii="楷体_GB2312" w:eastAsia="楷体_GB2312"/>
                <w:spacing w:val="-20"/>
                <w:kern w:val="0"/>
                <w:sz w:val="15"/>
                <w:szCs w:val="15"/>
              </w:rPr>
            </w:pPr>
            <w:r>
              <w:rPr>
                <w:rFonts w:hint="eastAsia" w:ascii="楷体_GB2312" w:eastAsia="楷体_GB2312"/>
                <w:spacing w:val="-20"/>
                <w:kern w:val="0"/>
                <w:sz w:val="15"/>
                <w:szCs w:val="15"/>
              </w:rPr>
              <w:t>元/500克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3.08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3.00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3.39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3.00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3.10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2.93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3.00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2.60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2.75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2.80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2.34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3.10</w:t>
            </w:r>
          </w:p>
        </w:tc>
        <w:tc>
          <w:tcPr>
            <w:tcW w:w="992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2.92</w:t>
            </w:r>
          </w:p>
        </w:tc>
        <w:tc>
          <w:tcPr>
            <w:tcW w:w="998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-1.0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</w:trPr>
        <w:tc>
          <w:tcPr>
            <w:tcW w:w="988" w:type="dxa"/>
            <w:vAlign w:val="center"/>
          </w:tcPr>
          <w:p>
            <w:pPr>
              <w:widowControl/>
              <w:spacing w:line="120" w:lineRule="atLeast"/>
              <w:jc w:val="center"/>
              <w:rPr>
                <w:rFonts w:ascii="楷体_GB2312" w:eastAsia="楷体_GB2312"/>
                <w:kern w:val="0"/>
                <w:sz w:val="18"/>
                <w:szCs w:val="18"/>
              </w:rPr>
            </w:pPr>
            <w:r>
              <w:rPr>
                <w:rFonts w:hint="eastAsia" w:ascii="楷体_GB2312" w:eastAsia="楷体_GB2312"/>
                <w:kern w:val="0"/>
                <w:sz w:val="18"/>
                <w:szCs w:val="18"/>
              </w:rPr>
              <w:t>花生油</w:t>
            </w:r>
          </w:p>
        </w:tc>
        <w:tc>
          <w:tcPr>
            <w:tcW w:w="997" w:type="dxa"/>
            <w:shd w:val="clear" w:color="auto" w:fill="auto"/>
            <w:vAlign w:val="center"/>
          </w:tcPr>
          <w:p>
            <w:pPr>
              <w:widowControl/>
              <w:spacing w:line="200" w:lineRule="atLeast"/>
              <w:jc w:val="center"/>
              <w:rPr>
                <w:rFonts w:ascii="楷体_GB2312" w:eastAsia="楷体_GB2312"/>
                <w:kern w:val="0"/>
                <w:sz w:val="18"/>
                <w:szCs w:val="18"/>
              </w:rPr>
            </w:pPr>
            <w:r>
              <w:rPr>
                <w:rFonts w:hint="eastAsia" w:ascii="楷体_GB2312" w:eastAsia="楷体_GB2312"/>
                <w:kern w:val="0"/>
                <w:sz w:val="18"/>
                <w:szCs w:val="18"/>
              </w:rPr>
              <w:t>一级桶装</w:t>
            </w:r>
          </w:p>
        </w:tc>
        <w:tc>
          <w:tcPr>
            <w:tcW w:w="851" w:type="dxa"/>
            <w:shd w:val="clear" w:color="auto" w:fill="auto"/>
            <w:vAlign w:val="center"/>
          </w:tcPr>
          <w:p>
            <w:pPr>
              <w:widowControl/>
              <w:spacing w:line="200" w:lineRule="atLeast"/>
              <w:jc w:val="center"/>
              <w:rPr>
                <w:rFonts w:ascii="楷体_GB2312" w:eastAsia="楷体_GB2312"/>
                <w:spacing w:val="-20"/>
                <w:kern w:val="0"/>
                <w:sz w:val="15"/>
                <w:szCs w:val="15"/>
              </w:rPr>
            </w:pPr>
            <w:r>
              <w:rPr>
                <w:rFonts w:hint="eastAsia" w:ascii="楷体_GB2312" w:eastAsia="楷体_GB2312"/>
                <w:spacing w:val="-20"/>
                <w:kern w:val="0"/>
                <w:sz w:val="15"/>
                <w:szCs w:val="15"/>
              </w:rPr>
              <w:t>元/5升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119.90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159.00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153.00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159.90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128.00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156.33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135.00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165.00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139.00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159.00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152.45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129.00</w:t>
            </w:r>
          </w:p>
        </w:tc>
        <w:tc>
          <w:tcPr>
            <w:tcW w:w="992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146.30</w:t>
            </w:r>
          </w:p>
        </w:tc>
        <w:tc>
          <w:tcPr>
            <w:tcW w:w="998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0.0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</w:trPr>
        <w:tc>
          <w:tcPr>
            <w:tcW w:w="988" w:type="dxa"/>
            <w:vAlign w:val="center"/>
          </w:tcPr>
          <w:p>
            <w:pPr>
              <w:widowControl/>
              <w:spacing w:line="120" w:lineRule="atLeast"/>
              <w:jc w:val="center"/>
              <w:rPr>
                <w:rFonts w:ascii="楷体_GB2312" w:eastAsia="楷体_GB2312"/>
                <w:kern w:val="0"/>
                <w:sz w:val="18"/>
                <w:szCs w:val="18"/>
              </w:rPr>
            </w:pPr>
            <w:r>
              <w:rPr>
                <w:rFonts w:hint="eastAsia" w:ascii="楷体_GB2312" w:eastAsia="楷体_GB2312"/>
                <w:kern w:val="0"/>
                <w:sz w:val="18"/>
                <w:szCs w:val="18"/>
              </w:rPr>
              <w:t>菜籽油</w:t>
            </w:r>
          </w:p>
        </w:tc>
        <w:tc>
          <w:tcPr>
            <w:tcW w:w="997" w:type="dxa"/>
            <w:shd w:val="clear" w:color="auto" w:fill="auto"/>
            <w:vAlign w:val="center"/>
          </w:tcPr>
          <w:p>
            <w:pPr>
              <w:widowControl/>
              <w:spacing w:line="200" w:lineRule="atLeast"/>
              <w:jc w:val="center"/>
              <w:rPr>
                <w:rFonts w:ascii="楷体_GB2312" w:eastAsia="楷体_GB2312"/>
                <w:kern w:val="0"/>
                <w:sz w:val="18"/>
                <w:szCs w:val="18"/>
              </w:rPr>
            </w:pPr>
            <w:r>
              <w:rPr>
                <w:rFonts w:hint="eastAsia" w:ascii="楷体_GB2312" w:eastAsia="楷体_GB2312"/>
                <w:kern w:val="0"/>
                <w:sz w:val="18"/>
                <w:szCs w:val="18"/>
              </w:rPr>
              <w:t>一级桶装</w:t>
            </w:r>
          </w:p>
        </w:tc>
        <w:tc>
          <w:tcPr>
            <w:tcW w:w="851" w:type="dxa"/>
            <w:shd w:val="clear" w:color="auto" w:fill="auto"/>
            <w:vAlign w:val="center"/>
          </w:tcPr>
          <w:p>
            <w:pPr>
              <w:widowControl/>
              <w:spacing w:line="200" w:lineRule="atLeast"/>
              <w:jc w:val="center"/>
              <w:rPr>
                <w:rFonts w:ascii="楷体_GB2312" w:eastAsia="楷体_GB2312"/>
                <w:spacing w:val="-20"/>
                <w:kern w:val="0"/>
                <w:sz w:val="15"/>
                <w:szCs w:val="15"/>
              </w:rPr>
            </w:pPr>
            <w:r>
              <w:rPr>
                <w:rFonts w:hint="eastAsia" w:ascii="楷体_GB2312" w:eastAsia="楷体_GB2312"/>
                <w:spacing w:val="-20"/>
                <w:kern w:val="0"/>
                <w:sz w:val="15"/>
                <w:szCs w:val="15"/>
              </w:rPr>
              <w:t>元/5升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79.90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86.90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90.00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80.00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74.00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74.33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88.00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85.00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89.00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80.00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56.90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73.80</w:t>
            </w:r>
          </w:p>
        </w:tc>
        <w:tc>
          <w:tcPr>
            <w:tcW w:w="992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79.82</w:t>
            </w:r>
          </w:p>
        </w:tc>
        <w:tc>
          <w:tcPr>
            <w:tcW w:w="998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-0.1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</w:trPr>
        <w:tc>
          <w:tcPr>
            <w:tcW w:w="988" w:type="dxa"/>
            <w:vAlign w:val="center"/>
          </w:tcPr>
          <w:p>
            <w:pPr>
              <w:widowControl/>
              <w:spacing w:line="120" w:lineRule="atLeast"/>
              <w:jc w:val="center"/>
              <w:rPr>
                <w:rFonts w:ascii="楷体_GB2312" w:eastAsia="楷体_GB2312"/>
                <w:kern w:val="0"/>
                <w:sz w:val="18"/>
                <w:szCs w:val="18"/>
              </w:rPr>
            </w:pPr>
            <w:r>
              <w:rPr>
                <w:rFonts w:hint="eastAsia" w:ascii="楷体_GB2312" w:eastAsia="楷体_GB2312"/>
                <w:kern w:val="0"/>
                <w:sz w:val="18"/>
                <w:szCs w:val="18"/>
              </w:rPr>
              <w:t>大豆油</w:t>
            </w:r>
          </w:p>
        </w:tc>
        <w:tc>
          <w:tcPr>
            <w:tcW w:w="997" w:type="dxa"/>
            <w:shd w:val="clear" w:color="auto" w:fill="auto"/>
            <w:vAlign w:val="center"/>
          </w:tcPr>
          <w:p>
            <w:pPr>
              <w:widowControl/>
              <w:spacing w:line="200" w:lineRule="atLeast"/>
              <w:jc w:val="center"/>
              <w:rPr>
                <w:rFonts w:ascii="楷体_GB2312" w:eastAsia="楷体_GB2312"/>
                <w:kern w:val="0"/>
                <w:sz w:val="18"/>
                <w:szCs w:val="18"/>
              </w:rPr>
            </w:pPr>
            <w:r>
              <w:rPr>
                <w:rFonts w:hint="eastAsia" w:ascii="楷体_GB2312" w:eastAsia="楷体_GB2312"/>
                <w:kern w:val="0"/>
                <w:sz w:val="18"/>
                <w:szCs w:val="18"/>
              </w:rPr>
              <w:t>一级桶装</w:t>
            </w:r>
          </w:p>
        </w:tc>
        <w:tc>
          <w:tcPr>
            <w:tcW w:w="851" w:type="dxa"/>
            <w:shd w:val="clear" w:color="auto" w:fill="auto"/>
            <w:vAlign w:val="center"/>
          </w:tcPr>
          <w:p>
            <w:pPr>
              <w:widowControl/>
              <w:spacing w:line="200" w:lineRule="atLeast"/>
              <w:jc w:val="center"/>
              <w:rPr>
                <w:rFonts w:ascii="楷体_GB2312" w:eastAsia="楷体_GB2312"/>
                <w:spacing w:val="-20"/>
                <w:kern w:val="0"/>
                <w:sz w:val="15"/>
                <w:szCs w:val="15"/>
              </w:rPr>
            </w:pPr>
            <w:r>
              <w:rPr>
                <w:rFonts w:hint="eastAsia" w:ascii="楷体_GB2312" w:eastAsia="楷体_GB2312"/>
                <w:spacing w:val="-20"/>
                <w:kern w:val="0"/>
                <w:sz w:val="15"/>
                <w:szCs w:val="15"/>
              </w:rPr>
              <w:t>元/5升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63.99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66.00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60.00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77.00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63.00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63.33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60.00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70.00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74.90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70.00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59.30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68.90</w:t>
            </w:r>
          </w:p>
        </w:tc>
        <w:tc>
          <w:tcPr>
            <w:tcW w:w="992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66.37</w:t>
            </w:r>
          </w:p>
        </w:tc>
        <w:tc>
          <w:tcPr>
            <w:tcW w:w="998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1.0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</w:trPr>
        <w:tc>
          <w:tcPr>
            <w:tcW w:w="988" w:type="dxa"/>
            <w:vAlign w:val="center"/>
          </w:tcPr>
          <w:p>
            <w:pPr>
              <w:widowControl/>
              <w:spacing w:line="120" w:lineRule="atLeast"/>
              <w:jc w:val="center"/>
              <w:rPr>
                <w:rFonts w:ascii="楷体_GB2312" w:eastAsia="楷体_GB2312"/>
                <w:kern w:val="0"/>
                <w:sz w:val="18"/>
                <w:szCs w:val="18"/>
              </w:rPr>
            </w:pPr>
            <w:r>
              <w:rPr>
                <w:rFonts w:hint="eastAsia" w:ascii="楷体_GB2312" w:eastAsia="楷体_GB2312"/>
                <w:kern w:val="0"/>
                <w:sz w:val="18"/>
                <w:szCs w:val="18"/>
              </w:rPr>
              <w:t>调和油</w:t>
            </w:r>
          </w:p>
        </w:tc>
        <w:tc>
          <w:tcPr>
            <w:tcW w:w="997" w:type="dxa"/>
            <w:shd w:val="clear" w:color="auto" w:fill="auto"/>
            <w:vAlign w:val="center"/>
          </w:tcPr>
          <w:p>
            <w:pPr>
              <w:widowControl/>
              <w:spacing w:line="200" w:lineRule="atLeast"/>
              <w:jc w:val="center"/>
              <w:rPr>
                <w:rFonts w:ascii="楷体_GB2312" w:eastAsia="楷体_GB2312"/>
                <w:kern w:val="0"/>
                <w:sz w:val="18"/>
                <w:szCs w:val="18"/>
              </w:rPr>
            </w:pPr>
            <w:r>
              <w:rPr>
                <w:rFonts w:hint="eastAsia" w:ascii="楷体_GB2312" w:eastAsia="楷体_GB2312"/>
                <w:kern w:val="0"/>
                <w:sz w:val="18"/>
                <w:szCs w:val="18"/>
              </w:rPr>
              <w:t>桶装</w:t>
            </w:r>
          </w:p>
        </w:tc>
        <w:tc>
          <w:tcPr>
            <w:tcW w:w="851" w:type="dxa"/>
            <w:shd w:val="clear" w:color="auto" w:fill="auto"/>
            <w:vAlign w:val="center"/>
          </w:tcPr>
          <w:p>
            <w:pPr>
              <w:widowControl/>
              <w:spacing w:line="200" w:lineRule="atLeast"/>
              <w:jc w:val="center"/>
              <w:rPr>
                <w:rFonts w:ascii="楷体_GB2312" w:eastAsia="楷体_GB2312"/>
                <w:spacing w:val="-20"/>
                <w:kern w:val="0"/>
                <w:sz w:val="15"/>
                <w:szCs w:val="15"/>
              </w:rPr>
            </w:pPr>
            <w:r>
              <w:rPr>
                <w:rFonts w:hint="eastAsia" w:ascii="楷体_GB2312" w:eastAsia="楷体_GB2312"/>
                <w:spacing w:val="-20"/>
                <w:kern w:val="0"/>
                <w:sz w:val="15"/>
                <w:szCs w:val="15"/>
              </w:rPr>
              <w:t>元/5升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79.90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69.00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60.00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80.00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72.00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71.33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68.00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78.00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79.90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66.00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81.90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75.90</w:t>
            </w:r>
          </w:p>
        </w:tc>
        <w:tc>
          <w:tcPr>
            <w:tcW w:w="992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73.49</w:t>
            </w:r>
          </w:p>
        </w:tc>
        <w:tc>
          <w:tcPr>
            <w:tcW w:w="998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-0.1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</w:trPr>
        <w:tc>
          <w:tcPr>
            <w:tcW w:w="988" w:type="dxa"/>
            <w:vAlign w:val="center"/>
          </w:tcPr>
          <w:p>
            <w:pPr>
              <w:widowControl/>
              <w:spacing w:line="160" w:lineRule="exact"/>
              <w:jc w:val="center"/>
              <w:rPr>
                <w:rFonts w:ascii="楷体_GB2312" w:eastAsia="楷体_GB2312"/>
                <w:kern w:val="0"/>
                <w:sz w:val="18"/>
                <w:szCs w:val="15"/>
              </w:rPr>
            </w:pPr>
            <w:r>
              <w:rPr>
                <w:rFonts w:hint="eastAsia" w:ascii="楷体_GB2312" w:eastAsia="楷体_GB2312"/>
                <w:kern w:val="0"/>
                <w:sz w:val="18"/>
                <w:szCs w:val="15"/>
              </w:rPr>
              <w:t>蒙牛纯</w:t>
            </w:r>
          </w:p>
          <w:p>
            <w:pPr>
              <w:widowControl/>
              <w:spacing w:line="160" w:lineRule="exact"/>
              <w:jc w:val="center"/>
              <w:rPr>
                <w:rFonts w:ascii="楷体_GB2312" w:eastAsia="楷体_GB2312"/>
                <w:kern w:val="0"/>
                <w:sz w:val="18"/>
                <w:szCs w:val="15"/>
              </w:rPr>
            </w:pPr>
            <w:r>
              <w:rPr>
                <w:rFonts w:hint="eastAsia" w:ascii="楷体_GB2312" w:eastAsia="楷体_GB2312"/>
                <w:kern w:val="0"/>
                <w:sz w:val="18"/>
                <w:szCs w:val="15"/>
              </w:rPr>
              <w:t>牛奶</w:t>
            </w:r>
          </w:p>
        </w:tc>
        <w:tc>
          <w:tcPr>
            <w:tcW w:w="997" w:type="dxa"/>
            <w:shd w:val="clear" w:color="auto" w:fill="auto"/>
            <w:vAlign w:val="center"/>
          </w:tcPr>
          <w:p>
            <w:pPr>
              <w:widowControl/>
              <w:spacing w:line="200" w:lineRule="atLeast"/>
              <w:jc w:val="center"/>
              <w:rPr>
                <w:rFonts w:ascii="楷体_GB2312" w:eastAsia="楷体_GB2312"/>
                <w:kern w:val="0"/>
                <w:sz w:val="18"/>
                <w:szCs w:val="18"/>
              </w:rPr>
            </w:pPr>
            <w:r>
              <w:rPr>
                <w:rFonts w:hint="eastAsia" w:ascii="楷体_GB2312" w:eastAsia="楷体_GB2312"/>
                <w:kern w:val="0"/>
                <w:sz w:val="18"/>
                <w:szCs w:val="18"/>
              </w:rPr>
              <w:t>240ml</w:t>
            </w:r>
          </w:p>
        </w:tc>
        <w:tc>
          <w:tcPr>
            <w:tcW w:w="851" w:type="dxa"/>
            <w:shd w:val="clear" w:color="auto" w:fill="auto"/>
            <w:vAlign w:val="center"/>
          </w:tcPr>
          <w:p>
            <w:pPr>
              <w:widowControl/>
              <w:spacing w:line="200" w:lineRule="atLeast"/>
              <w:jc w:val="center"/>
              <w:rPr>
                <w:rFonts w:ascii="楷体_GB2312" w:eastAsia="楷体_GB2312"/>
                <w:spacing w:val="-20"/>
                <w:kern w:val="0"/>
                <w:sz w:val="15"/>
                <w:szCs w:val="15"/>
              </w:rPr>
            </w:pPr>
            <w:r>
              <w:rPr>
                <w:rFonts w:hint="eastAsia" w:ascii="楷体_GB2312" w:eastAsia="楷体_GB2312"/>
                <w:spacing w:val="-20"/>
                <w:kern w:val="0"/>
                <w:sz w:val="15"/>
                <w:szCs w:val="15"/>
              </w:rPr>
              <w:t>元/袋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2.81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2.70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3.00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2.80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2.30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2.80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3.00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2.50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2.80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2.50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2.28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2.50</w:t>
            </w:r>
          </w:p>
        </w:tc>
        <w:tc>
          <w:tcPr>
            <w:tcW w:w="992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2.67</w:t>
            </w:r>
          </w:p>
        </w:tc>
        <w:tc>
          <w:tcPr>
            <w:tcW w:w="998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0.0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</w:trPr>
        <w:tc>
          <w:tcPr>
            <w:tcW w:w="988" w:type="dxa"/>
            <w:vAlign w:val="center"/>
          </w:tcPr>
          <w:p>
            <w:pPr>
              <w:widowControl/>
              <w:spacing w:line="160" w:lineRule="exact"/>
              <w:jc w:val="center"/>
              <w:rPr>
                <w:rFonts w:ascii="楷体_GB2312" w:eastAsia="楷体_GB2312"/>
                <w:kern w:val="0"/>
                <w:sz w:val="18"/>
                <w:szCs w:val="15"/>
              </w:rPr>
            </w:pPr>
            <w:r>
              <w:rPr>
                <w:rFonts w:hint="eastAsia" w:ascii="楷体_GB2312" w:eastAsia="楷体_GB2312"/>
                <w:kern w:val="0"/>
                <w:sz w:val="18"/>
                <w:szCs w:val="15"/>
              </w:rPr>
              <w:t>银桥纯</w:t>
            </w:r>
          </w:p>
          <w:p>
            <w:pPr>
              <w:widowControl/>
              <w:spacing w:line="160" w:lineRule="exact"/>
              <w:jc w:val="center"/>
              <w:rPr>
                <w:rFonts w:ascii="楷体_GB2312" w:eastAsia="楷体_GB2312"/>
                <w:kern w:val="0"/>
                <w:sz w:val="18"/>
                <w:szCs w:val="15"/>
              </w:rPr>
            </w:pPr>
            <w:r>
              <w:rPr>
                <w:rFonts w:hint="eastAsia" w:ascii="楷体_GB2312" w:eastAsia="楷体_GB2312"/>
                <w:kern w:val="0"/>
                <w:sz w:val="18"/>
                <w:szCs w:val="15"/>
              </w:rPr>
              <w:t>牛奶</w:t>
            </w:r>
          </w:p>
        </w:tc>
        <w:tc>
          <w:tcPr>
            <w:tcW w:w="997" w:type="dxa"/>
            <w:shd w:val="clear" w:color="auto" w:fill="auto"/>
            <w:vAlign w:val="center"/>
          </w:tcPr>
          <w:p>
            <w:pPr>
              <w:widowControl/>
              <w:spacing w:line="200" w:lineRule="atLeast"/>
              <w:jc w:val="center"/>
              <w:rPr>
                <w:rFonts w:ascii="楷体_GB2312" w:eastAsia="楷体_GB2312"/>
                <w:kern w:val="0"/>
                <w:sz w:val="18"/>
                <w:szCs w:val="18"/>
              </w:rPr>
            </w:pPr>
            <w:r>
              <w:rPr>
                <w:rFonts w:hint="eastAsia" w:ascii="楷体_GB2312" w:eastAsia="楷体_GB2312"/>
                <w:kern w:val="0"/>
                <w:sz w:val="18"/>
                <w:szCs w:val="18"/>
              </w:rPr>
              <w:t>220ml</w:t>
            </w:r>
          </w:p>
        </w:tc>
        <w:tc>
          <w:tcPr>
            <w:tcW w:w="851" w:type="dxa"/>
            <w:shd w:val="clear" w:color="auto" w:fill="auto"/>
            <w:vAlign w:val="center"/>
          </w:tcPr>
          <w:p>
            <w:pPr>
              <w:widowControl/>
              <w:spacing w:line="200" w:lineRule="atLeast"/>
              <w:jc w:val="center"/>
              <w:rPr>
                <w:rFonts w:ascii="楷体_GB2312" w:eastAsia="楷体_GB2312"/>
                <w:spacing w:val="-20"/>
                <w:kern w:val="0"/>
                <w:sz w:val="15"/>
                <w:szCs w:val="15"/>
              </w:rPr>
            </w:pPr>
            <w:r>
              <w:rPr>
                <w:rFonts w:hint="eastAsia" w:ascii="楷体_GB2312" w:eastAsia="楷体_GB2312"/>
                <w:spacing w:val="-20"/>
                <w:kern w:val="0"/>
                <w:sz w:val="15"/>
                <w:szCs w:val="15"/>
              </w:rPr>
              <w:t>元/袋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2.49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2.50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2.30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2.50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2.30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2.80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3.00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2.00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2.12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2.35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2.55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2.20</w:t>
            </w:r>
          </w:p>
        </w:tc>
        <w:tc>
          <w:tcPr>
            <w:tcW w:w="992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2.43</w:t>
            </w:r>
          </w:p>
        </w:tc>
        <w:tc>
          <w:tcPr>
            <w:tcW w:w="998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0.0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</w:trPr>
        <w:tc>
          <w:tcPr>
            <w:tcW w:w="988" w:type="dxa"/>
            <w:vAlign w:val="center"/>
          </w:tcPr>
          <w:p>
            <w:pPr>
              <w:widowControl/>
              <w:spacing w:line="120" w:lineRule="atLeast"/>
              <w:jc w:val="center"/>
              <w:rPr>
                <w:rFonts w:ascii="楷体_GB2312" w:eastAsia="楷体_GB2312"/>
                <w:kern w:val="0"/>
                <w:sz w:val="18"/>
                <w:szCs w:val="18"/>
              </w:rPr>
            </w:pPr>
            <w:r>
              <w:rPr>
                <w:rFonts w:hint="eastAsia" w:ascii="楷体_GB2312" w:eastAsia="楷体_GB2312"/>
                <w:kern w:val="0"/>
                <w:sz w:val="18"/>
                <w:szCs w:val="18"/>
              </w:rPr>
              <w:t>白砂糖</w:t>
            </w:r>
          </w:p>
        </w:tc>
        <w:tc>
          <w:tcPr>
            <w:tcW w:w="997" w:type="dxa"/>
            <w:shd w:val="clear" w:color="auto" w:fill="auto"/>
            <w:vAlign w:val="center"/>
          </w:tcPr>
          <w:p>
            <w:pPr>
              <w:widowControl/>
              <w:spacing w:line="200" w:lineRule="atLeast"/>
              <w:jc w:val="center"/>
              <w:rPr>
                <w:rFonts w:ascii="楷体_GB2312" w:eastAsia="楷体_GB2312"/>
                <w:kern w:val="0"/>
                <w:sz w:val="18"/>
                <w:szCs w:val="18"/>
              </w:rPr>
            </w:pPr>
            <w:r>
              <w:rPr>
                <w:rFonts w:hint="eastAsia" w:ascii="楷体_GB2312" w:eastAsia="楷体_GB2312"/>
                <w:kern w:val="0"/>
                <w:sz w:val="18"/>
                <w:szCs w:val="18"/>
              </w:rPr>
              <w:t>散装</w:t>
            </w:r>
          </w:p>
        </w:tc>
        <w:tc>
          <w:tcPr>
            <w:tcW w:w="851" w:type="dxa"/>
            <w:shd w:val="clear" w:color="auto" w:fill="auto"/>
            <w:vAlign w:val="center"/>
          </w:tcPr>
          <w:p>
            <w:pPr>
              <w:widowControl/>
              <w:spacing w:line="200" w:lineRule="atLeast"/>
              <w:jc w:val="center"/>
              <w:rPr>
                <w:rFonts w:ascii="楷体_GB2312" w:eastAsia="楷体_GB2312"/>
                <w:spacing w:val="-20"/>
                <w:kern w:val="0"/>
                <w:sz w:val="15"/>
                <w:szCs w:val="15"/>
              </w:rPr>
            </w:pPr>
            <w:r>
              <w:rPr>
                <w:rFonts w:hint="eastAsia" w:ascii="楷体_GB2312" w:eastAsia="楷体_GB2312"/>
                <w:spacing w:val="-20"/>
                <w:kern w:val="0"/>
                <w:sz w:val="15"/>
                <w:szCs w:val="15"/>
              </w:rPr>
              <w:t>元/500克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4.00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5.00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4.89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4.70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5.50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4.23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4.00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3.00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3.80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3.80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4.37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4.58</w:t>
            </w:r>
          </w:p>
        </w:tc>
        <w:tc>
          <w:tcPr>
            <w:tcW w:w="992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4.32</w:t>
            </w:r>
          </w:p>
        </w:tc>
        <w:tc>
          <w:tcPr>
            <w:tcW w:w="998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0.2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</w:trPr>
        <w:tc>
          <w:tcPr>
            <w:tcW w:w="988" w:type="dxa"/>
            <w:vAlign w:val="center"/>
          </w:tcPr>
          <w:p>
            <w:pPr>
              <w:widowControl/>
              <w:spacing w:line="120" w:lineRule="atLeast"/>
              <w:jc w:val="center"/>
              <w:rPr>
                <w:rFonts w:ascii="楷体_GB2312" w:eastAsia="楷体_GB2312"/>
                <w:kern w:val="0"/>
                <w:sz w:val="18"/>
                <w:szCs w:val="18"/>
              </w:rPr>
            </w:pPr>
            <w:r>
              <w:rPr>
                <w:rFonts w:hint="eastAsia" w:ascii="楷体_GB2312" w:eastAsia="楷体_GB2312"/>
                <w:kern w:val="0"/>
                <w:sz w:val="18"/>
                <w:szCs w:val="18"/>
              </w:rPr>
              <w:t>食盐</w:t>
            </w:r>
          </w:p>
        </w:tc>
        <w:tc>
          <w:tcPr>
            <w:tcW w:w="997" w:type="dxa"/>
            <w:shd w:val="clear" w:color="auto" w:fill="auto"/>
            <w:vAlign w:val="center"/>
          </w:tcPr>
          <w:p>
            <w:pPr>
              <w:widowControl/>
              <w:spacing w:line="200" w:lineRule="atLeast"/>
              <w:jc w:val="center"/>
              <w:rPr>
                <w:rFonts w:ascii="楷体_GB2312" w:eastAsia="楷体_GB2312"/>
                <w:kern w:val="0"/>
                <w:sz w:val="18"/>
                <w:szCs w:val="18"/>
              </w:rPr>
            </w:pPr>
            <w:r>
              <w:rPr>
                <w:rFonts w:hint="eastAsia" w:ascii="楷体_GB2312" w:eastAsia="楷体_GB2312"/>
                <w:kern w:val="0"/>
                <w:sz w:val="18"/>
                <w:szCs w:val="18"/>
              </w:rPr>
              <w:t>含碘盐</w:t>
            </w:r>
          </w:p>
        </w:tc>
        <w:tc>
          <w:tcPr>
            <w:tcW w:w="851" w:type="dxa"/>
            <w:shd w:val="clear" w:color="auto" w:fill="auto"/>
            <w:vAlign w:val="center"/>
          </w:tcPr>
          <w:p>
            <w:pPr>
              <w:widowControl/>
              <w:spacing w:line="200" w:lineRule="atLeast"/>
              <w:jc w:val="center"/>
              <w:rPr>
                <w:rFonts w:ascii="楷体_GB2312" w:eastAsia="楷体_GB2312"/>
                <w:spacing w:val="-20"/>
                <w:kern w:val="0"/>
                <w:sz w:val="15"/>
                <w:szCs w:val="15"/>
              </w:rPr>
            </w:pPr>
            <w:r>
              <w:rPr>
                <w:rFonts w:hint="eastAsia" w:ascii="楷体_GB2312" w:eastAsia="楷体_GB2312"/>
                <w:spacing w:val="-20"/>
                <w:kern w:val="0"/>
                <w:sz w:val="15"/>
                <w:szCs w:val="15"/>
              </w:rPr>
              <w:t>元/350克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1.50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1.50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2.00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1.30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1.00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1.17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0.88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1.60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1.20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2.00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2.00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1.30</w:t>
            </w:r>
          </w:p>
        </w:tc>
        <w:tc>
          <w:tcPr>
            <w:tcW w:w="992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1.45</w:t>
            </w:r>
          </w:p>
        </w:tc>
        <w:tc>
          <w:tcPr>
            <w:tcW w:w="998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0.0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</w:trPr>
        <w:tc>
          <w:tcPr>
            <w:tcW w:w="988" w:type="dxa"/>
            <w:vAlign w:val="center"/>
          </w:tcPr>
          <w:p>
            <w:pPr>
              <w:widowControl/>
              <w:spacing w:line="120" w:lineRule="atLeast"/>
              <w:jc w:val="center"/>
              <w:rPr>
                <w:rFonts w:ascii="楷体_GB2312" w:eastAsia="楷体_GB2312"/>
                <w:kern w:val="0"/>
                <w:sz w:val="18"/>
                <w:szCs w:val="18"/>
              </w:rPr>
            </w:pPr>
            <w:r>
              <w:rPr>
                <w:rFonts w:hint="eastAsia" w:ascii="楷体_GB2312" w:eastAsia="楷体_GB2312"/>
                <w:kern w:val="0"/>
                <w:sz w:val="18"/>
                <w:szCs w:val="18"/>
              </w:rPr>
              <w:t>草鱼</w:t>
            </w:r>
          </w:p>
        </w:tc>
        <w:tc>
          <w:tcPr>
            <w:tcW w:w="997" w:type="dxa"/>
            <w:shd w:val="clear" w:color="auto" w:fill="auto"/>
            <w:vAlign w:val="center"/>
          </w:tcPr>
          <w:p>
            <w:pPr>
              <w:widowControl/>
              <w:spacing w:line="200" w:lineRule="atLeast"/>
              <w:jc w:val="center"/>
              <w:rPr>
                <w:rFonts w:ascii="楷体_GB2312" w:eastAsia="楷体_GB2312"/>
                <w:kern w:val="0"/>
                <w:sz w:val="18"/>
                <w:szCs w:val="18"/>
              </w:rPr>
            </w:pPr>
            <w:r>
              <w:rPr>
                <w:rFonts w:hint="eastAsia" w:ascii="楷体_GB2312" w:eastAsia="楷体_GB2312"/>
                <w:kern w:val="0"/>
                <w:sz w:val="18"/>
                <w:szCs w:val="18"/>
              </w:rPr>
              <w:t>活鱼</w:t>
            </w:r>
          </w:p>
        </w:tc>
        <w:tc>
          <w:tcPr>
            <w:tcW w:w="851" w:type="dxa"/>
            <w:shd w:val="clear" w:color="auto" w:fill="auto"/>
            <w:vAlign w:val="center"/>
          </w:tcPr>
          <w:p>
            <w:pPr>
              <w:widowControl/>
              <w:spacing w:line="200" w:lineRule="atLeast"/>
              <w:jc w:val="center"/>
              <w:rPr>
                <w:rFonts w:ascii="楷体_GB2312" w:eastAsia="楷体_GB2312"/>
                <w:spacing w:val="-20"/>
                <w:kern w:val="0"/>
                <w:sz w:val="15"/>
                <w:szCs w:val="15"/>
              </w:rPr>
            </w:pPr>
            <w:r>
              <w:rPr>
                <w:rFonts w:hint="eastAsia" w:ascii="楷体_GB2312" w:eastAsia="楷体_GB2312"/>
                <w:spacing w:val="-20"/>
                <w:kern w:val="0"/>
                <w:sz w:val="15"/>
                <w:szCs w:val="15"/>
              </w:rPr>
              <w:t>元/500克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8.50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8.00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8.00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9.00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12.00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8.33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8.00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11.00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7.00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11.00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9.40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8.00</w:t>
            </w:r>
          </w:p>
        </w:tc>
        <w:tc>
          <w:tcPr>
            <w:tcW w:w="992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9.02</w:t>
            </w:r>
          </w:p>
        </w:tc>
        <w:tc>
          <w:tcPr>
            <w:tcW w:w="998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0.9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</w:trPr>
        <w:tc>
          <w:tcPr>
            <w:tcW w:w="988" w:type="dxa"/>
            <w:vAlign w:val="center"/>
          </w:tcPr>
          <w:p>
            <w:pPr>
              <w:widowControl/>
              <w:spacing w:line="120" w:lineRule="atLeast"/>
              <w:jc w:val="center"/>
              <w:rPr>
                <w:rFonts w:ascii="楷体_GB2312" w:eastAsia="楷体_GB2312"/>
                <w:kern w:val="0"/>
                <w:sz w:val="18"/>
                <w:szCs w:val="18"/>
              </w:rPr>
            </w:pPr>
            <w:r>
              <w:rPr>
                <w:rFonts w:hint="eastAsia" w:ascii="楷体_GB2312" w:eastAsia="楷体_GB2312"/>
                <w:kern w:val="0"/>
                <w:sz w:val="18"/>
                <w:szCs w:val="18"/>
              </w:rPr>
              <w:t>鲤鱼</w:t>
            </w:r>
          </w:p>
        </w:tc>
        <w:tc>
          <w:tcPr>
            <w:tcW w:w="997" w:type="dxa"/>
            <w:shd w:val="clear" w:color="auto" w:fill="auto"/>
            <w:vAlign w:val="center"/>
          </w:tcPr>
          <w:p>
            <w:pPr>
              <w:widowControl/>
              <w:spacing w:line="200" w:lineRule="atLeast"/>
              <w:jc w:val="center"/>
              <w:rPr>
                <w:rFonts w:ascii="楷体_GB2312" w:eastAsia="楷体_GB2312"/>
                <w:kern w:val="0"/>
                <w:sz w:val="18"/>
                <w:szCs w:val="18"/>
              </w:rPr>
            </w:pPr>
            <w:r>
              <w:rPr>
                <w:rFonts w:hint="eastAsia" w:ascii="楷体_GB2312" w:eastAsia="楷体_GB2312"/>
                <w:kern w:val="0"/>
                <w:sz w:val="18"/>
                <w:szCs w:val="18"/>
              </w:rPr>
              <w:t>活鱼</w:t>
            </w:r>
          </w:p>
        </w:tc>
        <w:tc>
          <w:tcPr>
            <w:tcW w:w="851" w:type="dxa"/>
            <w:shd w:val="clear" w:color="auto" w:fill="auto"/>
            <w:vAlign w:val="center"/>
          </w:tcPr>
          <w:p>
            <w:pPr>
              <w:widowControl/>
              <w:spacing w:line="200" w:lineRule="atLeast"/>
              <w:jc w:val="center"/>
              <w:rPr>
                <w:rFonts w:ascii="楷体_GB2312" w:eastAsia="楷体_GB2312"/>
                <w:spacing w:val="-20"/>
                <w:kern w:val="0"/>
                <w:sz w:val="15"/>
                <w:szCs w:val="15"/>
              </w:rPr>
            </w:pPr>
            <w:r>
              <w:rPr>
                <w:rFonts w:hint="eastAsia" w:ascii="楷体_GB2312" w:eastAsia="楷体_GB2312"/>
                <w:spacing w:val="-20"/>
                <w:kern w:val="0"/>
                <w:sz w:val="15"/>
                <w:szCs w:val="15"/>
              </w:rPr>
              <w:t>元/500克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9.00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8.00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8.00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8.00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10.00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8.60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7.00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10.00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9.50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10.00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9.45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8.00</w:t>
            </w:r>
          </w:p>
        </w:tc>
        <w:tc>
          <w:tcPr>
            <w:tcW w:w="992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8.80</w:t>
            </w:r>
          </w:p>
        </w:tc>
        <w:tc>
          <w:tcPr>
            <w:tcW w:w="998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-2.2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</w:trPr>
        <w:tc>
          <w:tcPr>
            <w:tcW w:w="988" w:type="dxa"/>
            <w:vAlign w:val="center"/>
          </w:tcPr>
          <w:p>
            <w:pPr>
              <w:widowControl/>
              <w:spacing w:line="120" w:lineRule="atLeast"/>
              <w:jc w:val="center"/>
              <w:rPr>
                <w:rFonts w:ascii="楷体_GB2312" w:eastAsia="楷体_GB2312"/>
                <w:kern w:val="0"/>
                <w:sz w:val="18"/>
                <w:szCs w:val="18"/>
              </w:rPr>
            </w:pPr>
            <w:r>
              <w:rPr>
                <w:rFonts w:hint="eastAsia" w:ascii="楷体_GB2312" w:eastAsia="楷体_GB2312"/>
                <w:kern w:val="0"/>
                <w:sz w:val="18"/>
                <w:szCs w:val="18"/>
              </w:rPr>
              <w:t>猪肉</w:t>
            </w:r>
          </w:p>
        </w:tc>
        <w:tc>
          <w:tcPr>
            <w:tcW w:w="997" w:type="dxa"/>
            <w:shd w:val="clear" w:color="auto" w:fill="auto"/>
            <w:vAlign w:val="center"/>
          </w:tcPr>
          <w:p>
            <w:pPr>
              <w:widowControl/>
              <w:spacing w:line="200" w:lineRule="atLeast"/>
              <w:jc w:val="center"/>
              <w:rPr>
                <w:rFonts w:ascii="楷体_GB2312" w:eastAsia="楷体_GB2312"/>
                <w:kern w:val="0"/>
                <w:sz w:val="18"/>
                <w:szCs w:val="18"/>
              </w:rPr>
            </w:pPr>
            <w:r>
              <w:rPr>
                <w:rFonts w:hint="eastAsia" w:ascii="楷体_GB2312" w:eastAsia="楷体_GB2312"/>
                <w:kern w:val="0"/>
                <w:sz w:val="18"/>
                <w:szCs w:val="18"/>
              </w:rPr>
              <w:t>后腿肉</w:t>
            </w:r>
          </w:p>
        </w:tc>
        <w:tc>
          <w:tcPr>
            <w:tcW w:w="851" w:type="dxa"/>
            <w:shd w:val="clear" w:color="auto" w:fill="auto"/>
            <w:vAlign w:val="center"/>
          </w:tcPr>
          <w:p>
            <w:pPr>
              <w:widowControl/>
              <w:spacing w:line="200" w:lineRule="atLeast"/>
              <w:jc w:val="center"/>
              <w:rPr>
                <w:rFonts w:ascii="楷体_GB2312" w:eastAsia="楷体_GB2312"/>
                <w:spacing w:val="-20"/>
                <w:kern w:val="0"/>
                <w:sz w:val="15"/>
                <w:szCs w:val="15"/>
              </w:rPr>
            </w:pPr>
            <w:r>
              <w:rPr>
                <w:rFonts w:hint="eastAsia" w:ascii="楷体_GB2312" w:eastAsia="楷体_GB2312"/>
                <w:spacing w:val="-20"/>
                <w:kern w:val="0"/>
                <w:sz w:val="15"/>
                <w:szCs w:val="15"/>
              </w:rPr>
              <w:t>元/500克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13.17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11.50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12.00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12.00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13.00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11.99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12.00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12.00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13.00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14.00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12.90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13.00</w:t>
            </w:r>
          </w:p>
        </w:tc>
        <w:tc>
          <w:tcPr>
            <w:tcW w:w="992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12.55</w:t>
            </w:r>
          </w:p>
        </w:tc>
        <w:tc>
          <w:tcPr>
            <w:tcW w:w="998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0.6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</w:trPr>
        <w:tc>
          <w:tcPr>
            <w:tcW w:w="988" w:type="dxa"/>
            <w:vAlign w:val="center"/>
          </w:tcPr>
          <w:p>
            <w:pPr>
              <w:widowControl/>
              <w:spacing w:line="120" w:lineRule="atLeast"/>
              <w:jc w:val="center"/>
              <w:rPr>
                <w:rFonts w:ascii="楷体_GB2312" w:eastAsia="楷体_GB2312"/>
                <w:kern w:val="0"/>
                <w:sz w:val="18"/>
                <w:szCs w:val="18"/>
              </w:rPr>
            </w:pPr>
            <w:r>
              <w:rPr>
                <w:rFonts w:hint="eastAsia" w:ascii="楷体_GB2312" w:eastAsia="楷体_GB2312"/>
                <w:kern w:val="0"/>
                <w:sz w:val="18"/>
                <w:szCs w:val="18"/>
              </w:rPr>
              <w:t>精瘦肉</w:t>
            </w:r>
          </w:p>
        </w:tc>
        <w:tc>
          <w:tcPr>
            <w:tcW w:w="997" w:type="dxa"/>
            <w:shd w:val="clear" w:color="auto" w:fill="auto"/>
            <w:vAlign w:val="center"/>
          </w:tcPr>
          <w:p>
            <w:pPr>
              <w:widowControl/>
              <w:spacing w:line="200" w:lineRule="atLeast"/>
              <w:jc w:val="center"/>
              <w:rPr>
                <w:rFonts w:ascii="楷体_GB2312" w:eastAsia="楷体_GB2312"/>
                <w:kern w:val="0"/>
                <w:sz w:val="18"/>
                <w:szCs w:val="18"/>
              </w:rPr>
            </w:pPr>
            <w:r>
              <w:rPr>
                <w:rFonts w:hint="eastAsia" w:ascii="楷体_GB2312" w:eastAsia="楷体_GB2312"/>
                <w:kern w:val="0"/>
                <w:sz w:val="18"/>
                <w:szCs w:val="18"/>
              </w:rPr>
              <w:t>去皮去骨</w:t>
            </w:r>
          </w:p>
        </w:tc>
        <w:tc>
          <w:tcPr>
            <w:tcW w:w="851" w:type="dxa"/>
            <w:shd w:val="clear" w:color="auto" w:fill="auto"/>
            <w:vAlign w:val="center"/>
          </w:tcPr>
          <w:p>
            <w:pPr>
              <w:widowControl/>
              <w:spacing w:line="200" w:lineRule="atLeast"/>
              <w:jc w:val="center"/>
              <w:rPr>
                <w:rFonts w:ascii="楷体_GB2312" w:eastAsia="楷体_GB2312"/>
                <w:spacing w:val="-20"/>
                <w:kern w:val="0"/>
                <w:sz w:val="15"/>
                <w:szCs w:val="15"/>
              </w:rPr>
            </w:pPr>
            <w:r>
              <w:rPr>
                <w:rFonts w:hint="eastAsia" w:ascii="楷体_GB2312" w:eastAsia="楷体_GB2312"/>
                <w:spacing w:val="-20"/>
                <w:kern w:val="0"/>
                <w:sz w:val="15"/>
                <w:szCs w:val="15"/>
              </w:rPr>
              <w:t>元/500克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15.67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15.00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14.00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15.00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16.00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15.60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15.00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18.00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18.50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16.00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16.90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14.00</w:t>
            </w:r>
          </w:p>
        </w:tc>
        <w:tc>
          <w:tcPr>
            <w:tcW w:w="992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15.81</w:t>
            </w:r>
          </w:p>
        </w:tc>
        <w:tc>
          <w:tcPr>
            <w:tcW w:w="998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1.0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</w:trPr>
        <w:tc>
          <w:tcPr>
            <w:tcW w:w="988" w:type="dxa"/>
            <w:vAlign w:val="center"/>
          </w:tcPr>
          <w:p>
            <w:pPr>
              <w:widowControl/>
              <w:spacing w:line="120" w:lineRule="atLeast"/>
              <w:jc w:val="center"/>
              <w:rPr>
                <w:rFonts w:ascii="楷体_GB2312" w:eastAsia="楷体_GB2312"/>
                <w:kern w:val="0"/>
                <w:sz w:val="18"/>
                <w:szCs w:val="18"/>
              </w:rPr>
            </w:pPr>
            <w:r>
              <w:rPr>
                <w:rFonts w:hint="eastAsia" w:ascii="楷体_GB2312" w:eastAsia="楷体_GB2312"/>
                <w:kern w:val="0"/>
                <w:sz w:val="18"/>
                <w:szCs w:val="18"/>
              </w:rPr>
              <w:t>牛肉</w:t>
            </w:r>
          </w:p>
        </w:tc>
        <w:tc>
          <w:tcPr>
            <w:tcW w:w="997" w:type="dxa"/>
            <w:shd w:val="clear" w:color="auto" w:fill="auto"/>
            <w:vAlign w:val="center"/>
          </w:tcPr>
          <w:p>
            <w:pPr>
              <w:widowControl/>
              <w:spacing w:line="200" w:lineRule="atLeast"/>
              <w:jc w:val="center"/>
              <w:rPr>
                <w:rFonts w:ascii="楷体_GB2312" w:eastAsia="楷体_GB2312"/>
                <w:kern w:val="0"/>
                <w:sz w:val="18"/>
                <w:szCs w:val="18"/>
              </w:rPr>
            </w:pPr>
            <w:r>
              <w:rPr>
                <w:rFonts w:hint="eastAsia" w:ascii="楷体_GB2312" w:eastAsia="楷体_GB2312"/>
                <w:kern w:val="0"/>
                <w:sz w:val="18"/>
                <w:szCs w:val="18"/>
              </w:rPr>
              <w:t>剔骨</w:t>
            </w:r>
          </w:p>
        </w:tc>
        <w:tc>
          <w:tcPr>
            <w:tcW w:w="851" w:type="dxa"/>
            <w:shd w:val="clear" w:color="auto" w:fill="auto"/>
            <w:vAlign w:val="center"/>
          </w:tcPr>
          <w:p>
            <w:pPr>
              <w:widowControl/>
              <w:spacing w:line="200" w:lineRule="atLeast"/>
              <w:jc w:val="center"/>
              <w:rPr>
                <w:rFonts w:ascii="楷体_GB2312" w:eastAsia="楷体_GB2312"/>
                <w:spacing w:val="-20"/>
                <w:kern w:val="0"/>
                <w:sz w:val="15"/>
                <w:szCs w:val="15"/>
              </w:rPr>
            </w:pPr>
            <w:r>
              <w:rPr>
                <w:rFonts w:hint="eastAsia" w:ascii="楷体_GB2312" w:eastAsia="楷体_GB2312"/>
                <w:spacing w:val="-20"/>
                <w:kern w:val="0"/>
                <w:sz w:val="15"/>
                <w:szCs w:val="15"/>
              </w:rPr>
              <w:t>元/500克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40.67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37.00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35.00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35.00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41.00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37.33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32.00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46.00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45.00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36.00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38.00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35.00</w:t>
            </w:r>
          </w:p>
        </w:tc>
        <w:tc>
          <w:tcPr>
            <w:tcW w:w="992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38.17</w:t>
            </w:r>
          </w:p>
        </w:tc>
        <w:tc>
          <w:tcPr>
            <w:tcW w:w="998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0.2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</w:trPr>
        <w:tc>
          <w:tcPr>
            <w:tcW w:w="988" w:type="dxa"/>
            <w:vAlign w:val="center"/>
          </w:tcPr>
          <w:p>
            <w:pPr>
              <w:widowControl/>
              <w:spacing w:line="120" w:lineRule="atLeast"/>
              <w:jc w:val="center"/>
              <w:rPr>
                <w:rFonts w:ascii="楷体_GB2312" w:eastAsia="楷体_GB2312"/>
                <w:kern w:val="0"/>
                <w:sz w:val="18"/>
                <w:szCs w:val="18"/>
              </w:rPr>
            </w:pPr>
            <w:r>
              <w:rPr>
                <w:rFonts w:hint="eastAsia" w:ascii="楷体_GB2312" w:eastAsia="楷体_GB2312"/>
                <w:kern w:val="0"/>
                <w:sz w:val="18"/>
                <w:szCs w:val="18"/>
              </w:rPr>
              <w:t>羊肉</w:t>
            </w:r>
          </w:p>
        </w:tc>
        <w:tc>
          <w:tcPr>
            <w:tcW w:w="997" w:type="dxa"/>
            <w:shd w:val="clear" w:color="auto" w:fill="auto"/>
            <w:vAlign w:val="center"/>
          </w:tcPr>
          <w:p>
            <w:pPr>
              <w:widowControl/>
              <w:spacing w:line="200" w:lineRule="atLeast"/>
              <w:jc w:val="center"/>
              <w:rPr>
                <w:rFonts w:ascii="楷体_GB2312" w:eastAsia="楷体_GB2312"/>
                <w:kern w:val="0"/>
                <w:sz w:val="18"/>
                <w:szCs w:val="18"/>
              </w:rPr>
            </w:pPr>
            <w:r>
              <w:rPr>
                <w:rFonts w:hint="eastAsia" w:ascii="楷体_GB2312" w:eastAsia="楷体_GB2312"/>
                <w:kern w:val="0"/>
                <w:sz w:val="18"/>
                <w:szCs w:val="18"/>
              </w:rPr>
              <w:t>带骨</w:t>
            </w:r>
          </w:p>
        </w:tc>
        <w:tc>
          <w:tcPr>
            <w:tcW w:w="851" w:type="dxa"/>
            <w:shd w:val="clear" w:color="auto" w:fill="auto"/>
            <w:vAlign w:val="center"/>
          </w:tcPr>
          <w:p>
            <w:pPr>
              <w:widowControl/>
              <w:spacing w:line="200" w:lineRule="atLeast"/>
              <w:jc w:val="center"/>
              <w:rPr>
                <w:rFonts w:ascii="楷体_GB2312" w:eastAsia="楷体_GB2312"/>
                <w:spacing w:val="-20"/>
                <w:kern w:val="0"/>
                <w:sz w:val="15"/>
                <w:szCs w:val="15"/>
              </w:rPr>
            </w:pPr>
            <w:r>
              <w:rPr>
                <w:rFonts w:hint="eastAsia" w:ascii="楷体_GB2312" w:eastAsia="楷体_GB2312"/>
                <w:spacing w:val="-20"/>
                <w:kern w:val="0"/>
                <w:sz w:val="15"/>
                <w:szCs w:val="15"/>
              </w:rPr>
              <w:t>元/500克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34.67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38.00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30.00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34.00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42.00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37.50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35.00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40.00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40.00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28.00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36.00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33.00</w:t>
            </w:r>
          </w:p>
        </w:tc>
        <w:tc>
          <w:tcPr>
            <w:tcW w:w="992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35.68</w:t>
            </w:r>
          </w:p>
        </w:tc>
        <w:tc>
          <w:tcPr>
            <w:tcW w:w="998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-1.2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</w:trPr>
        <w:tc>
          <w:tcPr>
            <w:tcW w:w="988" w:type="dxa"/>
            <w:vAlign w:val="center"/>
          </w:tcPr>
          <w:p>
            <w:pPr>
              <w:widowControl/>
              <w:spacing w:line="120" w:lineRule="atLeast"/>
              <w:jc w:val="center"/>
              <w:rPr>
                <w:rFonts w:ascii="楷体_GB2312" w:eastAsia="楷体_GB2312"/>
                <w:kern w:val="0"/>
                <w:sz w:val="18"/>
                <w:szCs w:val="18"/>
              </w:rPr>
            </w:pPr>
            <w:r>
              <w:rPr>
                <w:rFonts w:hint="eastAsia" w:ascii="楷体_GB2312" w:eastAsia="楷体_GB2312"/>
                <w:kern w:val="0"/>
                <w:sz w:val="18"/>
                <w:szCs w:val="18"/>
              </w:rPr>
              <w:t>鸡肉</w:t>
            </w:r>
          </w:p>
        </w:tc>
        <w:tc>
          <w:tcPr>
            <w:tcW w:w="997" w:type="dxa"/>
            <w:shd w:val="clear" w:color="auto" w:fill="auto"/>
            <w:vAlign w:val="center"/>
          </w:tcPr>
          <w:p>
            <w:pPr>
              <w:widowControl/>
              <w:spacing w:line="200" w:lineRule="atLeast"/>
              <w:jc w:val="center"/>
              <w:rPr>
                <w:rFonts w:ascii="楷体_GB2312" w:eastAsia="楷体_GB2312"/>
                <w:kern w:val="0"/>
                <w:sz w:val="18"/>
                <w:szCs w:val="18"/>
              </w:rPr>
            </w:pPr>
            <w:r>
              <w:rPr>
                <w:rFonts w:hint="eastAsia" w:ascii="楷体_GB2312" w:eastAsia="楷体_GB2312"/>
                <w:kern w:val="0"/>
                <w:sz w:val="18"/>
                <w:szCs w:val="18"/>
              </w:rPr>
              <w:t>白条鸡</w:t>
            </w:r>
          </w:p>
        </w:tc>
        <w:tc>
          <w:tcPr>
            <w:tcW w:w="851" w:type="dxa"/>
            <w:shd w:val="clear" w:color="auto" w:fill="auto"/>
            <w:vAlign w:val="center"/>
          </w:tcPr>
          <w:p>
            <w:pPr>
              <w:widowControl/>
              <w:spacing w:line="200" w:lineRule="atLeast"/>
              <w:jc w:val="center"/>
              <w:rPr>
                <w:rFonts w:ascii="楷体_GB2312" w:eastAsia="楷体_GB2312"/>
                <w:spacing w:val="-20"/>
                <w:kern w:val="0"/>
                <w:sz w:val="15"/>
                <w:szCs w:val="15"/>
              </w:rPr>
            </w:pPr>
            <w:r>
              <w:rPr>
                <w:rFonts w:hint="eastAsia" w:ascii="楷体_GB2312" w:eastAsia="楷体_GB2312"/>
                <w:spacing w:val="-20"/>
                <w:kern w:val="0"/>
                <w:sz w:val="15"/>
                <w:szCs w:val="15"/>
              </w:rPr>
              <w:t>元/500克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12.33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10.00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8.00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9.00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12.00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12.16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11.00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13.50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12.00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13.00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9.50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7.00</w:t>
            </w:r>
          </w:p>
        </w:tc>
        <w:tc>
          <w:tcPr>
            <w:tcW w:w="992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10.79</w:t>
            </w:r>
          </w:p>
        </w:tc>
        <w:tc>
          <w:tcPr>
            <w:tcW w:w="998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-0.6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</w:trPr>
        <w:tc>
          <w:tcPr>
            <w:tcW w:w="988" w:type="dxa"/>
            <w:vAlign w:val="center"/>
          </w:tcPr>
          <w:p>
            <w:pPr>
              <w:widowControl/>
              <w:spacing w:line="120" w:lineRule="atLeast"/>
              <w:jc w:val="center"/>
              <w:rPr>
                <w:rFonts w:ascii="楷体_GB2312" w:eastAsia="楷体_GB2312"/>
                <w:kern w:val="0"/>
                <w:sz w:val="18"/>
                <w:szCs w:val="18"/>
              </w:rPr>
            </w:pPr>
            <w:r>
              <w:rPr>
                <w:rFonts w:hint="eastAsia" w:ascii="楷体_GB2312" w:eastAsia="楷体_GB2312"/>
                <w:kern w:val="0"/>
                <w:sz w:val="18"/>
                <w:szCs w:val="18"/>
              </w:rPr>
              <w:t>鸡蛋</w:t>
            </w:r>
          </w:p>
        </w:tc>
        <w:tc>
          <w:tcPr>
            <w:tcW w:w="997" w:type="dxa"/>
            <w:shd w:val="clear" w:color="auto" w:fill="auto"/>
            <w:vAlign w:val="center"/>
          </w:tcPr>
          <w:p>
            <w:pPr>
              <w:widowControl/>
              <w:spacing w:line="200" w:lineRule="atLeast"/>
              <w:jc w:val="center"/>
              <w:rPr>
                <w:rFonts w:ascii="楷体_GB2312" w:eastAsia="楷体_GB2312"/>
                <w:kern w:val="0"/>
                <w:sz w:val="18"/>
                <w:szCs w:val="18"/>
              </w:rPr>
            </w:pPr>
            <w:r>
              <w:rPr>
                <w:rFonts w:hint="eastAsia" w:ascii="楷体_GB2312" w:eastAsia="楷体_GB2312"/>
                <w:kern w:val="0"/>
                <w:sz w:val="18"/>
                <w:szCs w:val="18"/>
              </w:rPr>
              <w:t>本地主销</w:t>
            </w:r>
          </w:p>
        </w:tc>
        <w:tc>
          <w:tcPr>
            <w:tcW w:w="851" w:type="dxa"/>
            <w:shd w:val="clear" w:color="auto" w:fill="auto"/>
            <w:vAlign w:val="center"/>
          </w:tcPr>
          <w:p>
            <w:pPr>
              <w:widowControl/>
              <w:spacing w:line="200" w:lineRule="atLeast"/>
              <w:jc w:val="center"/>
              <w:rPr>
                <w:rFonts w:ascii="楷体_GB2312" w:eastAsia="楷体_GB2312"/>
                <w:spacing w:val="-20"/>
                <w:kern w:val="0"/>
                <w:sz w:val="15"/>
                <w:szCs w:val="15"/>
              </w:rPr>
            </w:pPr>
            <w:r>
              <w:rPr>
                <w:rFonts w:hint="eastAsia" w:ascii="楷体_GB2312" w:eastAsia="楷体_GB2312"/>
                <w:spacing w:val="-20"/>
                <w:kern w:val="0"/>
                <w:sz w:val="15"/>
                <w:szCs w:val="15"/>
              </w:rPr>
              <w:t>元/500克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4.67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4.50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4.30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4.20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4.00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5.86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4.00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4.50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3.80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4.30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3.95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4.20</w:t>
            </w:r>
          </w:p>
        </w:tc>
        <w:tc>
          <w:tcPr>
            <w:tcW w:w="992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4.36</w:t>
            </w:r>
          </w:p>
        </w:tc>
        <w:tc>
          <w:tcPr>
            <w:tcW w:w="998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-0.9</w:t>
            </w:r>
          </w:p>
        </w:tc>
      </w:tr>
    </w:tbl>
    <w:p>
      <w:pPr>
        <w:spacing w:line="500" w:lineRule="exact"/>
        <w:ind w:firstLine="640" w:firstLineChars="200"/>
        <w:rPr>
          <w:rFonts w:ascii="仿宋" w:hAnsi="仿宋" w:eastAsia="仿宋" w:cs="仿宋"/>
          <w:sz w:val="32"/>
          <w:szCs w:val="32"/>
        </w:rPr>
      </w:pPr>
    </w:p>
    <w:p/>
    <w:sectPr>
      <w:pgSz w:w="16838" w:h="11906" w:orient="landscape"/>
      <w:pgMar w:top="720" w:right="720" w:bottom="720" w:left="72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MzVmZmEyZGY0NDYzMGQ2ZjA5YjQ2NzNmNWFlNzY3ZjAifQ=="/>
  </w:docVars>
  <w:rsids>
    <w:rsidRoot w:val="00413760"/>
    <w:rsid w:val="000D3B51"/>
    <w:rsid w:val="000E1A88"/>
    <w:rsid w:val="000F69CE"/>
    <w:rsid w:val="002469B0"/>
    <w:rsid w:val="00266159"/>
    <w:rsid w:val="002F367A"/>
    <w:rsid w:val="003660D2"/>
    <w:rsid w:val="00396989"/>
    <w:rsid w:val="003E0C63"/>
    <w:rsid w:val="00413760"/>
    <w:rsid w:val="00432CC6"/>
    <w:rsid w:val="004968DD"/>
    <w:rsid w:val="00601676"/>
    <w:rsid w:val="006E3B13"/>
    <w:rsid w:val="007B0511"/>
    <w:rsid w:val="009218BA"/>
    <w:rsid w:val="00983947"/>
    <w:rsid w:val="009D314B"/>
    <w:rsid w:val="00AE4608"/>
    <w:rsid w:val="00B32B31"/>
    <w:rsid w:val="00B43349"/>
    <w:rsid w:val="00C44B11"/>
    <w:rsid w:val="00D05F9E"/>
    <w:rsid w:val="00D075F8"/>
    <w:rsid w:val="00E02B98"/>
    <w:rsid w:val="00E33A51"/>
    <w:rsid w:val="00F27F4D"/>
    <w:rsid w:val="00FB4744"/>
    <w:rsid w:val="00FC1746"/>
    <w:rsid w:val="00FD1A19"/>
    <w:rsid w:val="2FB80366"/>
    <w:rsid w:val="4DF050EA"/>
    <w:rsid w:val="5DA35F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4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Char"/>
    <w:basedOn w:val="5"/>
    <w:link w:val="3"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7">
    <w:name w:val="页脚 Char"/>
    <w:basedOn w:val="5"/>
    <w:link w:val="2"/>
    <w:qFormat/>
    <w:uiPriority w:val="99"/>
    <w:rPr>
      <w:rFonts w:ascii="Times New Roman" w:hAnsi="Times New Roman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6C0F655-317A-40C5-8986-3383DF4CC58B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333</Words>
  <Characters>1902</Characters>
  <Lines>15</Lines>
  <Paragraphs>4</Paragraphs>
  <TotalTime>1</TotalTime>
  <ScaleCrop>false</ScaleCrop>
  <LinksUpToDate>false</LinksUpToDate>
  <CharactersWithSpaces>2231</CharactersWithSpaces>
  <Application>WPS Office_12.1.0.16417_F1E327BC-269C-435d-A152-05C5408002CA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2021-02-19T01:36:00Z</dcterms:created>
  <dc:creator>许凯伦</dc:creator>
  <cp:lastModifiedBy>WPS_1601169991</cp:lastModifiedBy>
  <dcterms:modified xsi:type="dcterms:W3CDTF">2024-04-02T07:03:02Z</dcterms:modified>
  <cp:revision>89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2052-12.1.0.16417</vt:lpwstr>
  </property>
  <property fmtid="{D5CDD505-2E9C-101B-9397-08002B2CF9AE}" pid="3" name="ICV">
    <vt:lpwstr>0DF5C106C35C4871A1C3AD60478810A6_13</vt:lpwstr>
  </property>
</Properties>
</file>