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left"/>
        <w:rPr>
          <w:rFonts w:hint="eastAsia" w:ascii="Times New Roman" w:eastAsia="方正小标宋简体"/>
          <w:b/>
          <w:bCs/>
          <w:sz w:val="44"/>
          <w:szCs w:val="44"/>
        </w:rPr>
      </w:pPr>
      <w:bookmarkStart w:id="0" w:name="_Toc434951552"/>
      <w:bookmarkStart w:id="71" w:name="_GoBack"/>
      <w:bookmarkEnd w:id="71"/>
    </w:p>
    <w:p>
      <w:pPr>
        <w:spacing w:line="600" w:lineRule="exact"/>
        <w:ind w:firstLine="0" w:firstLineChars="0"/>
        <w:jc w:val="left"/>
        <w:rPr>
          <w:rFonts w:ascii="Times New Roman" w:eastAsia="黑体"/>
          <w:b/>
          <w:color w:val="000000"/>
          <w:sz w:val="32"/>
          <w:szCs w:val="32"/>
        </w:rPr>
      </w:pPr>
    </w:p>
    <w:p>
      <w:pPr>
        <w:spacing w:line="1000" w:lineRule="exact"/>
        <w:ind w:firstLine="602"/>
        <w:rPr>
          <w:rFonts w:ascii="Times New Roman"/>
          <w:b/>
          <w:color w:val="000000"/>
        </w:rPr>
      </w:pPr>
    </w:p>
    <w:p>
      <w:pPr>
        <w:spacing w:line="760" w:lineRule="exact"/>
        <w:ind w:firstLine="0" w:firstLineChars="0"/>
        <w:jc w:val="center"/>
        <w:rPr>
          <w:rFonts w:ascii="Times New Roman" w:eastAsia="方正小标宋_GBK"/>
          <w:b/>
          <w:color w:val="000000"/>
          <w:spacing w:val="20"/>
          <w:sz w:val="54"/>
          <w:szCs w:val="54"/>
        </w:rPr>
      </w:pPr>
      <w:r>
        <w:rPr>
          <w:rFonts w:ascii="Times New Roman" w:eastAsia="方正小标宋_GBK"/>
          <w:b/>
          <w:color w:val="000000"/>
          <w:spacing w:val="20"/>
          <w:sz w:val="54"/>
          <w:szCs w:val="54"/>
        </w:rPr>
        <w:t>咸阳市国民经济和社会发展</w:t>
      </w:r>
    </w:p>
    <w:bookmarkEnd w:id="0"/>
    <w:p>
      <w:pPr>
        <w:spacing w:line="760" w:lineRule="exact"/>
        <w:ind w:firstLine="0" w:firstLineChars="0"/>
        <w:jc w:val="center"/>
        <w:rPr>
          <w:rFonts w:ascii="Times New Roman" w:eastAsia="方正小标宋_GBK"/>
          <w:b/>
          <w:color w:val="000000"/>
          <w:spacing w:val="20"/>
          <w:sz w:val="54"/>
          <w:szCs w:val="54"/>
        </w:rPr>
      </w:pPr>
      <w:r>
        <w:rPr>
          <w:rFonts w:ascii="Times New Roman" w:eastAsia="方正小标宋_GBK"/>
          <w:b/>
          <w:color w:val="000000"/>
          <w:spacing w:val="20"/>
          <w:sz w:val="54"/>
          <w:szCs w:val="54"/>
        </w:rPr>
        <w:t>第十三个五年规划纲要</w:t>
      </w:r>
    </w:p>
    <w:p>
      <w:pPr>
        <w:spacing w:line="760" w:lineRule="exact"/>
        <w:ind w:firstLine="0" w:firstLineChars="0"/>
        <w:jc w:val="center"/>
        <w:rPr>
          <w:rFonts w:ascii="Times New Roman" w:eastAsia="方正小标宋_GBK"/>
          <w:b/>
          <w:color w:val="000000"/>
          <w:spacing w:val="20"/>
          <w:sz w:val="54"/>
          <w:szCs w:val="54"/>
        </w:rPr>
      </w:pPr>
      <w:r>
        <w:rPr>
          <w:rFonts w:ascii="Times New Roman" w:eastAsia="方正小标宋_GBK"/>
          <w:b/>
          <w:color w:val="000000"/>
          <w:spacing w:val="20"/>
          <w:sz w:val="54"/>
          <w:szCs w:val="54"/>
        </w:rPr>
        <w:t xml:space="preserve"> </w:t>
      </w:r>
    </w:p>
    <w:p>
      <w:pPr>
        <w:spacing w:line="600" w:lineRule="exact"/>
        <w:ind w:firstLine="602"/>
        <w:jc w:val="center"/>
        <w:rPr>
          <w:rFonts w:ascii="Times New Roman"/>
          <w:b/>
          <w:color w:val="000000"/>
        </w:rPr>
      </w:pPr>
    </w:p>
    <w:p>
      <w:pPr>
        <w:spacing w:line="600" w:lineRule="exact"/>
        <w:ind w:firstLine="602"/>
        <w:jc w:val="center"/>
        <w:rPr>
          <w:rFonts w:ascii="Times New Roman" w:eastAsia="楷体_GB2312"/>
          <w:b/>
          <w:color w:val="000000"/>
        </w:rPr>
      </w:pPr>
    </w:p>
    <w:p>
      <w:pPr>
        <w:spacing w:line="600" w:lineRule="exact"/>
        <w:ind w:firstLine="602"/>
        <w:jc w:val="center"/>
        <w:rPr>
          <w:rFonts w:ascii="Times New Roman" w:eastAsia="楷体_GB2312"/>
          <w:b/>
          <w:color w:val="000000"/>
        </w:rPr>
      </w:pPr>
    </w:p>
    <w:p>
      <w:pPr>
        <w:spacing w:line="600" w:lineRule="exact"/>
        <w:ind w:firstLine="602"/>
        <w:jc w:val="center"/>
        <w:rPr>
          <w:rFonts w:ascii="Times New Roman" w:eastAsia="楷体_GB2312"/>
          <w:b/>
          <w:color w:val="000000"/>
        </w:rPr>
      </w:pPr>
    </w:p>
    <w:p>
      <w:pPr>
        <w:spacing w:line="600" w:lineRule="exact"/>
        <w:ind w:firstLine="602"/>
        <w:jc w:val="center"/>
        <w:rPr>
          <w:rFonts w:ascii="Times New Roman" w:eastAsia="宋体"/>
          <w:b/>
          <w:color w:val="000000"/>
        </w:rPr>
      </w:pPr>
    </w:p>
    <w:p>
      <w:pPr>
        <w:spacing w:line="600" w:lineRule="exact"/>
        <w:ind w:firstLine="602"/>
        <w:jc w:val="center"/>
        <w:rPr>
          <w:rFonts w:ascii="Times New Roman" w:eastAsia="宋体"/>
          <w:b/>
          <w:color w:val="000000"/>
        </w:rPr>
      </w:pPr>
    </w:p>
    <w:p>
      <w:pPr>
        <w:spacing w:line="600" w:lineRule="exact"/>
        <w:ind w:firstLine="602"/>
        <w:jc w:val="center"/>
        <w:rPr>
          <w:rFonts w:ascii="Times New Roman" w:eastAsia="宋体"/>
          <w:b/>
          <w:color w:val="000000"/>
        </w:rPr>
      </w:pPr>
    </w:p>
    <w:p>
      <w:pPr>
        <w:spacing w:line="600" w:lineRule="exact"/>
        <w:ind w:firstLine="602"/>
        <w:jc w:val="center"/>
        <w:rPr>
          <w:rFonts w:ascii="Times New Roman" w:eastAsia="宋体"/>
          <w:b/>
          <w:color w:val="000000"/>
        </w:rPr>
      </w:pPr>
    </w:p>
    <w:p>
      <w:pPr>
        <w:pStyle w:val="31"/>
        <w:widowControl w:val="0"/>
        <w:spacing w:before="0" w:line="600" w:lineRule="exact"/>
        <w:jc w:val="center"/>
        <w:rPr>
          <w:rFonts w:hint="eastAsia" w:ascii="方正小标宋_GBK" w:hAnsi="方正小标宋_GBK" w:eastAsia="方正小标宋_GBK" w:cs="方正小标宋_GBK"/>
          <w:b/>
          <w:color w:val="000000"/>
          <w:sz w:val="44"/>
          <w:szCs w:val="44"/>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701" w:right="1502" w:bottom="1871" w:left="1502" w:header="851" w:footer="1446" w:gutter="0"/>
          <w:cols w:space="720" w:num="1"/>
          <w:docGrid w:linePitch="410" w:charSpace="0"/>
        </w:sectPr>
      </w:pPr>
    </w:p>
    <w:p>
      <w:pPr>
        <w:ind w:firstLine="602"/>
        <w:rPr>
          <w:rFonts w:hint="eastAsia"/>
          <w:b/>
          <w:color w:val="000000"/>
          <w:lang w:val="zh-CN"/>
        </w:rPr>
      </w:pPr>
    </w:p>
    <w:p>
      <w:pPr>
        <w:ind w:firstLine="883"/>
        <w:rPr>
          <w:rFonts w:hint="eastAsia" w:ascii="方正小标宋_GBK" w:hAnsi="方正小标宋_GBK" w:eastAsia="方正小标宋_GBK" w:cs="方正小标宋_GBK"/>
          <w:b/>
          <w:color w:val="000000"/>
          <w:sz w:val="44"/>
          <w:szCs w:val="44"/>
          <w:lang w:val="zh-CN"/>
        </w:rPr>
      </w:pPr>
    </w:p>
    <w:p>
      <w:pPr>
        <w:ind w:firstLine="883"/>
        <w:rPr>
          <w:rFonts w:hint="eastAsia" w:ascii="方正小标宋_GBK" w:hAnsi="方正小标宋_GBK" w:eastAsia="方正小标宋_GBK" w:cs="方正小标宋_GBK"/>
          <w:b/>
          <w:color w:val="000000"/>
          <w:sz w:val="44"/>
          <w:szCs w:val="44"/>
          <w:lang w:val="zh-CN"/>
        </w:rPr>
      </w:pPr>
    </w:p>
    <w:p>
      <w:pPr>
        <w:ind w:firstLine="883"/>
        <w:rPr>
          <w:rFonts w:hint="eastAsia" w:ascii="方正小标宋_GBK" w:hAnsi="方正小标宋_GBK" w:eastAsia="方正小标宋_GBK" w:cs="方正小标宋_GBK"/>
          <w:b/>
          <w:color w:val="000000"/>
          <w:sz w:val="44"/>
          <w:szCs w:val="44"/>
          <w:lang w:val="zh-CN"/>
        </w:rPr>
      </w:pPr>
    </w:p>
    <w:p>
      <w:pPr>
        <w:ind w:firstLine="883"/>
        <w:rPr>
          <w:rFonts w:hint="eastAsia" w:ascii="方正小标宋_GBK" w:hAnsi="方正小标宋_GBK" w:eastAsia="方正小标宋_GBK" w:cs="方正小标宋_GBK"/>
          <w:b/>
          <w:color w:val="000000"/>
          <w:sz w:val="44"/>
          <w:szCs w:val="44"/>
          <w:lang w:val="zh-CN"/>
        </w:rPr>
      </w:pPr>
    </w:p>
    <w:p>
      <w:pPr>
        <w:ind w:firstLine="883"/>
        <w:rPr>
          <w:rFonts w:hint="eastAsia" w:ascii="方正小标宋_GBK" w:hAnsi="方正小标宋_GBK" w:eastAsia="方正小标宋_GBK" w:cs="方正小标宋_GBK"/>
          <w:b/>
          <w:color w:val="000000"/>
          <w:sz w:val="44"/>
          <w:szCs w:val="44"/>
          <w:lang w:val="zh-CN"/>
        </w:rPr>
      </w:pPr>
    </w:p>
    <w:p>
      <w:pPr>
        <w:ind w:firstLine="883"/>
        <w:rPr>
          <w:rFonts w:hint="eastAsia" w:ascii="方正小标宋_GBK" w:hAnsi="方正小标宋_GBK" w:eastAsia="方正小标宋_GBK" w:cs="方正小标宋_GBK"/>
          <w:b/>
          <w:color w:val="000000"/>
          <w:sz w:val="44"/>
          <w:szCs w:val="44"/>
          <w:lang w:val="zh-CN"/>
        </w:rPr>
      </w:pPr>
    </w:p>
    <w:p>
      <w:pPr>
        <w:ind w:firstLine="883"/>
        <w:rPr>
          <w:rFonts w:hint="eastAsia" w:ascii="方正小标宋_GBK" w:hAnsi="方正小标宋_GBK" w:eastAsia="方正小标宋_GBK" w:cs="方正小标宋_GBK"/>
          <w:b/>
          <w:color w:val="000000"/>
          <w:sz w:val="44"/>
          <w:szCs w:val="44"/>
          <w:lang w:val="zh-CN"/>
        </w:rPr>
      </w:pPr>
    </w:p>
    <w:p>
      <w:pPr>
        <w:ind w:firstLine="883"/>
        <w:rPr>
          <w:rFonts w:hint="eastAsia" w:ascii="方正小标宋_GBK" w:hAnsi="方正小标宋_GBK" w:eastAsia="方正小标宋_GBK" w:cs="方正小标宋_GBK"/>
          <w:b/>
          <w:color w:val="000000"/>
          <w:sz w:val="44"/>
          <w:szCs w:val="44"/>
          <w:lang w:val="zh-CN"/>
        </w:rPr>
      </w:pPr>
    </w:p>
    <w:p>
      <w:pPr>
        <w:ind w:firstLine="883"/>
        <w:rPr>
          <w:rFonts w:hint="eastAsia" w:ascii="方正小标宋_GBK" w:hAnsi="方正小标宋_GBK" w:eastAsia="方正小标宋_GBK" w:cs="方正小标宋_GBK"/>
          <w:b/>
          <w:color w:val="000000"/>
          <w:sz w:val="44"/>
          <w:szCs w:val="44"/>
          <w:lang w:val="zh-CN"/>
        </w:rPr>
      </w:pPr>
    </w:p>
    <w:p>
      <w:pPr>
        <w:ind w:firstLine="883"/>
        <w:rPr>
          <w:rFonts w:hint="eastAsia" w:ascii="方正小标宋_GBK" w:hAnsi="方正小标宋_GBK" w:eastAsia="方正小标宋_GBK" w:cs="方正小标宋_GBK"/>
          <w:b/>
          <w:color w:val="000000"/>
          <w:sz w:val="44"/>
          <w:szCs w:val="44"/>
          <w:lang w:val="zh-CN"/>
        </w:rPr>
      </w:pPr>
    </w:p>
    <w:p>
      <w:pPr>
        <w:ind w:firstLine="883"/>
        <w:rPr>
          <w:rFonts w:hint="eastAsia" w:ascii="方正小标宋_GBK" w:hAnsi="方正小标宋_GBK" w:eastAsia="方正小标宋_GBK" w:cs="方正小标宋_GBK"/>
          <w:b/>
          <w:color w:val="000000"/>
          <w:sz w:val="44"/>
          <w:szCs w:val="44"/>
          <w:lang w:val="zh-CN"/>
        </w:rPr>
      </w:pPr>
    </w:p>
    <w:p>
      <w:pPr>
        <w:ind w:firstLine="883"/>
        <w:rPr>
          <w:rFonts w:hint="eastAsia" w:ascii="方正小标宋_GBK" w:hAnsi="方正小标宋_GBK" w:eastAsia="方正小标宋_GBK" w:cs="方正小标宋_GBK"/>
          <w:b/>
          <w:color w:val="000000"/>
          <w:sz w:val="44"/>
          <w:szCs w:val="44"/>
          <w:lang w:val="zh-CN"/>
        </w:rPr>
      </w:pPr>
    </w:p>
    <w:p>
      <w:pPr>
        <w:ind w:firstLine="602"/>
        <w:rPr>
          <w:rFonts w:hint="eastAsia"/>
          <w:b/>
          <w:color w:val="000000"/>
          <w:lang w:val="zh-CN"/>
        </w:rPr>
      </w:pPr>
    </w:p>
    <w:p>
      <w:pPr>
        <w:pStyle w:val="31"/>
        <w:widowControl w:val="0"/>
        <w:spacing w:before="0" w:line="600" w:lineRule="exact"/>
        <w:jc w:val="center"/>
        <w:rPr>
          <w:rFonts w:hint="eastAsia" w:ascii="方正小标宋_GBK" w:hAnsi="方正小标宋_GBK" w:eastAsia="方正小标宋_GBK" w:cs="方正小标宋_GBK"/>
          <w:b/>
          <w:color w:val="000000"/>
          <w:sz w:val="44"/>
          <w:szCs w:val="44"/>
          <w:lang w:val="zh-CN"/>
        </w:rPr>
      </w:pPr>
      <w:r>
        <w:rPr>
          <w:rFonts w:hint="eastAsia" w:ascii="方正小标宋_GBK" w:hAnsi="方正小标宋_GBK" w:eastAsia="方正小标宋_GBK" w:cs="方正小标宋_GBK"/>
          <w:b/>
          <w:color w:val="000000"/>
          <w:sz w:val="44"/>
          <w:szCs w:val="44"/>
          <w:lang w:val="zh-CN"/>
        </w:rPr>
        <w:t>目</w:t>
      </w:r>
      <w:r>
        <w:rPr>
          <w:rFonts w:hint="eastAsia" w:ascii="方正小标宋_GBK" w:hAnsi="方正小标宋_GBK" w:eastAsia="方正小标宋_GBK" w:cs="方正小标宋_GBK"/>
          <w:b/>
          <w:color w:val="000000"/>
          <w:sz w:val="44"/>
          <w:szCs w:val="44"/>
        </w:rPr>
        <w:t xml:space="preserve">    </w:t>
      </w:r>
      <w:r>
        <w:rPr>
          <w:rFonts w:hint="eastAsia" w:ascii="方正小标宋_GBK" w:hAnsi="方正小标宋_GBK" w:eastAsia="方正小标宋_GBK" w:cs="方正小标宋_GBK"/>
          <w:b/>
          <w:color w:val="000000"/>
          <w:sz w:val="44"/>
          <w:szCs w:val="44"/>
          <w:lang w:val="zh-CN"/>
        </w:rPr>
        <w:t>录</w:t>
      </w:r>
    </w:p>
    <w:p>
      <w:pPr>
        <w:spacing w:line="600" w:lineRule="exact"/>
        <w:ind w:firstLine="883"/>
        <w:rPr>
          <w:rFonts w:hint="eastAsia" w:ascii="方正小标宋_GBK" w:hAnsi="方正小标宋_GBK" w:eastAsia="方正小标宋_GBK" w:cs="方正小标宋_GBK"/>
          <w:b/>
          <w:color w:val="000000"/>
          <w:sz w:val="44"/>
          <w:szCs w:val="44"/>
        </w:rPr>
      </w:pPr>
    </w:p>
    <w:p>
      <w:pPr>
        <w:pStyle w:val="15"/>
        <w:tabs>
          <w:tab w:val="right" w:leader="dot" w:pos="8834"/>
        </w:tabs>
        <w:spacing w:before="0" w:line="600" w:lineRule="exact"/>
        <w:ind w:firstLine="0" w:firstLineChars="0"/>
        <w:jc w:val="distribute"/>
        <w:rPr>
          <w:rFonts w:ascii="Times New Roman" w:hAnsi="Times New Roman" w:cs="Times New Roman"/>
          <w:bCs w:val="0"/>
          <w:color w:val="000000"/>
          <w:sz w:val="28"/>
          <w:szCs w:val="28"/>
        </w:rPr>
      </w:pPr>
      <w:r>
        <w:rPr>
          <w:rFonts w:ascii="Times New Roman" w:hAnsi="Times New Roman" w:cs="Times New Roman"/>
          <w:bCs w:val="0"/>
          <w:color w:val="000000"/>
          <w:kern w:val="0"/>
          <w:sz w:val="28"/>
          <w:szCs w:val="28"/>
        </w:rPr>
        <w:fldChar w:fldCharType="begin"/>
      </w:r>
      <w:r>
        <w:rPr>
          <w:rFonts w:ascii="Times New Roman" w:hAnsi="Times New Roman" w:cs="Times New Roman"/>
          <w:bCs w:val="0"/>
          <w:color w:val="000000"/>
          <w:kern w:val="0"/>
          <w:sz w:val="28"/>
          <w:szCs w:val="28"/>
        </w:rPr>
        <w:instrText xml:space="preserve"> TOC \o "1-3" \h \z \u </w:instrText>
      </w:r>
      <w:r>
        <w:rPr>
          <w:rFonts w:ascii="Times New Roman" w:hAnsi="Times New Roman" w:cs="Times New Roman"/>
          <w:bCs w:val="0"/>
          <w:color w:val="000000"/>
          <w:kern w:val="0"/>
          <w:sz w:val="28"/>
          <w:szCs w:val="28"/>
        </w:rPr>
        <w:fldChar w:fldCharType="separate"/>
      </w:r>
      <w:r>
        <w:rPr>
          <w:rFonts w:hint="eastAsia" w:ascii="黑体" w:hAnsi="黑体" w:eastAsia="黑体" w:cs="黑体"/>
          <w:bCs w:val="0"/>
          <w:color w:val="000000"/>
          <w:sz w:val="28"/>
          <w:szCs w:val="28"/>
          <w:lang w:val="zh-CN"/>
        </w:rPr>
        <w:fldChar w:fldCharType="begin"/>
      </w:r>
      <w:r>
        <w:rPr>
          <w:rStyle w:val="22"/>
          <w:rFonts w:hint="eastAsia" w:ascii="黑体" w:hAnsi="黑体" w:eastAsia="黑体" w:cs="黑体"/>
          <w:bCs w:val="0"/>
          <w:color w:val="000000"/>
          <w:sz w:val="28"/>
          <w:szCs w:val="28"/>
        </w:rPr>
        <w:instrText xml:space="preserve"> </w:instrText>
      </w:r>
      <w:r>
        <w:rPr>
          <w:rFonts w:hint="eastAsia" w:ascii="黑体" w:hAnsi="黑体" w:eastAsia="黑体" w:cs="黑体"/>
          <w:bCs w:val="0"/>
          <w:color w:val="000000"/>
          <w:sz w:val="28"/>
          <w:szCs w:val="28"/>
        </w:rPr>
        <w:instrText xml:space="preserve">HYPERLINK \l "_Toc439878069"</w:instrText>
      </w:r>
      <w:r>
        <w:rPr>
          <w:rStyle w:val="22"/>
          <w:rFonts w:hint="eastAsia" w:ascii="黑体" w:hAnsi="黑体" w:eastAsia="黑体" w:cs="黑体"/>
          <w:bCs w:val="0"/>
          <w:color w:val="000000"/>
          <w:sz w:val="28"/>
          <w:szCs w:val="28"/>
        </w:rPr>
        <w:instrText xml:space="preserve"> </w:instrText>
      </w:r>
      <w:r>
        <w:rPr>
          <w:rFonts w:hint="eastAsia" w:ascii="黑体" w:hAnsi="黑体" w:eastAsia="黑体" w:cs="黑体"/>
          <w:bCs w:val="0"/>
          <w:color w:val="000000"/>
          <w:sz w:val="28"/>
          <w:szCs w:val="28"/>
          <w:lang w:val="zh-CN"/>
        </w:rPr>
        <w:fldChar w:fldCharType="separate"/>
      </w:r>
      <w:r>
        <w:rPr>
          <w:rStyle w:val="22"/>
          <w:rFonts w:hint="eastAsia" w:ascii="黑体" w:hAnsi="黑体" w:eastAsia="黑体" w:cs="黑体"/>
          <w:bCs w:val="0"/>
          <w:color w:val="000000"/>
          <w:kern w:val="0"/>
          <w:sz w:val="28"/>
          <w:szCs w:val="28"/>
          <w:lang w:val="zh-CN"/>
        </w:rPr>
        <w:t>第一篇</w:t>
      </w:r>
      <w:r>
        <w:rPr>
          <w:rStyle w:val="22"/>
          <w:rFonts w:hint="eastAsia" w:ascii="黑体" w:hAnsi="黑体" w:eastAsia="黑体" w:cs="黑体"/>
          <w:bCs w:val="0"/>
          <w:color w:val="000000"/>
          <w:kern w:val="0"/>
          <w:sz w:val="28"/>
          <w:szCs w:val="28"/>
        </w:rPr>
        <w:t xml:space="preserve"> </w:t>
      </w:r>
      <w:r>
        <w:rPr>
          <w:rStyle w:val="22"/>
          <w:rFonts w:hint="eastAsia" w:ascii="黑体" w:hAnsi="黑体" w:eastAsia="黑体" w:cs="黑体"/>
          <w:bCs w:val="0"/>
          <w:color w:val="000000"/>
          <w:kern w:val="0"/>
          <w:sz w:val="28"/>
          <w:szCs w:val="28"/>
          <w:lang w:val="zh-CN"/>
        </w:rPr>
        <w:t>紧盯全面小康目标</w:t>
      </w:r>
      <w:r>
        <w:rPr>
          <w:rStyle w:val="22"/>
          <w:rFonts w:hint="eastAsia" w:ascii="黑体" w:hAnsi="黑体" w:eastAsia="黑体" w:cs="黑体"/>
          <w:bCs w:val="0"/>
          <w:color w:val="000000"/>
          <w:kern w:val="0"/>
          <w:sz w:val="28"/>
          <w:szCs w:val="28"/>
        </w:rPr>
        <w:t xml:space="preserve"> </w:t>
      </w:r>
      <w:r>
        <w:rPr>
          <w:rStyle w:val="22"/>
          <w:rFonts w:hint="eastAsia" w:ascii="黑体" w:hAnsi="黑体" w:eastAsia="黑体" w:cs="黑体"/>
          <w:bCs w:val="0"/>
          <w:color w:val="000000"/>
          <w:kern w:val="0"/>
          <w:sz w:val="28"/>
          <w:szCs w:val="28"/>
          <w:lang w:val="zh-CN"/>
        </w:rPr>
        <w:t>建设富强人文健康新咸阳</w:t>
      </w:r>
      <w:r>
        <w:rPr>
          <w:rFonts w:hint="eastAsia" w:ascii="Times New Roman" w:hAnsi="Times New Roman" w:cs="Times New Roman"/>
          <w:bCs w:val="0"/>
          <w:color w:val="000000"/>
          <w:sz w:val="28"/>
          <w:szCs w:val="28"/>
        </w:rPr>
        <w:t>…………………</w:t>
      </w:r>
      <w:r>
        <w:rPr>
          <w:rFonts w:hint="eastAsia" w:ascii="黑体" w:hAnsi="黑体" w:eastAsia="黑体" w:cs="黑体"/>
          <w:bCs w:val="0"/>
          <w:color w:val="000000"/>
          <w:sz w:val="28"/>
          <w:szCs w:val="28"/>
          <w:lang w:val="zh-CN"/>
        </w:rPr>
        <w:fldChar w:fldCharType="end"/>
      </w:r>
      <w:r>
        <w:rPr>
          <w:rFonts w:hint="eastAsia" w:ascii="Times New Roman" w:hAnsi="Times New Roman" w:cs="Times New Roman"/>
          <w:bCs w:val="0"/>
          <w:color w:val="000000"/>
          <w:sz w:val="28"/>
          <w:szCs w:val="28"/>
        </w:rPr>
        <w:t>（2）</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"_Toc439878070"</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第一章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发展基础</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……………………………………………………（2）</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"_Toc439878071"</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第二章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面临环境</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……………………………………………………（9）</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"_Toc439878072"</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第三章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总体要求</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 xml:space="preserve"> …………………………………………………（11）</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"_Toc439878073"</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第四章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发展目标</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 xml:space="preserve"> …………………………………………………（13）</w:t>
      </w:r>
    </w:p>
    <w:p>
      <w:pPr>
        <w:pStyle w:val="15"/>
        <w:tabs>
          <w:tab w:val="right" w:leader="dot" w:pos="8834"/>
        </w:tabs>
        <w:spacing w:before="0" w:line="600" w:lineRule="exact"/>
        <w:ind w:firstLine="0" w:firstLineChars="0"/>
        <w:jc w:val="distribute"/>
        <w:rPr>
          <w:rFonts w:hint="eastAsia" w:ascii="黑体" w:hAnsi="黑体" w:eastAsia="黑体" w:cs="黑体"/>
          <w:bCs w:val="0"/>
          <w:color w:val="000000"/>
          <w:sz w:val="28"/>
          <w:szCs w:val="28"/>
        </w:rPr>
      </w:pPr>
      <w:r>
        <w:rPr>
          <w:rFonts w:hint="eastAsia" w:ascii="黑体" w:hAnsi="黑体" w:eastAsia="黑体" w:cs="黑体"/>
          <w:bCs w:val="0"/>
          <w:color w:val="000000"/>
          <w:sz w:val="28"/>
          <w:szCs w:val="28"/>
          <w:lang w:val="zh-CN"/>
        </w:rPr>
        <w:fldChar w:fldCharType="begin"/>
      </w:r>
      <w:r>
        <w:rPr>
          <w:rStyle w:val="22"/>
          <w:rFonts w:hint="eastAsia" w:ascii="黑体" w:hAnsi="黑体" w:eastAsia="黑体" w:cs="黑体"/>
          <w:bCs w:val="0"/>
          <w:color w:val="000000"/>
          <w:sz w:val="28"/>
          <w:szCs w:val="28"/>
        </w:rPr>
        <w:instrText xml:space="preserve"> </w:instrText>
      </w:r>
      <w:r>
        <w:rPr>
          <w:rFonts w:hint="eastAsia" w:ascii="黑体" w:hAnsi="黑体" w:eastAsia="黑体" w:cs="黑体"/>
          <w:bCs w:val="0"/>
          <w:color w:val="000000"/>
          <w:sz w:val="28"/>
          <w:szCs w:val="28"/>
        </w:rPr>
        <w:instrText xml:space="preserve">HYPERLINK \l "_Toc439878074"</w:instrText>
      </w:r>
      <w:r>
        <w:rPr>
          <w:rStyle w:val="22"/>
          <w:rFonts w:hint="eastAsia" w:ascii="黑体" w:hAnsi="黑体" w:eastAsia="黑体" w:cs="黑体"/>
          <w:bCs w:val="0"/>
          <w:color w:val="000000"/>
          <w:sz w:val="28"/>
          <w:szCs w:val="28"/>
        </w:rPr>
        <w:instrText xml:space="preserve"> </w:instrText>
      </w:r>
      <w:r>
        <w:rPr>
          <w:rFonts w:hint="eastAsia" w:ascii="黑体" w:hAnsi="黑体" w:eastAsia="黑体" w:cs="黑体"/>
          <w:bCs w:val="0"/>
          <w:color w:val="000000"/>
          <w:sz w:val="28"/>
          <w:szCs w:val="28"/>
          <w:lang w:val="zh-CN"/>
        </w:rPr>
        <w:fldChar w:fldCharType="separate"/>
      </w:r>
      <w:r>
        <w:rPr>
          <w:rStyle w:val="22"/>
          <w:rFonts w:hint="eastAsia" w:ascii="黑体" w:hAnsi="黑体" w:eastAsia="黑体" w:cs="黑体"/>
          <w:bCs w:val="0"/>
          <w:color w:val="000000"/>
          <w:kern w:val="0"/>
          <w:sz w:val="28"/>
          <w:szCs w:val="28"/>
          <w:lang w:val="zh-CN"/>
        </w:rPr>
        <w:t>第二篇</w:t>
      </w:r>
      <w:r>
        <w:rPr>
          <w:rStyle w:val="22"/>
          <w:rFonts w:hint="eastAsia" w:ascii="黑体" w:hAnsi="黑体" w:eastAsia="黑体" w:cs="黑体"/>
          <w:bCs w:val="0"/>
          <w:color w:val="000000"/>
          <w:kern w:val="0"/>
          <w:sz w:val="28"/>
          <w:szCs w:val="28"/>
        </w:rPr>
        <w:t xml:space="preserve"> </w:t>
      </w:r>
      <w:r>
        <w:rPr>
          <w:rStyle w:val="22"/>
          <w:rFonts w:hint="eastAsia" w:ascii="黑体" w:hAnsi="黑体" w:eastAsia="黑体" w:cs="黑体"/>
          <w:bCs w:val="0"/>
          <w:color w:val="000000"/>
          <w:kern w:val="0"/>
          <w:sz w:val="28"/>
          <w:szCs w:val="28"/>
          <w:lang w:val="zh-CN"/>
        </w:rPr>
        <w:t>聚焦创新发展</w:t>
      </w:r>
      <w:r>
        <w:rPr>
          <w:rStyle w:val="22"/>
          <w:rFonts w:hint="eastAsia" w:ascii="黑体" w:hAnsi="黑体" w:eastAsia="黑体" w:cs="黑体"/>
          <w:bCs w:val="0"/>
          <w:color w:val="000000"/>
          <w:kern w:val="0"/>
          <w:sz w:val="28"/>
          <w:szCs w:val="28"/>
        </w:rPr>
        <w:t xml:space="preserve"> </w:t>
      </w:r>
      <w:r>
        <w:rPr>
          <w:rStyle w:val="22"/>
          <w:rFonts w:hint="eastAsia" w:ascii="黑体" w:hAnsi="黑体" w:eastAsia="黑体" w:cs="黑体"/>
          <w:bCs w:val="0"/>
          <w:color w:val="000000"/>
          <w:kern w:val="0"/>
          <w:sz w:val="28"/>
          <w:szCs w:val="28"/>
          <w:lang w:val="zh-CN"/>
        </w:rPr>
        <w:t>增强产业发展新动力</w:t>
      </w:r>
      <w:r>
        <w:rPr>
          <w:rFonts w:hint="eastAsia" w:ascii="黑体" w:hAnsi="黑体" w:eastAsia="黑体" w:cs="黑体"/>
          <w:bCs w:val="0"/>
          <w:color w:val="000000"/>
          <w:sz w:val="28"/>
          <w:szCs w:val="28"/>
          <w:lang w:val="zh-CN"/>
        </w:rPr>
        <w:fldChar w:fldCharType="end"/>
      </w:r>
      <w:r>
        <w:rPr>
          <w:rFonts w:hint="eastAsia" w:ascii="黑体" w:hAnsi="黑体" w:eastAsia="黑体" w:cs="黑体"/>
          <w:bCs w:val="0"/>
          <w:color w:val="000000"/>
          <w:sz w:val="28"/>
          <w:szCs w:val="28"/>
        </w:rPr>
        <w:t xml:space="preserve"> </w:t>
      </w:r>
      <w:r>
        <w:rPr>
          <w:rFonts w:hint="eastAsia" w:ascii="Times New Roman" w:hAnsi="Times New Roman" w:cs="Times New Roman"/>
          <w:bCs w:val="0"/>
          <w:color w:val="000000"/>
          <w:sz w:val="28"/>
          <w:szCs w:val="28"/>
        </w:rPr>
        <w:t>…………………………（17）</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"_Toc439878075"</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第五章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实施创新驱动战略</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 xml:space="preserve"> ………………………………………（17）</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"_Toc439878076"</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第六章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构建新型工业集群</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 xml:space="preserve"> ………………………………………（22）</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"_Toc439878077"</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第七章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培育现代服务业态</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 xml:space="preserve"> ………………………………………（39）</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"_Toc439878078"</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第八章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大力发展现代农业</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 xml:space="preserve"> ………………………………………（52）</w:t>
      </w:r>
    </w:p>
    <w:p>
      <w:pPr>
        <w:pStyle w:val="15"/>
        <w:tabs>
          <w:tab w:val="right" w:leader="dot" w:pos="8834"/>
        </w:tabs>
        <w:spacing w:before="0" w:line="600" w:lineRule="exact"/>
        <w:ind w:firstLine="0" w:firstLineChars="0"/>
        <w:jc w:val="distribute"/>
        <w:rPr>
          <w:rFonts w:hint="eastAsia" w:ascii="黑体" w:hAnsi="黑体" w:eastAsia="黑体" w:cs="黑体"/>
          <w:bCs w:val="0"/>
          <w:color w:val="000000"/>
          <w:sz w:val="28"/>
          <w:szCs w:val="28"/>
        </w:rPr>
      </w:pPr>
      <w:r>
        <w:rPr>
          <w:rFonts w:hint="eastAsia" w:ascii="黑体" w:hAnsi="黑体" w:eastAsia="黑体" w:cs="黑体"/>
          <w:bCs w:val="0"/>
          <w:color w:val="000000"/>
          <w:sz w:val="28"/>
          <w:szCs w:val="28"/>
          <w:lang w:val="zh-CN"/>
        </w:rPr>
        <w:fldChar w:fldCharType="begin"/>
      </w:r>
      <w:r>
        <w:rPr>
          <w:rStyle w:val="22"/>
          <w:rFonts w:hint="eastAsia" w:ascii="黑体" w:hAnsi="黑体" w:eastAsia="黑体" w:cs="黑体"/>
          <w:bCs w:val="0"/>
          <w:color w:val="000000"/>
          <w:sz w:val="28"/>
          <w:szCs w:val="28"/>
        </w:rPr>
        <w:instrText xml:space="preserve"> </w:instrText>
      </w:r>
      <w:r>
        <w:rPr>
          <w:rFonts w:hint="eastAsia" w:ascii="黑体" w:hAnsi="黑体" w:eastAsia="黑体" w:cs="黑体"/>
          <w:bCs w:val="0"/>
          <w:color w:val="000000"/>
          <w:sz w:val="28"/>
          <w:szCs w:val="28"/>
        </w:rPr>
        <w:instrText xml:space="preserve">HYPERLINK \l "_Toc439878079"</w:instrText>
      </w:r>
      <w:r>
        <w:rPr>
          <w:rStyle w:val="22"/>
          <w:rFonts w:hint="eastAsia" w:ascii="黑体" w:hAnsi="黑体" w:eastAsia="黑体" w:cs="黑体"/>
          <w:bCs w:val="0"/>
          <w:color w:val="000000"/>
          <w:sz w:val="28"/>
          <w:szCs w:val="28"/>
        </w:rPr>
        <w:instrText xml:space="preserve"> </w:instrText>
      </w:r>
      <w:r>
        <w:rPr>
          <w:rFonts w:hint="eastAsia" w:ascii="黑体" w:hAnsi="黑体" w:eastAsia="黑体" w:cs="黑体"/>
          <w:bCs w:val="0"/>
          <w:color w:val="000000"/>
          <w:sz w:val="28"/>
          <w:szCs w:val="28"/>
          <w:lang w:val="zh-CN"/>
        </w:rPr>
        <w:fldChar w:fldCharType="separate"/>
      </w:r>
      <w:r>
        <w:rPr>
          <w:rStyle w:val="22"/>
          <w:rFonts w:hint="eastAsia" w:ascii="黑体" w:hAnsi="黑体" w:eastAsia="黑体" w:cs="黑体"/>
          <w:bCs w:val="0"/>
          <w:color w:val="000000"/>
          <w:kern w:val="0"/>
          <w:sz w:val="28"/>
          <w:szCs w:val="28"/>
          <w:lang w:val="zh-CN"/>
        </w:rPr>
        <w:t>第三篇</w:t>
      </w:r>
      <w:r>
        <w:rPr>
          <w:rStyle w:val="22"/>
          <w:rFonts w:hint="eastAsia" w:ascii="黑体" w:hAnsi="黑体" w:eastAsia="黑体" w:cs="黑体"/>
          <w:bCs w:val="0"/>
          <w:color w:val="000000"/>
          <w:kern w:val="0"/>
          <w:sz w:val="28"/>
          <w:szCs w:val="28"/>
        </w:rPr>
        <w:t xml:space="preserve">  </w:t>
      </w:r>
      <w:r>
        <w:rPr>
          <w:rStyle w:val="22"/>
          <w:rFonts w:hint="eastAsia" w:ascii="黑体" w:hAnsi="黑体" w:eastAsia="黑体" w:cs="黑体"/>
          <w:bCs w:val="0"/>
          <w:color w:val="000000"/>
          <w:kern w:val="0"/>
          <w:sz w:val="28"/>
          <w:szCs w:val="28"/>
          <w:lang w:val="zh-CN"/>
        </w:rPr>
        <w:t>聚焦协调发展</w:t>
      </w:r>
      <w:r>
        <w:rPr>
          <w:rStyle w:val="22"/>
          <w:rFonts w:hint="eastAsia" w:ascii="黑体" w:hAnsi="黑体" w:eastAsia="黑体" w:cs="黑体"/>
          <w:bCs w:val="0"/>
          <w:color w:val="000000"/>
          <w:kern w:val="0"/>
          <w:sz w:val="28"/>
          <w:szCs w:val="28"/>
        </w:rPr>
        <w:t xml:space="preserve"> </w:t>
      </w:r>
      <w:r>
        <w:rPr>
          <w:rStyle w:val="22"/>
          <w:rFonts w:hint="eastAsia" w:ascii="黑体" w:hAnsi="黑体" w:eastAsia="黑体" w:cs="黑体"/>
          <w:bCs w:val="0"/>
          <w:color w:val="000000"/>
          <w:kern w:val="0"/>
          <w:sz w:val="28"/>
          <w:szCs w:val="28"/>
          <w:lang w:val="zh-CN"/>
        </w:rPr>
        <w:t>构筑均衡融合新格局</w:t>
      </w:r>
      <w:r>
        <w:rPr>
          <w:rFonts w:hint="eastAsia" w:ascii="黑体" w:hAnsi="黑体" w:eastAsia="黑体" w:cs="黑体"/>
          <w:bCs w:val="0"/>
          <w:color w:val="000000"/>
          <w:sz w:val="28"/>
          <w:szCs w:val="28"/>
          <w:lang w:val="zh-CN"/>
        </w:rPr>
        <w:fldChar w:fldCharType="end"/>
      </w:r>
      <w:r>
        <w:rPr>
          <w:rFonts w:hint="eastAsia" w:ascii="Times New Roman" w:hAnsi="Times New Roman" w:cs="Times New Roman"/>
          <w:bCs w:val="0"/>
          <w:color w:val="000000"/>
          <w:sz w:val="28"/>
          <w:szCs w:val="28"/>
        </w:rPr>
        <w:t>…………………………（60）</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"_Toc439878080"</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第九章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完善基础</w:t>
      </w:r>
      <w:bookmarkStart w:id="1" w:name="_Hlt439878596"/>
      <w:r>
        <w:rPr>
          <w:rStyle w:val="22"/>
          <w:rFonts w:ascii="Times New Roman" w:hAnsi="Times New Roman" w:cs="Times New Roman"/>
          <w:b/>
          <w:color w:val="000000"/>
          <w:kern w:val="0"/>
          <w:sz w:val="28"/>
          <w:szCs w:val="28"/>
          <w:lang w:val="zh-CN"/>
        </w:rPr>
        <w:t>设</w:t>
      </w:r>
      <w:bookmarkEnd w:id="1"/>
      <w:r>
        <w:rPr>
          <w:rStyle w:val="22"/>
          <w:rFonts w:ascii="Times New Roman" w:hAnsi="Times New Roman" w:cs="Times New Roman"/>
          <w:b/>
          <w:color w:val="000000"/>
          <w:kern w:val="0"/>
          <w:sz w:val="28"/>
          <w:szCs w:val="28"/>
          <w:lang w:val="zh-CN"/>
        </w:rPr>
        <w:t>施体系</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 xml:space="preserve"> ………………………………………（60）</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"_Toc439878086"</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第十章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推进区域协调发展</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 xml:space="preserve"> ………………………………………（69）</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"_Toc439878088"</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第十一章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促进城乡协调发展</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………………………………………（76）</w:t>
      </w:r>
    </w:p>
    <w:p>
      <w:pPr>
        <w:pStyle w:val="8"/>
        <w:tabs>
          <w:tab w:val="right" w:leader="dot" w:pos="8834"/>
        </w:tabs>
        <w:spacing w:line="600" w:lineRule="exact"/>
        <w:ind w:left="0" w:firstLine="562"/>
        <w:jc w:val="distribute"/>
        <w:rPr>
          <w:rFonts w:hint="eastAsia"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"_Toc439878092"</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第十二章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深度融入大西安</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…………………………………………（82）</w:t>
      </w:r>
    </w:p>
    <w:p>
      <w:pPr>
        <w:pStyle w:val="8"/>
        <w:tabs>
          <w:tab w:val="right" w:leader="dot" w:pos="8834"/>
        </w:tabs>
        <w:spacing w:line="600" w:lineRule="exact"/>
        <w:ind w:left="0" w:firstLine="0" w:firstLineChars="0"/>
        <w:jc w:val="distribute"/>
        <w:rPr>
          <w:rFonts w:hint="eastAsia" w:ascii="黑体" w:hAnsi="黑体" w:eastAsia="黑体" w:cs="黑体"/>
          <w:b/>
          <w:color w:val="000000"/>
          <w:sz w:val="28"/>
          <w:szCs w:val="28"/>
        </w:rPr>
      </w:pPr>
      <w:r>
        <w:rPr>
          <w:rFonts w:hint="eastAsia" w:ascii="黑体" w:hAnsi="黑体" w:eastAsia="黑体" w:cs="黑体"/>
          <w:b/>
          <w:color w:val="000000"/>
          <w:sz w:val="28"/>
          <w:szCs w:val="28"/>
          <w:lang w:val="zh-CN"/>
        </w:rPr>
        <w:fldChar w:fldCharType="begin"/>
      </w:r>
      <w:r>
        <w:rPr>
          <w:rStyle w:val="22"/>
          <w:rFonts w:hint="eastAsia" w:ascii="黑体" w:hAnsi="黑体" w:eastAsia="黑体" w:cs="黑体"/>
          <w:b/>
          <w:color w:val="000000"/>
          <w:sz w:val="28"/>
          <w:szCs w:val="28"/>
        </w:rPr>
        <w:instrText xml:space="preserve"> </w:instrText>
      </w:r>
      <w:r>
        <w:rPr>
          <w:rFonts w:hint="eastAsia" w:ascii="黑体" w:hAnsi="黑体" w:eastAsia="黑体" w:cs="黑体"/>
          <w:b/>
          <w:color w:val="000000"/>
          <w:sz w:val="28"/>
          <w:szCs w:val="28"/>
        </w:rPr>
        <w:instrText xml:space="preserve">HYPERLINK \l "_Toc439878093"</w:instrText>
      </w:r>
      <w:r>
        <w:rPr>
          <w:rStyle w:val="22"/>
          <w:rFonts w:hint="eastAsia" w:ascii="黑体" w:hAnsi="黑体" w:eastAsia="黑体" w:cs="黑体"/>
          <w:b/>
          <w:color w:val="000000"/>
          <w:sz w:val="28"/>
          <w:szCs w:val="28"/>
        </w:rPr>
        <w:instrText xml:space="preserve"> </w:instrText>
      </w:r>
      <w:r>
        <w:rPr>
          <w:rFonts w:hint="eastAsia" w:ascii="黑体" w:hAnsi="黑体" w:eastAsia="黑体" w:cs="黑体"/>
          <w:b/>
          <w:color w:val="000000"/>
          <w:sz w:val="28"/>
          <w:szCs w:val="28"/>
          <w:lang w:val="zh-CN"/>
        </w:rPr>
        <w:fldChar w:fldCharType="separate"/>
      </w:r>
      <w:r>
        <w:rPr>
          <w:rStyle w:val="22"/>
          <w:rFonts w:hint="eastAsia" w:ascii="黑体" w:hAnsi="黑体" w:eastAsia="黑体" w:cs="黑体"/>
          <w:b/>
          <w:color w:val="000000"/>
          <w:kern w:val="0"/>
          <w:sz w:val="28"/>
          <w:szCs w:val="28"/>
          <w:lang w:val="zh-CN"/>
        </w:rPr>
        <w:t>第四篇</w:t>
      </w:r>
      <w:r>
        <w:rPr>
          <w:rStyle w:val="22"/>
          <w:rFonts w:hint="eastAsia" w:ascii="黑体" w:hAnsi="黑体" w:eastAsia="黑体" w:cs="黑体"/>
          <w:b/>
          <w:color w:val="000000"/>
          <w:kern w:val="0"/>
          <w:sz w:val="28"/>
          <w:szCs w:val="28"/>
        </w:rPr>
        <w:t xml:space="preserve">  </w:t>
      </w:r>
      <w:r>
        <w:rPr>
          <w:rStyle w:val="22"/>
          <w:rFonts w:hint="eastAsia" w:ascii="黑体" w:hAnsi="黑体" w:eastAsia="黑体" w:cs="黑体"/>
          <w:b/>
          <w:color w:val="000000"/>
          <w:kern w:val="0"/>
          <w:sz w:val="28"/>
          <w:szCs w:val="28"/>
          <w:lang w:val="zh-CN"/>
        </w:rPr>
        <w:t>聚焦绿色发展</w:t>
      </w:r>
      <w:r>
        <w:rPr>
          <w:rStyle w:val="22"/>
          <w:rFonts w:hint="eastAsia" w:ascii="黑体" w:hAnsi="黑体" w:eastAsia="黑体" w:cs="黑体"/>
          <w:b/>
          <w:color w:val="000000"/>
          <w:kern w:val="0"/>
          <w:sz w:val="28"/>
          <w:szCs w:val="28"/>
        </w:rPr>
        <w:t xml:space="preserve">  </w:t>
      </w:r>
      <w:r>
        <w:rPr>
          <w:rStyle w:val="22"/>
          <w:rFonts w:hint="eastAsia" w:ascii="黑体" w:hAnsi="黑体" w:eastAsia="黑体" w:cs="黑体"/>
          <w:b/>
          <w:color w:val="000000"/>
          <w:kern w:val="0"/>
          <w:sz w:val="28"/>
          <w:szCs w:val="28"/>
          <w:lang w:val="zh-CN"/>
        </w:rPr>
        <w:t>建设生态文明新家园</w:t>
      </w:r>
      <w:r>
        <w:rPr>
          <w:rFonts w:hint="eastAsia" w:ascii="黑体" w:hAnsi="黑体" w:eastAsia="黑体" w:cs="黑体"/>
          <w:b/>
          <w:color w:val="000000"/>
          <w:sz w:val="28"/>
          <w:szCs w:val="28"/>
          <w:lang w:val="zh-CN"/>
        </w:rPr>
        <w:fldChar w:fldCharType="end"/>
      </w:r>
      <w:r>
        <w:rPr>
          <w:rFonts w:hint="eastAsia" w:ascii="黑体" w:hAnsi="黑体" w:eastAsia="黑体" w:cs="黑体"/>
          <w:b/>
          <w:color w:val="000000"/>
          <w:sz w:val="28"/>
          <w:szCs w:val="28"/>
        </w:rPr>
        <w:t xml:space="preserve"> </w:t>
      </w:r>
      <w:r>
        <w:rPr>
          <w:rFonts w:hint="eastAsia" w:ascii="Times New Roman" w:hAnsi="Times New Roman" w:cs="Times New Roman"/>
          <w:b/>
          <w:color w:val="000000"/>
          <w:sz w:val="28"/>
          <w:szCs w:val="28"/>
        </w:rPr>
        <w:t>………………………（85）</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"_Toc439878094"</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第十三章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强化环境综合治理</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 xml:space="preserve"> ……………………………………（85）</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"_Toc439878095"</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第十四章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节约高效利用资源</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 xml:space="preserve"> ……………………………………（87）</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"_Toc439878096"</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第十五章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加快生态文明建设</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 xml:space="preserve"> ……………………………………（89）</w:t>
      </w:r>
    </w:p>
    <w:p>
      <w:pPr>
        <w:pStyle w:val="15"/>
        <w:tabs>
          <w:tab w:val="right" w:leader="dot" w:pos="8834"/>
        </w:tabs>
        <w:spacing w:before="0" w:line="600" w:lineRule="exact"/>
        <w:ind w:firstLine="0" w:firstLineChars="0"/>
        <w:jc w:val="distribute"/>
        <w:rPr>
          <w:rFonts w:hint="eastAsia" w:ascii="黑体" w:hAnsi="黑体" w:eastAsia="黑体" w:cs="黑体"/>
          <w:bCs w:val="0"/>
          <w:color w:val="000000"/>
          <w:sz w:val="28"/>
          <w:szCs w:val="28"/>
        </w:rPr>
      </w:pPr>
      <w:r>
        <w:rPr>
          <w:rFonts w:hint="eastAsia" w:ascii="黑体" w:hAnsi="黑体" w:eastAsia="黑体" w:cs="黑体"/>
          <w:bCs w:val="0"/>
          <w:color w:val="000000"/>
          <w:sz w:val="28"/>
          <w:szCs w:val="28"/>
          <w:lang w:val="zh-CN"/>
        </w:rPr>
        <w:fldChar w:fldCharType="begin"/>
      </w:r>
      <w:r>
        <w:rPr>
          <w:rStyle w:val="22"/>
          <w:rFonts w:hint="eastAsia" w:ascii="黑体" w:hAnsi="黑体" w:eastAsia="黑体" w:cs="黑体"/>
          <w:bCs w:val="0"/>
          <w:color w:val="000000"/>
          <w:sz w:val="28"/>
          <w:szCs w:val="28"/>
        </w:rPr>
        <w:instrText xml:space="preserve"> </w:instrText>
      </w:r>
      <w:r>
        <w:rPr>
          <w:rFonts w:hint="eastAsia" w:ascii="黑体" w:hAnsi="黑体" w:eastAsia="黑体" w:cs="黑体"/>
          <w:bCs w:val="0"/>
          <w:color w:val="000000"/>
          <w:sz w:val="28"/>
          <w:szCs w:val="28"/>
        </w:rPr>
        <w:instrText xml:space="preserve">HYPERLINK \l "_Toc439878098"</w:instrText>
      </w:r>
      <w:r>
        <w:rPr>
          <w:rStyle w:val="22"/>
          <w:rFonts w:hint="eastAsia" w:ascii="黑体" w:hAnsi="黑体" w:eastAsia="黑体" w:cs="黑体"/>
          <w:bCs w:val="0"/>
          <w:color w:val="000000"/>
          <w:sz w:val="28"/>
          <w:szCs w:val="28"/>
        </w:rPr>
        <w:instrText xml:space="preserve"> </w:instrText>
      </w:r>
      <w:r>
        <w:rPr>
          <w:rFonts w:hint="eastAsia" w:ascii="黑体" w:hAnsi="黑体" w:eastAsia="黑体" w:cs="黑体"/>
          <w:bCs w:val="0"/>
          <w:color w:val="000000"/>
          <w:sz w:val="28"/>
          <w:szCs w:val="28"/>
          <w:lang w:val="zh-CN"/>
        </w:rPr>
        <w:fldChar w:fldCharType="separate"/>
      </w:r>
      <w:r>
        <w:rPr>
          <w:rStyle w:val="22"/>
          <w:rFonts w:hint="eastAsia" w:ascii="黑体" w:hAnsi="黑体" w:eastAsia="黑体" w:cs="黑体"/>
          <w:bCs w:val="0"/>
          <w:color w:val="000000"/>
          <w:kern w:val="0"/>
          <w:sz w:val="28"/>
          <w:szCs w:val="28"/>
          <w:lang w:val="zh-CN"/>
        </w:rPr>
        <w:t>第五篇</w:t>
      </w:r>
      <w:r>
        <w:rPr>
          <w:rStyle w:val="22"/>
          <w:rFonts w:hint="eastAsia" w:ascii="黑体" w:hAnsi="黑体" w:eastAsia="黑体" w:cs="黑体"/>
          <w:bCs w:val="0"/>
          <w:color w:val="000000"/>
          <w:kern w:val="0"/>
          <w:sz w:val="28"/>
          <w:szCs w:val="28"/>
        </w:rPr>
        <w:t xml:space="preserve">  </w:t>
      </w:r>
      <w:r>
        <w:rPr>
          <w:rStyle w:val="22"/>
          <w:rFonts w:hint="eastAsia" w:ascii="黑体" w:hAnsi="黑体" w:eastAsia="黑体" w:cs="黑体"/>
          <w:bCs w:val="0"/>
          <w:color w:val="000000"/>
          <w:kern w:val="0"/>
          <w:sz w:val="28"/>
          <w:szCs w:val="28"/>
          <w:lang w:val="zh-CN"/>
        </w:rPr>
        <w:t>聚焦开放发展</w:t>
      </w:r>
      <w:r>
        <w:rPr>
          <w:rStyle w:val="22"/>
          <w:rFonts w:hint="eastAsia" w:ascii="黑体" w:hAnsi="黑体" w:eastAsia="黑体" w:cs="黑体"/>
          <w:bCs w:val="0"/>
          <w:color w:val="000000"/>
          <w:kern w:val="0"/>
          <w:sz w:val="28"/>
          <w:szCs w:val="28"/>
        </w:rPr>
        <w:t xml:space="preserve">  </w:t>
      </w:r>
      <w:r>
        <w:rPr>
          <w:rStyle w:val="22"/>
          <w:rFonts w:hint="eastAsia" w:ascii="黑体" w:hAnsi="黑体" w:eastAsia="黑体" w:cs="黑体"/>
          <w:bCs w:val="0"/>
          <w:color w:val="000000"/>
          <w:kern w:val="0"/>
          <w:sz w:val="28"/>
          <w:szCs w:val="28"/>
          <w:lang w:val="zh-CN"/>
        </w:rPr>
        <w:t>打造改革开放新高地</w:t>
      </w:r>
      <w:r>
        <w:rPr>
          <w:rFonts w:hint="eastAsia" w:ascii="黑体" w:hAnsi="黑体" w:eastAsia="黑体" w:cs="黑体"/>
          <w:bCs w:val="0"/>
          <w:color w:val="000000"/>
          <w:sz w:val="28"/>
          <w:szCs w:val="28"/>
          <w:lang w:val="zh-CN"/>
        </w:rPr>
        <w:fldChar w:fldCharType="end"/>
      </w:r>
      <w:r>
        <w:rPr>
          <w:rFonts w:hint="eastAsia" w:ascii="黑体" w:hAnsi="黑体" w:eastAsia="黑体" w:cs="黑体"/>
          <w:bCs w:val="0"/>
          <w:color w:val="000000"/>
          <w:sz w:val="28"/>
          <w:szCs w:val="28"/>
        </w:rPr>
        <w:t xml:space="preserve"> </w:t>
      </w:r>
      <w:r>
        <w:rPr>
          <w:rFonts w:hint="eastAsia" w:ascii="Times New Roman" w:hAnsi="Times New Roman" w:cs="Times New Roman"/>
          <w:bCs w:val="0"/>
          <w:color w:val="000000"/>
          <w:sz w:val="28"/>
          <w:szCs w:val="28"/>
        </w:rPr>
        <w:t>………………………（93）</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"_Toc439878099"</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第十六章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推进供给侧结构性改革</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 xml:space="preserve"> ………………………………（93）</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"_Toc439878100"</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第十七章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积极融入</w:t>
      </w:r>
      <w:r>
        <w:rPr>
          <w:rStyle w:val="22"/>
          <w:rFonts w:ascii="Times New Roman" w:hAnsi="Times New Roman" w:cs="Times New Roman"/>
          <w:b/>
          <w:color w:val="000000"/>
          <w:kern w:val="0"/>
          <w:sz w:val="28"/>
          <w:szCs w:val="28"/>
        </w:rPr>
        <w:t>“</w:t>
      </w:r>
      <w:r>
        <w:rPr>
          <w:rStyle w:val="22"/>
          <w:rFonts w:ascii="Times New Roman" w:hAnsi="Times New Roman" w:cs="Times New Roman"/>
          <w:b/>
          <w:color w:val="000000"/>
          <w:kern w:val="0"/>
          <w:sz w:val="28"/>
          <w:szCs w:val="28"/>
          <w:lang w:val="zh-CN"/>
        </w:rPr>
        <w:t>一带一路</w:t>
      </w:r>
      <w:r>
        <w:rPr>
          <w:rStyle w:val="22"/>
          <w:rFonts w:ascii="Times New Roman" w:hAnsi="Times New Roman" w:cs="Times New Roman"/>
          <w:b/>
          <w:color w:val="000000"/>
          <w:kern w:val="0"/>
          <w:sz w:val="28"/>
          <w:szCs w:val="28"/>
        </w:rPr>
        <w:t>”</w:t>
      </w:r>
      <w:r>
        <w:rPr>
          <w:rStyle w:val="22"/>
          <w:rFonts w:ascii="Times New Roman" w:hAnsi="Times New Roman" w:cs="Times New Roman"/>
          <w:b/>
          <w:color w:val="000000"/>
          <w:kern w:val="0"/>
          <w:sz w:val="28"/>
          <w:szCs w:val="28"/>
          <w:lang w:val="zh-CN"/>
        </w:rPr>
        <w:t>建设</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 xml:space="preserve"> ……………………………（98）</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"_Toc439878101"</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第十八章</w:t>
      </w:r>
      <w:r>
        <w:rPr>
          <w:rStyle w:val="22"/>
          <w:rFonts w:ascii="Times New Roman" w:hAnsi="Times New Roman" w:cs="Times New Roman"/>
          <w:b/>
          <w:color w:val="000000"/>
          <w:kern w:val="0"/>
          <w:sz w:val="28"/>
          <w:szCs w:val="28"/>
        </w:rPr>
        <w:t xml:space="preserve">  进一步扩大对外开放</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 xml:space="preserve"> …………………………………（99）</w:t>
      </w:r>
    </w:p>
    <w:p>
      <w:pPr>
        <w:pStyle w:val="15"/>
        <w:tabs>
          <w:tab w:val="right" w:leader="dot" w:pos="8834"/>
        </w:tabs>
        <w:spacing w:before="0" w:line="600" w:lineRule="exact"/>
        <w:ind w:firstLine="0" w:firstLineChars="0"/>
        <w:jc w:val="distribute"/>
        <w:rPr>
          <w:rFonts w:hint="eastAsia" w:ascii="黑体" w:hAnsi="黑体" w:eastAsia="黑体" w:cs="黑体"/>
          <w:bCs w:val="0"/>
          <w:color w:val="000000"/>
          <w:sz w:val="28"/>
          <w:szCs w:val="28"/>
        </w:rPr>
      </w:pPr>
      <w:r>
        <w:rPr>
          <w:rFonts w:hint="eastAsia" w:ascii="黑体" w:hAnsi="黑体" w:eastAsia="黑体" w:cs="黑体"/>
          <w:bCs w:val="0"/>
          <w:color w:val="000000"/>
          <w:sz w:val="28"/>
          <w:szCs w:val="28"/>
          <w:lang w:val="zh-CN"/>
        </w:rPr>
        <w:fldChar w:fldCharType="begin"/>
      </w:r>
      <w:r>
        <w:rPr>
          <w:rStyle w:val="22"/>
          <w:rFonts w:hint="eastAsia" w:ascii="黑体" w:hAnsi="黑体" w:eastAsia="黑体" w:cs="黑体"/>
          <w:bCs w:val="0"/>
          <w:color w:val="000000"/>
          <w:sz w:val="28"/>
          <w:szCs w:val="28"/>
        </w:rPr>
        <w:instrText xml:space="preserve"> </w:instrText>
      </w:r>
      <w:r>
        <w:rPr>
          <w:rFonts w:hint="eastAsia" w:ascii="黑体" w:hAnsi="黑体" w:eastAsia="黑体" w:cs="黑体"/>
          <w:bCs w:val="0"/>
          <w:color w:val="000000"/>
          <w:sz w:val="28"/>
          <w:szCs w:val="28"/>
        </w:rPr>
        <w:instrText xml:space="preserve">HYPERLINK \l "_Toc439878102"</w:instrText>
      </w:r>
      <w:r>
        <w:rPr>
          <w:rStyle w:val="22"/>
          <w:rFonts w:hint="eastAsia" w:ascii="黑体" w:hAnsi="黑体" w:eastAsia="黑体" w:cs="黑体"/>
          <w:bCs w:val="0"/>
          <w:color w:val="000000"/>
          <w:sz w:val="28"/>
          <w:szCs w:val="28"/>
        </w:rPr>
        <w:instrText xml:space="preserve"> </w:instrText>
      </w:r>
      <w:r>
        <w:rPr>
          <w:rFonts w:hint="eastAsia" w:ascii="黑体" w:hAnsi="黑体" w:eastAsia="黑体" w:cs="黑体"/>
          <w:bCs w:val="0"/>
          <w:color w:val="000000"/>
          <w:sz w:val="28"/>
          <w:szCs w:val="28"/>
          <w:lang w:val="zh-CN"/>
        </w:rPr>
        <w:fldChar w:fldCharType="separate"/>
      </w:r>
      <w:r>
        <w:rPr>
          <w:rStyle w:val="22"/>
          <w:rFonts w:hint="eastAsia" w:ascii="黑体" w:hAnsi="黑体" w:eastAsia="黑体" w:cs="黑体"/>
          <w:bCs w:val="0"/>
          <w:color w:val="000000"/>
          <w:kern w:val="0"/>
          <w:sz w:val="28"/>
          <w:szCs w:val="28"/>
          <w:lang w:val="zh-CN"/>
        </w:rPr>
        <w:t>第六篇</w:t>
      </w:r>
      <w:r>
        <w:rPr>
          <w:rStyle w:val="22"/>
          <w:rFonts w:hint="eastAsia" w:ascii="黑体" w:hAnsi="黑体" w:eastAsia="黑体" w:cs="黑体"/>
          <w:bCs w:val="0"/>
          <w:color w:val="000000"/>
          <w:kern w:val="0"/>
          <w:sz w:val="28"/>
          <w:szCs w:val="28"/>
        </w:rPr>
        <w:t xml:space="preserve">  </w:t>
      </w:r>
      <w:r>
        <w:rPr>
          <w:rStyle w:val="22"/>
          <w:rFonts w:hint="eastAsia" w:ascii="黑体" w:hAnsi="黑体" w:eastAsia="黑体" w:cs="黑体"/>
          <w:bCs w:val="0"/>
          <w:color w:val="000000"/>
          <w:kern w:val="0"/>
          <w:sz w:val="28"/>
          <w:szCs w:val="28"/>
          <w:lang w:val="zh-CN"/>
        </w:rPr>
        <w:t>聚焦共享发展</w:t>
      </w:r>
      <w:r>
        <w:rPr>
          <w:rStyle w:val="22"/>
          <w:rFonts w:hint="eastAsia" w:ascii="黑体" w:hAnsi="黑体" w:eastAsia="黑体" w:cs="黑体"/>
          <w:bCs w:val="0"/>
          <w:color w:val="000000"/>
          <w:kern w:val="0"/>
          <w:sz w:val="28"/>
          <w:szCs w:val="28"/>
        </w:rPr>
        <w:t xml:space="preserve">  </w:t>
      </w:r>
      <w:r>
        <w:rPr>
          <w:rStyle w:val="22"/>
          <w:rFonts w:hint="eastAsia" w:ascii="黑体" w:hAnsi="黑体" w:eastAsia="黑体" w:cs="黑体"/>
          <w:bCs w:val="0"/>
          <w:color w:val="000000"/>
          <w:kern w:val="0"/>
          <w:sz w:val="28"/>
          <w:szCs w:val="28"/>
          <w:lang w:val="zh-CN"/>
        </w:rPr>
        <w:t>汇聚全面小康新合力</w:t>
      </w:r>
      <w:r>
        <w:rPr>
          <w:rFonts w:hint="eastAsia" w:ascii="黑体" w:hAnsi="黑体" w:eastAsia="黑体" w:cs="黑体"/>
          <w:bCs w:val="0"/>
          <w:color w:val="000000"/>
          <w:sz w:val="28"/>
          <w:szCs w:val="28"/>
          <w:lang w:val="zh-CN"/>
        </w:rPr>
        <w:fldChar w:fldCharType="end"/>
      </w:r>
      <w:r>
        <w:rPr>
          <w:rFonts w:hint="eastAsia" w:ascii="Times New Roman" w:hAnsi="Times New Roman" w:cs="Times New Roman"/>
          <w:bCs w:val="0"/>
          <w:color w:val="000000"/>
          <w:sz w:val="28"/>
          <w:szCs w:val="28"/>
        </w:rPr>
        <w:t>………………………（102）</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"_Toc439878103"</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第十九章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凝心聚力推进精准脱贫</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………………………………（102）</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"_Toc439878104"</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第二十章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共建共享幸福美好生活</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………………………………（107）</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"_Toc439878109"</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第二十一章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扎实推进文化强市建设</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……………………………（113）</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"_Toc439878110"</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第二十二章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着力提升全民健康素质</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……………………………（116）</w:t>
      </w:r>
    </w:p>
    <w:p>
      <w:pPr>
        <w:pStyle w:val="15"/>
        <w:tabs>
          <w:tab w:val="right" w:leader="dot" w:pos="8834"/>
        </w:tabs>
        <w:spacing w:before="0" w:line="600" w:lineRule="exact"/>
        <w:ind w:firstLine="0" w:firstLineChars="0"/>
        <w:jc w:val="distribute"/>
        <w:rPr>
          <w:rFonts w:hint="eastAsia" w:ascii="黑体" w:hAnsi="黑体" w:eastAsia="黑体" w:cs="黑体"/>
          <w:bCs w:val="0"/>
          <w:color w:val="000000"/>
          <w:sz w:val="28"/>
          <w:szCs w:val="28"/>
        </w:rPr>
      </w:pPr>
      <w:r>
        <w:rPr>
          <w:rFonts w:hint="eastAsia" w:ascii="黑体" w:hAnsi="黑体" w:eastAsia="黑体" w:cs="黑体"/>
          <w:bCs w:val="0"/>
          <w:color w:val="000000"/>
          <w:sz w:val="28"/>
          <w:szCs w:val="28"/>
          <w:lang w:val="zh-CN"/>
        </w:rPr>
        <w:fldChar w:fldCharType="begin"/>
      </w:r>
      <w:r>
        <w:rPr>
          <w:rStyle w:val="22"/>
          <w:rFonts w:hint="eastAsia" w:ascii="黑体" w:hAnsi="黑体" w:eastAsia="黑体" w:cs="黑体"/>
          <w:bCs w:val="0"/>
          <w:color w:val="000000"/>
          <w:sz w:val="28"/>
          <w:szCs w:val="28"/>
        </w:rPr>
        <w:instrText xml:space="preserve"> </w:instrText>
      </w:r>
      <w:r>
        <w:rPr>
          <w:rFonts w:hint="eastAsia" w:ascii="黑体" w:hAnsi="黑体" w:eastAsia="黑体" w:cs="黑体"/>
          <w:bCs w:val="0"/>
          <w:color w:val="000000"/>
          <w:sz w:val="28"/>
          <w:szCs w:val="28"/>
        </w:rPr>
        <w:instrText xml:space="preserve">HYPERLINK \l "_Toc439878111"</w:instrText>
      </w:r>
      <w:r>
        <w:rPr>
          <w:rStyle w:val="22"/>
          <w:rFonts w:hint="eastAsia" w:ascii="黑体" w:hAnsi="黑体" w:eastAsia="黑体" w:cs="黑体"/>
          <w:bCs w:val="0"/>
          <w:color w:val="000000"/>
          <w:sz w:val="28"/>
          <w:szCs w:val="28"/>
        </w:rPr>
        <w:instrText xml:space="preserve"> </w:instrText>
      </w:r>
      <w:r>
        <w:rPr>
          <w:rFonts w:hint="eastAsia" w:ascii="黑体" w:hAnsi="黑体" w:eastAsia="黑体" w:cs="黑体"/>
          <w:bCs w:val="0"/>
          <w:color w:val="000000"/>
          <w:sz w:val="28"/>
          <w:szCs w:val="28"/>
          <w:lang w:val="zh-CN"/>
        </w:rPr>
        <w:fldChar w:fldCharType="separate"/>
      </w:r>
      <w:r>
        <w:rPr>
          <w:rStyle w:val="22"/>
          <w:rFonts w:hint="eastAsia" w:ascii="黑体" w:hAnsi="黑体" w:eastAsia="黑体" w:cs="黑体"/>
          <w:bCs w:val="0"/>
          <w:color w:val="000000"/>
          <w:kern w:val="0"/>
          <w:sz w:val="28"/>
          <w:szCs w:val="28"/>
          <w:lang w:val="zh-CN"/>
        </w:rPr>
        <w:t>第七篇</w:t>
      </w:r>
      <w:r>
        <w:rPr>
          <w:rStyle w:val="22"/>
          <w:rFonts w:hint="eastAsia" w:ascii="黑体" w:hAnsi="黑体" w:eastAsia="黑体" w:cs="黑体"/>
          <w:bCs w:val="0"/>
          <w:color w:val="000000"/>
          <w:kern w:val="0"/>
          <w:sz w:val="28"/>
          <w:szCs w:val="28"/>
        </w:rPr>
        <w:t xml:space="preserve">  </w:t>
      </w:r>
      <w:r>
        <w:rPr>
          <w:rStyle w:val="22"/>
          <w:rFonts w:hint="eastAsia" w:ascii="黑体" w:hAnsi="黑体" w:eastAsia="黑体" w:cs="黑体"/>
          <w:bCs w:val="0"/>
          <w:color w:val="000000"/>
          <w:kern w:val="0"/>
          <w:sz w:val="28"/>
          <w:szCs w:val="28"/>
          <w:lang w:val="zh-CN"/>
        </w:rPr>
        <w:t>强化保障支撑</w:t>
      </w:r>
      <w:r>
        <w:rPr>
          <w:rStyle w:val="22"/>
          <w:rFonts w:hint="eastAsia" w:ascii="黑体" w:hAnsi="黑体" w:eastAsia="黑体" w:cs="黑体"/>
          <w:bCs w:val="0"/>
          <w:color w:val="000000"/>
          <w:kern w:val="0"/>
          <w:sz w:val="28"/>
          <w:szCs w:val="28"/>
        </w:rPr>
        <w:t xml:space="preserve"> </w:t>
      </w:r>
      <w:r>
        <w:rPr>
          <w:rStyle w:val="22"/>
          <w:rFonts w:hint="eastAsia" w:ascii="黑体" w:hAnsi="黑体" w:eastAsia="黑体" w:cs="黑体"/>
          <w:bCs w:val="0"/>
          <w:color w:val="000000"/>
          <w:kern w:val="0"/>
          <w:sz w:val="28"/>
          <w:szCs w:val="28"/>
          <w:lang w:val="zh-CN"/>
        </w:rPr>
        <w:t>铸就咸阳发展新辉煌</w:t>
      </w:r>
      <w:r>
        <w:rPr>
          <w:rFonts w:hint="eastAsia" w:ascii="黑体" w:hAnsi="黑体" w:eastAsia="黑体" w:cs="黑体"/>
          <w:bCs w:val="0"/>
          <w:color w:val="000000"/>
          <w:sz w:val="28"/>
          <w:szCs w:val="28"/>
          <w:lang w:val="zh-CN"/>
        </w:rPr>
        <w:fldChar w:fldCharType="end"/>
      </w:r>
      <w:r>
        <w:rPr>
          <w:rFonts w:hint="eastAsia" w:ascii="黑体" w:hAnsi="黑体" w:eastAsia="黑体" w:cs="黑体"/>
          <w:bCs w:val="0"/>
          <w:color w:val="000000"/>
          <w:sz w:val="28"/>
          <w:szCs w:val="28"/>
        </w:rPr>
        <w:t xml:space="preserve"> </w:t>
      </w:r>
      <w:r>
        <w:rPr>
          <w:rFonts w:hint="eastAsia" w:ascii="Times New Roman" w:hAnsi="Times New Roman" w:cs="Times New Roman"/>
          <w:bCs w:val="0"/>
          <w:color w:val="000000"/>
          <w:sz w:val="28"/>
          <w:szCs w:val="28"/>
        </w:rPr>
        <w:t>………………………（120）</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"_Toc439878112"</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第二十三章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切实加强党的领导</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…………………………………（120）</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"_Toc439878113"</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第二十四章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促进人才队伍建设</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…………………………………（121）</w:t>
      </w:r>
    </w:p>
    <w:p>
      <w:pPr>
        <w:pStyle w:val="8"/>
        <w:tabs>
          <w:tab w:val="right" w:leader="dot" w:pos="8834"/>
        </w:tabs>
        <w:spacing w:line="600" w:lineRule="exact"/>
        <w:ind w:left="0" w:firstLine="562"/>
        <w:jc w:val="distribute"/>
        <w:rPr>
          <w:rFonts w:ascii="Times New Roman" w:hAnsi="Times New Roman" w:cs="Times New Roman"/>
          <w:b/>
          <w:color w:val="000000"/>
          <w:sz w:val="28"/>
          <w:szCs w:val="28"/>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"_Toc439878114"</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第二十五章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加强法治咸阳建设</w:t>
      </w:r>
      <w:r>
        <w:rPr>
          <w:rFonts w:ascii="Times New Roman" w:hAnsi="Times New Roman" w:cs="Times New Roman"/>
          <w:b/>
          <w:color w:val="000000"/>
          <w:sz w:val="28"/>
          <w:szCs w:val="28"/>
          <w:lang w:val="zh-CN"/>
        </w:rPr>
        <w:fldChar w:fldCharType="end"/>
      </w:r>
      <w:r>
        <w:rPr>
          <w:rFonts w:hint="eastAsia" w:ascii="Times New Roman" w:hAnsi="Times New Roman" w:cs="Times New Roman"/>
          <w:b/>
          <w:color w:val="000000"/>
          <w:sz w:val="28"/>
          <w:szCs w:val="28"/>
        </w:rPr>
        <w:t>…………………………………（122）</w:t>
      </w:r>
    </w:p>
    <w:p>
      <w:pPr>
        <w:pStyle w:val="8"/>
        <w:tabs>
          <w:tab w:val="right" w:leader="dot" w:pos="8834"/>
        </w:tabs>
        <w:spacing w:line="600" w:lineRule="exact"/>
        <w:ind w:left="0" w:firstLine="562"/>
        <w:jc w:val="distribute"/>
        <w:rPr>
          <w:rFonts w:ascii="Times New Roman" w:hAnsi="Times New Roman" w:cs="Times New Roman"/>
          <w:b/>
          <w:color w:val="000000"/>
        </w:rPr>
      </w:pPr>
      <w:r>
        <w:rPr>
          <w:rFonts w:ascii="Times New Roman" w:hAnsi="Times New Roman" w:cs="Times New Roman"/>
          <w:b/>
          <w:color w:val="000000"/>
          <w:sz w:val="28"/>
          <w:szCs w:val="28"/>
          <w:lang w:val="zh-CN"/>
        </w:rPr>
        <w:fldChar w:fldCharType="begin"/>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rPr>
        <w:instrText xml:space="preserve">HYPERLINK \l "_Toc439878115"</w:instrText>
      </w:r>
      <w:r>
        <w:rPr>
          <w:rStyle w:val="22"/>
          <w:rFonts w:ascii="Times New Roman" w:hAnsi="Times New Roman" w:cs="Times New Roman"/>
          <w:b/>
          <w:color w:val="000000"/>
          <w:sz w:val="28"/>
          <w:szCs w:val="28"/>
        </w:rPr>
        <w:instrText xml:space="preserve"> </w:instrText>
      </w:r>
      <w:r>
        <w:rPr>
          <w:rFonts w:ascii="Times New Roman" w:hAnsi="Times New Roman" w:cs="Times New Roman"/>
          <w:b/>
          <w:color w:val="000000"/>
          <w:sz w:val="28"/>
          <w:szCs w:val="28"/>
          <w:lang w:val="zh-CN"/>
        </w:rPr>
        <w:fldChar w:fldCharType="separate"/>
      </w:r>
      <w:r>
        <w:rPr>
          <w:rStyle w:val="22"/>
          <w:rFonts w:ascii="Times New Roman" w:hAnsi="Times New Roman" w:cs="Times New Roman"/>
          <w:b/>
          <w:color w:val="000000"/>
          <w:kern w:val="0"/>
          <w:sz w:val="28"/>
          <w:szCs w:val="28"/>
          <w:lang w:val="zh-CN"/>
        </w:rPr>
        <w:t>第二十六章</w:t>
      </w:r>
      <w:r>
        <w:rPr>
          <w:rStyle w:val="22"/>
          <w:rFonts w:ascii="Times New Roman" w:hAnsi="Times New Roman" w:cs="Times New Roman"/>
          <w:b/>
          <w:color w:val="000000"/>
          <w:kern w:val="0"/>
          <w:sz w:val="28"/>
          <w:szCs w:val="28"/>
        </w:rPr>
        <w:t xml:space="preserve">  </w:t>
      </w:r>
      <w:r>
        <w:rPr>
          <w:rStyle w:val="22"/>
          <w:rFonts w:ascii="Times New Roman" w:hAnsi="Times New Roman" w:cs="Times New Roman"/>
          <w:b/>
          <w:color w:val="000000"/>
          <w:kern w:val="0"/>
          <w:sz w:val="28"/>
          <w:szCs w:val="28"/>
          <w:lang w:val="zh-CN"/>
        </w:rPr>
        <w:t>加强规划组织实施</w:t>
      </w:r>
      <w:r>
        <w:rPr>
          <w:rFonts w:ascii="Times New Roman" w:hAnsi="Times New Roman" w:cs="Times New Roman"/>
          <w:b/>
          <w:color w:val="000000"/>
          <w:sz w:val="28"/>
          <w:szCs w:val="28"/>
          <w:lang w:val="zh-CN"/>
        </w:rPr>
        <w:fldChar w:fldCharType="end"/>
      </w:r>
      <w:r>
        <w:rPr>
          <w:rFonts w:ascii="Times New Roman" w:hAnsi="Times New Roman" w:cs="Times New Roman"/>
          <w:b/>
          <w:color w:val="000000"/>
          <w:kern w:val="0"/>
          <w:sz w:val="28"/>
          <w:szCs w:val="28"/>
        </w:rPr>
        <w:fldChar w:fldCharType="end"/>
      </w:r>
      <w:r>
        <w:rPr>
          <w:rFonts w:hint="eastAsia" w:ascii="Times New Roman" w:hAnsi="Times New Roman" w:cs="Times New Roman"/>
          <w:b/>
          <w:color w:val="000000"/>
          <w:sz w:val="28"/>
          <w:szCs w:val="28"/>
        </w:rPr>
        <w:t>…………………………………（123）</w:t>
      </w:r>
    </w:p>
    <w:p>
      <w:pPr>
        <w:spacing w:line="600" w:lineRule="exact"/>
        <w:ind w:firstLine="602"/>
        <w:rPr>
          <w:rFonts w:ascii="Times New Roman"/>
          <w:b/>
          <w:color w:val="000000"/>
        </w:rPr>
      </w:pPr>
    </w:p>
    <w:p>
      <w:pPr>
        <w:spacing w:line="600" w:lineRule="exact"/>
        <w:ind w:firstLine="602"/>
        <w:rPr>
          <w:rFonts w:ascii="Times New Roman"/>
          <w:b/>
          <w:color w:val="000000"/>
        </w:rPr>
      </w:pPr>
    </w:p>
    <w:p>
      <w:pPr>
        <w:spacing w:line="600" w:lineRule="exact"/>
        <w:ind w:firstLine="602"/>
        <w:rPr>
          <w:rFonts w:ascii="Times New Roman"/>
          <w:b/>
          <w:color w:val="000000"/>
        </w:rPr>
      </w:pPr>
    </w:p>
    <w:p>
      <w:pPr>
        <w:spacing w:line="600" w:lineRule="exact"/>
        <w:ind w:firstLine="643"/>
        <w:rPr>
          <w:rFonts w:ascii="Times New Roman"/>
          <w:b/>
          <w:color w:val="000000"/>
          <w:sz w:val="32"/>
          <w:szCs w:val="32"/>
        </w:rPr>
        <w:sectPr>
          <w:footerReference r:id="rId11" w:type="default"/>
          <w:pgSz w:w="11906" w:h="16838"/>
          <w:pgMar w:top="1701" w:right="1502" w:bottom="1871" w:left="1502" w:header="851" w:footer="1446" w:gutter="0"/>
          <w:cols w:space="720" w:num="1"/>
          <w:docGrid w:linePitch="410" w:charSpace="0"/>
        </w:sectPr>
      </w:pPr>
    </w:p>
    <w:p>
      <w:pPr>
        <w:spacing w:line="600" w:lineRule="exact"/>
        <w:ind w:left="300" w:leftChars="100" w:right="300" w:rightChars="100" w:firstLine="643"/>
        <w:rPr>
          <w:rFonts w:ascii="Times New Roman"/>
          <w:b/>
          <w:color w:val="000000"/>
          <w:sz w:val="32"/>
          <w:szCs w:val="32"/>
        </w:rPr>
      </w:pPr>
    </w:p>
    <w:p>
      <w:pPr>
        <w:spacing w:line="600" w:lineRule="exact"/>
        <w:ind w:left="300" w:leftChars="100" w:right="300" w:rightChars="100" w:firstLine="643"/>
        <w:rPr>
          <w:rFonts w:ascii="Times New Roman"/>
          <w:b/>
          <w:color w:val="000000"/>
          <w:sz w:val="32"/>
          <w:szCs w:val="32"/>
        </w:rPr>
      </w:pPr>
      <w:r>
        <w:rPr>
          <w:rFonts w:ascii="Times New Roman"/>
          <w:b/>
          <w:color w:val="000000"/>
          <w:sz w:val="32"/>
          <w:szCs w:val="32"/>
        </w:rPr>
        <w:t>“十三五”时期（2016</w:t>
      </w:r>
      <w:r>
        <w:rPr>
          <w:rFonts w:hint="eastAsia" w:ascii="Times New Roman"/>
          <w:b/>
          <w:color w:val="000000"/>
          <w:sz w:val="32"/>
          <w:szCs w:val="32"/>
        </w:rPr>
        <w:t>—</w:t>
      </w:r>
      <w:r>
        <w:rPr>
          <w:rFonts w:ascii="Times New Roman"/>
          <w:b/>
          <w:color w:val="000000"/>
          <w:sz w:val="32"/>
          <w:szCs w:val="32"/>
        </w:rPr>
        <w:t>2020年），是全面建成小康社会、如期实现第一个百年奋斗目标的决战时期，也是咸阳实现追赶超越、全面提升综合竞争力，和全国同步够格建成小康社会的决胜阶段。按照《中共陕西省委关于制定国民经济和社会发展第十三个五年规划的建议》精神和《陕西省“十三五”规划纲要》，结合咸阳实际，编制《咸阳市国民经济和社会发展第十三个五年规划纲要》。</w:t>
      </w:r>
    </w:p>
    <w:p>
      <w:pPr>
        <w:spacing w:line="600" w:lineRule="exact"/>
        <w:ind w:left="300" w:leftChars="100" w:right="300" w:rightChars="100" w:firstLine="723"/>
        <w:rPr>
          <w:rFonts w:ascii="Times New Roman" w:eastAsia="方正小标宋简体"/>
          <w:b/>
          <w:color w:val="000000"/>
          <w:kern w:val="0"/>
          <w:sz w:val="36"/>
          <w:szCs w:val="36"/>
        </w:rPr>
        <w:sectPr>
          <w:footerReference r:id="rId12" w:type="default"/>
          <w:pgSz w:w="11906" w:h="16838"/>
          <w:pgMar w:top="1701" w:right="1502" w:bottom="1871" w:left="1502" w:header="851" w:footer="1446" w:gutter="0"/>
          <w:pgNumType w:start="1"/>
          <w:cols w:space="720" w:num="1"/>
          <w:docGrid w:linePitch="410" w:charSpace="0"/>
        </w:sectPr>
      </w:pPr>
      <w:bookmarkStart w:id="2" w:name="_Toc439878069"/>
    </w:p>
    <w:p>
      <w:pPr>
        <w:spacing w:line="600" w:lineRule="exact"/>
        <w:ind w:left="300" w:leftChars="100" w:right="300" w:rightChars="100" w:firstLine="723"/>
        <w:rPr>
          <w:rFonts w:hint="eastAsia" w:ascii="方正小标宋_GBK" w:hAnsi="方正小标宋_GBK" w:eastAsia="方正小标宋_GBK" w:cs="方正小标宋_GBK"/>
          <w:b/>
          <w:color w:val="000000"/>
          <w:kern w:val="0"/>
          <w:sz w:val="36"/>
          <w:szCs w:val="36"/>
        </w:rPr>
      </w:pPr>
    </w:p>
    <w:p>
      <w:pPr>
        <w:keepNext/>
        <w:keepLines/>
        <w:spacing w:line="600" w:lineRule="exact"/>
        <w:ind w:firstLine="0" w:firstLineChars="0"/>
        <w:jc w:val="center"/>
        <w:outlineLvl w:val="1"/>
        <w:rPr>
          <w:rFonts w:hint="eastAsia" w:ascii="方正小标宋_GBK" w:hAnsi="方正小标宋_GBK" w:eastAsia="方正小标宋_GBK" w:cs="方正小标宋_GBK"/>
          <w:b/>
          <w:color w:val="000000"/>
          <w:spacing w:val="-9"/>
          <w:w w:val="90"/>
          <w:kern w:val="0"/>
          <w:sz w:val="44"/>
          <w:szCs w:val="44"/>
        </w:rPr>
      </w:pPr>
      <w:r>
        <w:rPr>
          <w:rFonts w:hint="eastAsia" w:ascii="方正小标宋_GBK" w:hAnsi="方正小标宋_GBK" w:eastAsia="方正小标宋_GBK" w:cs="方正小标宋_GBK"/>
          <w:b/>
          <w:color w:val="000000"/>
          <w:spacing w:val="-9"/>
          <w:w w:val="90"/>
          <w:kern w:val="0"/>
          <w:sz w:val="44"/>
          <w:szCs w:val="44"/>
        </w:rPr>
        <w:t>第一篇 紧盯全面小康目标 建设富强人文健康新咸阳</w:t>
      </w:r>
      <w:bookmarkEnd w:id="2"/>
    </w:p>
    <w:p>
      <w:pPr>
        <w:keepNext/>
        <w:keepLines/>
        <w:spacing w:line="600" w:lineRule="exact"/>
        <w:ind w:firstLine="0" w:firstLineChars="0"/>
        <w:jc w:val="center"/>
        <w:outlineLvl w:val="1"/>
        <w:rPr>
          <w:rFonts w:hint="eastAsia" w:ascii="方正小标宋_GBK" w:hAnsi="方正小标宋_GBK" w:eastAsia="方正小标宋_GBK" w:cs="方正小标宋_GBK"/>
          <w:b/>
          <w:color w:val="000000"/>
          <w:spacing w:val="-6"/>
          <w:w w:val="90"/>
          <w:kern w:val="0"/>
          <w:sz w:val="44"/>
          <w:szCs w:val="44"/>
        </w:rPr>
      </w:pPr>
    </w:p>
    <w:p>
      <w:pPr>
        <w:spacing w:line="600" w:lineRule="exact"/>
        <w:ind w:firstLine="643"/>
        <w:rPr>
          <w:rFonts w:ascii="Times New Roman"/>
          <w:b/>
          <w:color w:val="000000"/>
          <w:sz w:val="32"/>
          <w:szCs w:val="32"/>
        </w:rPr>
      </w:pPr>
      <w:r>
        <w:rPr>
          <w:rFonts w:ascii="Times New Roman"/>
          <w:b/>
          <w:color w:val="000000"/>
          <w:sz w:val="32"/>
          <w:szCs w:val="32"/>
        </w:rPr>
        <w:t>全面总结“十二五”时期发展成就和经验，科学审视市情特征，准确把握发展阶段，客观研判环境变化，站在新起点，引领新常态，谋划新发展，建设富强人文健康新咸阳。</w:t>
      </w:r>
    </w:p>
    <w:p>
      <w:pPr>
        <w:spacing w:line="300" w:lineRule="exact"/>
        <w:ind w:firstLine="643"/>
        <w:rPr>
          <w:rFonts w:ascii="Times New Roman"/>
          <w:b/>
          <w:color w:val="000000"/>
          <w:sz w:val="32"/>
          <w:szCs w:val="32"/>
        </w:rPr>
      </w:pPr>
    </w:p>
    <w:p>
      <w:pPr>
        <w:keepNext/>
        <w:keepLines/>
        <w:numPr>
          <w:ilvl w:val="0"/>
          <w:numId w:val="1"/>
        </w:numPr>
        <w:spacing w:line="600" w:lineRule="exact"/>
        <w:ind w:firstLine="0" w:firstLineChars="0"/>
        <w:jc w:val="center"/>
        <w:outlineLvl w:val="2"/>
        <w:rPr>
          <w:rFonts w:ascii="Times New Roman" w:eastAsia="黑体"/>
          <w:b/>
          <w:color w:val="000000"/>
          <w:kern w:val="0"/>
          <w:sz w:val="32"/>
          <w:szCs w:val="32"/>
        </w:rPr>
      </w:pPr>
      <w:bookmarkStart w:id="3" w:name="_Toc439878070"/>
      <w:r>
        <w:rPr>
          <w:rFonts w:ascii="Times New Roman" w:eastAsia="黑体"/>
          <w:b/>
          <w:color w:val="000000"/>
          <w:kern w:val="0"/>
          <w:sz w:val="32"/>
          <w:szCs w:val="32"/>
        </w:rPr>
        <w:t xml:space="preserve"> 发展基础</w:t>
      </w:r>
      <w:bookmarkEnd w:id="3"/>
    </w:p>
    <w:p>
      <w:pPr>
        <w:spacing w:line="3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r>
        <w:rPr>
          <w:rFonts w:ascii="Times New Roman"/>
          <w:b/>
          <w:color w:val="000000"/>
          <w:sz w:val="32"/>
          <w:szCs w:val="32"/>
        </w:rPr>
        <w:t>“十二五”时期是咸阳发展史上极不平凡的五年。面对国际金融危机持续影响和国内复杂经济环境，在省委、省政府的正确领导下，市委、市政府带领全市人民牢牢抓住新一轮西部大开发、</w:t>
      </w:r>
      <w:r>
        <w:rPr>
          <w:rFonts w:ascii="Times New Roman"/>
          <w:b/>
          <w:color w:val="000000"/>
          <w:kern w:val="0"/>
          <w:sz w:val="32"/>
          <w:szCs w:val="32"/>
        </w:rPr>
        <w:t>“一带一路”建设</w:t>
      </w:r>
      <w:r>
        <w:rPr>
          <w:rFonts w:ascii="Times New Roman"/>
          <w:b/>
          <w:color w:val="000000"/>
          <w:sz w:val="32"/>
          <w:szCs w:val="32"/>
        </w:rPr>
        <w:t>等重大机遇，紧扣“科学发展、富民强市”主题和加快转变经济发展方式主线，以共建大西安为依托，坚持稳中求</w:t>
      </w:r>
      <w:r>
        <w:rPr>
          <w:rFonts w:ascii="Times New Roman"/>
          <w:b/>
          <w:color w:val="000000"/>
          <w:spacing w:val="6"/>
          <w:sz w:val="32"/>
          <w:szCs w:val="32"/>
        </w:rPr>
        <w:t>进、提质增效，主动适应经济发展新常态，全市经济社会平稳健康发展，“十二五”规划确定的主要目标任务基本实现，全市经济稳居全省第一方阵前列，连续</w:t>
      </w:r>
      <w:r>
        <w:rPr>
          <w:rFonts w:hint="eastAsia" w:ascii="Times New Roman"/>
          <w:b/>
          <w:color w:val="000000"/>
          <w:spacing w:val="6"/>
          <w:sz w:val="32"/>
          <w:szCs w:val="32"/>
        </w:rPr>
        <w:t>九</w:t>
      </w:r>
      <w:r>
        <w:rPr>
          <w:rFonts w:ascii="Times New Roman"/>
          <w:b/>
          <w:color w:val="000000"/>
          <w:spacing w:val="6"/>
          <w:sz w:val="32"/>
          <w:szCs w:val="32"/>
        </w:rPr>
        <w:t>年获得全省目标责任考核优秀等次。</w:t>
      </w:r>
    </w:p>
    <w:p>
      <w:pPr>
        <w:spacing w:line="600" w:lineRule="exact"/>
        <w:ind w:firstLine="643"/>
        <w:rPr>
          <w:rFonts w:ascii="Times New Roman"/>
          <w:b/>
          <w:color w:val="000000"/>
          <w:sz w:val="32"/>
          <w:szCs w:val="32"/>
        </w:rPr>
      </w:pPr>
      <w:r>
        <w:rPr>
          <w:rFonts w:ascii="Times New Roman" w:eastAsia="楷体_GB2312"/>
          <w:b/>
          <w:color w:val="000000"/>
          <w:sz w:val="32"/>
          <w:szCs w:val="32"/>
        </w:rPr>
        <w:t>经济综合实力显著增强。</w:t>
      </w:r>
      <w:r>
        <w:rPr>
          <w:rFonts w:ascii="Times New Roman"/>
          <w:b/>
          <w:color w:val="000000"/>
          <w:sz w:val="32"/>
          <w:szCs w:val="32"/>
        </w:rPr>
        <w:t>2015年全市生产总值2155.9亿元，是2010年的1.96倍，年均增长12.3%。人均GDP超过4</w:t>
      </w:r>
      <w:r>
        <w:rPr>
          <w:rFonts w:hint="eastAsia" w:ascii="Times New Roman"/>
          <w:b/>
          <w:color w:val="000000"/>
          <w:sz w:val="32"/>
          <w:szCs w:val="32"/>
        </w:rPr>
        <w:t>3</w:t>
      </w:r>
      <w:r>
        <w:rPr>
          <w:rFonts w:ascii="Times New Roman"/>
          <w:b/>
          <w:color w:val="000000"/>
          <w:sz w:val="32"/>
          <w:szCs w:val="32"/>
        </w:rPr>
        <w:t>000元（约合</w:t>
      </w:r>
      <w:r>
        <w:rPr>
          <w:rFonts w:hint="eastAsia" w:ascii="Times New Roman"/>
          <w:b/>
          <w:color w:val="000000"/>
          <w:sz w:val="32"/>
          <w:szCs w:val="32"/>
        </w:rPr>
        <w:t>69</w:t>
      </w:r>
      <w:r>
        <w:rPr>
          <w:rFonts w:ascii="Times New Roman"/>
          <w:b/>
          <w:color w:val="000000"/>
          <w:sz w:val="32"/>
          <w:szCs w:val="32"/>
        </w:rPr>
        <w:t>00美元）。规模以上工业增加值达到974.3亿元，是2010年的2.3倍，年均增长17.5%。全社会固定资产投资达到3063.2亿元，是2010年的2.9倍，年均增长24%。社会消费品零售总额达到601.59亿元，是2010年的2倍，年均增长15.2%。地方财政一般预算收入完成85.4亿元，是2010年的2.2倍，同口径年均增长17.3%。在西部地级市中，咸阳经济总量由第15位前进到13位。</w:t>
      </w:r>
    </w:p>
    <w:p>
      <w:pPr>
        <w:spacing w:line="600" w:lineRule="exact"/>
        <w:ind w:firstLine="587"/>
        <w:jc w:val="left"/>
        <w:rPr>
          <w:rFonts w:ascii="Times New Roman"/>
          <w:b/>
          <w:color w:val="000000"/>
          <w:sz w:val="32"/>
          <w:szCs w:val="32"/>
        </w:rPr>
      </w:pPr>
      <w:r>
        <w:rPr>
          <w:rFonts w:ascii="Times New Roman" w:eastAsia="楷体_GB2312"/>
          <w:b/>
          <w:color w:val="000000"/>
          <w:spacing w:val="-14"/>
          <w:sz w:val="32"/>
          <w:szCs w:val="32"/>
          <w:shd w:val="clear" w:color="auto" w:fill="FFFFFF"/>
        </w:rPr>
        <w:t>结构调整取得积极进展</w:t>
      </w:r>
      <w:r>
        <w:rPr>
          <w:rFonts w:ascii="Times New Roman" w:eastAsia="楷体_GB2312"/>
          <w:b/>
          <w:color w:val="000000"/>
          <w:spacing w:val="-14"/>
          <w:sz w:val="32"/>
          <w:szCs w:val="32"/>
        </w:rPr>
        <w:t>。</w:t>
      </w:r>
      <w:r>
        <w:rPr>
          <w:rFonts w:ascii="Times New Roman"/>
          <w:b/>
          <w:color w:val="000000"/>
          <w:spacing w:val="-14"/>
          <w:sz w:val="32"/>
          <w:szCs w:val="32"/>
        </w:rPr>
        <w:t>三次产业结构由2010年18.5∶52.2∶29.3</w:t>
      </w:r>
      <w:r>
        <w:rPr>
          <w:rFonts w:ascii="Times New Roman"/>
          <w:b/>
          <w:color w:val="000000"/>
          <w:sz w:val="32"/>
          <w:szCs w:val="32"/>
        </w:rPr>
        <w:t>调整为2015年15.3:57.5:27.2。工业转型升级步伐加快，能源化工、装备制造、食品工业迅速壮大，医药产业竞争力进一步提升，电子信息、纺织产业加快转型，新能源、新材料等战略性新兴产业初具规模，高新技术产业加快发展，多元支撑、特色鲜明的现代工业体系基本形成。科技创新步伐不断加快，建成国家和省级科技创新平台22个，高新技术企业产值占规模以上工业总产值7%左右，科技对经济增长的贡献率达到54%。咸阳高新区升级为国家级高新区。产业板块加速崛起，形成高新区、大西安（咸阳）文化体育功能区、彬长旬高端能化基地、新兴纺织工业园等产业聚集区。服务业提速发展，金融、现代物流、文化旅游及电子商务等不断壮大，餐饮住宿、批发零售等加速升级。现代农业持续发展，粮食实现“十二连丰”，粮果畜菜四大产业竞争力不断提升，都市农业、休闲农业、观光农业等初具规模，农业生产总值稳居全省第一。</w:t>
      </w:r>
    </w:p>
    <w:p>
      <w:pPr>
        <w:spacing w:line="600" w:lineRule="exact"/>
        <w:ind w:firstLine="643"/>
        <w:rPr>
          <w:rFonts w:ascii="Times New Roman"/>
          <w:b/>
          <w:color w:val="000000"/>
          <w:sz w:val="32"/>
          <w:szCs w:val="32"/>
        </w:rPr>
      </w:pPr>
      <w:r>
        <w:rPr>
          <w:rFonts w:ascii="Times New Roman" w:eastAsia="楷体_GB2312"/>
          <w:b/>
          <w:color w:val="000000"/>
          <w:sz w:val="32"/>
          <w:szCs w:val="32"/>
        </w:rPr>
        <w:t>基础设施条件明显改善。</w:t>
      </w:r>
      <w:r>
        <w:rPr>
          <w:rFonts w:ascii="Times New Roman"/>
          <w:b/>
          <w:color w:val="000000"/>
          <w:sz w:val="32"/>
          <w:szCs w:val="32"/>
        </w:rPr>
        <w:t>建成西平铁路、西宝客专、咸旬高速、西咸北环线咸阳段等重大交通项目，一批国省道升等改造工程顺利实施，全市高速公路新增通车里程131公里，实现县县通高速、村村通油路，铁路新增里程225.3公里，西安咸阳国际机场二期扩建工程顺利完成，旅客年吞吐量达到3300万人次，开工建设西安北-机场城际铁路，航空、铁路、公路立体交通格局基本形成。泾河东庄水库枢纽工程、亭口水库、柏岭寺水库、红岩河水库等重点水源工程顺利推进。城乡电网改造升级步伐加快，电网结构持续优化完善。启动实施“气化咸阳”二期工程，北五县长输管道输配工程加快推进。基础设施瓶颈制约进一步突破，发展保障能力显著提升。</w:t>
      </w:r>
    </w:p>
    <w:p>
      <w:pPr>
        <w:spacing w:line="600" w:lineRule="exact"/>
        <w:ind w:firstLine="643"/>
        <w:rPr>
          <w:rFonts w:ascii="Times New Roman"/>
          <w:b/>
          <w:color w:val="000000"/>
          <w:sz w:val="32"/>
          <w:szCs w:val="32"/>
        </w:rPr>
      </w:pPr>
      <w:r>
        <w:rPr>
          <w:rFonts w:ascii="Times New Roman" w:eastAsia="楷体_GB2312"/>
          <w:b/>
          <w:color w:val="000000"/>
          <w:sz w:val="32"/>
          <w:szCs w:val="32"/>
        </w:rPr>
        <w:t>城乡统筹发展扎实推进。</w:t>
      </w:r>
      <w:r>
        <w:rPr>
          <w:rFonts w:ascii="Times New Roman"/>
          <w:b/>
          <w:color w:val="000000"/>
          <w:sz w:val="32"/>
          <w:szCs w:val="32"/>
        </w:rPr>
        <w:t>加快融入大西安，中心城区“三城两带”空间布局基本形成，建成区面积扩大到89.2平方公里，城西快速干道等工程建成通车，地铁1号线二期工程、咸阳湖二期工程开工建设，城市绿化率达到33.6%，城市基础设施和公共服务条件显著改善。启动关中城市群内“一市五县”县城改造提升建设工作，16个建制镇列入全国重点镇。全市城镇化率达到49%，</w:t>
      </w:r>
      <w:r>
        <w:rPr>
          <w:rFonts w:ascii="Times New Roman"/>
          <w:b/>
          <w:color w:val="000000"/>
          <w:spacing w:val="-6"/>
          <w:sz w:val="32"/>
          <w:szCs w:val="32"/>
        </w:rPr>
        <w:t>比2010年提高8个百分点。新农村建设取得积极进展，农村生产生活条件显著改善，以白村为代表的农村新型社区成为全省典范。成功创建国家卫生城市、国家园林城市，智慧城市建设取得明显成效，全国文明城市创建扎实推进，咸阳城市魅力进一步彰显。</w:t>
      </w:r>
    </w:p>
    <w:p>
      <w:pPr>
        <w:spacing w:line="600" w:lineRule="exact"/>
        <w:ind w:firstLine="643"/>
        <w:rPr>
          <w:rFonts w:ascii="Times New Roman"/>
          <w:b/>
          <w:color w:val="000000"/>
          <w:sz w:val="32"/>
          <w:szCs w:val="32"/>
        </w:rPr>
      </w:pPr>
      <w:r>
        <w:rPr>
          <w:rFonts w:ascii="Times New Roman" w:eastAsia="楷体_GB2312"/>
          <w:b/>
          <w:color w:val="000000"/>
          <w:sz w:val="32"/>
          <w:szCs w:val="32"/>
        </w:rPr>
        <w:t>县域经济实力不断增强。</w:t>
      </w:r>
      <w:r>
        <w:rPr>
          <w:rFonts w:ascii="Times New Roman"/>
          <w:b/>
          <w:color w:val="000000"/>
          <w:sz w:val="32"/>
          <w:szCs w:val="32"/>
        </w:rPr>
        <w:t>强化对标管理，突出争先进位，2015年全市县域经济占GDP比重达到64%，比2010年提高0.7个百分点，秦都区进入陕西五强区，</w:t>
      </w:r>
      <w:r>
        <w:rPr>
          <w:rFonts w:hint="eastAsia" w:ascii="Times New Roman"/>
          <w:b/>
          <w:color w:val="000000"/>
          <w:sz w:val="32"/>
          <w:szCs w:val="32"/>
        </w:rPr>
        <w:t>渭城区名列第七，</w:t>
      </w:r>
      <w:r>
        <w:rPr>
          <w:rFonts w:ascii="Times New Roman"/>
          <w:b/>
          <w:color w:val="000000"/>
          <w:sz w:val="32"/>
          <w:szCs w:val="32"/>
        </w:rPr>
        <w:t>彬县、兴平市进入全省十强县</w:t>
      </w:r>
      <w:r>
        <w:rPr>
          <w:rFonts w:hint="eastAsia" w:ascii="Times New Roman"/>
          <w:b/>
          <w:color w:val="000000"/>
          <w:sz w:val="32"/>
          <w:szCs w:val="32"/>
        </w:rPr>
        <w:t>，</w:t>
      </w:r>
      <w:r>
        <w:rPr>
          <w:rFonts w:ascii="Times New Roman"/>
          <w:b/>
          <w:color w:val="000000"/>
          <w:sz w:val="32"/>
          <w:szCs w:val="32"/>
        </w:rPr>
        <w:t>三原、泾阳、礼泉、乾县进入全省前20名。县域工业园区承载能力明显增强，三原工业园成功升级为省级高新区。形成礼泾三食品工业、彬长旬能化产业、兴平武功装备制造产业、乾县纺织产业以及永寿淳化绿色经济等特色经济板块，县域经济特色化、差异化的良好态势基本形成。</w:t>
      </w:r>
    </w:p>
    <w:p>
      <w:pPr>
        <w:spacing w:line="600" w:lineRule="exact"/>
        <w:ind w:firstLine="643"/>
        <w:rPr>
          <w:rFonts w:ascii="Times New Roman"/>
          <w:b/>
          <w:color w:val="000000"/>
          <w:sz w:val="32"/>
          <w:szCs w:val="32"/>
        </w:rPr>
      </w:pPr>
      <w:r>
        <w:rPr>
          <w:rFonts w:ascii="Times New Roman" w:eastAsia="楷体_GB2312"/>
          <w:b/>
          <w:color w:val="000000"/>
          <w:sz w:val="32"/>
          <w:szCs w:val="32"/>
        </w:rPr>
        <w:t>民生保障改善持续有力。</w:t>
      </w:r>
      <w:r>
        <w:rPr>
          <w:rFonts w:ascii="Times New Roman"/>
          <w:b/>
          <w:color w:val="000000"/>
          <w:sz w:val="32"/>
          <w:szCs w:val="32"/>
        </w:rPr>
        <w:t>坚持财政支出和新增财力“两个80%”用于民生，大力实施惠民便民实事，改革发展成果更多更好惠及人民群众。就业形势保持稳定，城镇累计新增就业</w:t>
      </w:r>
      <w:r>
        <w:rPr>
          <w:rFonts w:hint="eastAsia" w:ascii="Times New Roman"/>
          <w:b/>
          <w:color w:val="FF0000"/>
          <w:sz w:val="32"/>
          <w:szCs w:val="32"/>
        </w:rPr>
        <w:t>30.65</w:t>
      </w:r>
      <w:r>
        <w:rPr>
          <w:rFonts w:ascii="Times New Roman"/>
          <w:b/>
          <w:color w:val="000000"/>
          <w:sz w:val="32"/>
          <w:szCs w:val="32"/>
        </w:rPr>
        <w:t>万人，城镇登记失业率控制在3.2</w:t>
      </w:r>
      <w:r>
        <w:rPr>
          <w:rFonts w:hint="eastAsia" w:ascii="Times New Roman"/>
          <w:b/>
          <w:color w:val="000000"/>
          <w:sz w:val="32"/>
          <w:szCs w:val="32"/>
        </w:rPr>
        <w:t>1</w:t>
      </w:r>
      <w:r>
        <w:rPr>
          <w:rFonts w:ascii="Times New Roman"/>
          <w:b/>
          <w:color w:val="000000"/>
          <w:sz w:val="32"/>
          <w:szCs w:val="32"/>
        </w:rPr>
        <w:t>%以内。城镇居民人均可支配收入达到34187元，年均增长12.6%。农村居民人均纯收入达到10529元，年均增长15.8%，城乡居民收入差距逐步缩小。覆盖城乡的社会保障体系基本建立，保障水平不断提高。一期学前教育三年行动计划全面完成，“双高双普”工作全面展开，职业教育加快发展，高等教育质量进一步提升。医药卫生体制改革有序推进，城乡居民基本医疗保险补助标准提高到400元。</w:t>
      </w:r>
      <w:r>
        <w:rPr>
          <w:rFonts w:hint="eastAsia" w:ascii="Times New Roman"/>
          <w:b/>
          <w:color w:val="000000"/>
          <w:sz w:val="32"/>
          <w:szCs w:val="32"/>
        </w:rPr>
        <w:t>“</w:t>
      </w:r>
      <w:r>
        <w:rPr>
          <w:rFonts w:ascii="Times New Roman"/>
          <w:b/>
          <w:color w:val="000000"/>
          <w:sz w:val="32"/>
          <w:szCs w:val="32"/>
        </w:rPr>
        <w:t>旱腰带</w:t>
      </w:r>
      <w:r>
        <w:rPr>
          <w:rFonts w:hint="eastAsia" w:ascii="Times New Roman"/>
          <w:b/>
          <w:color w:val="000000"/>
          <w:sz w:val="32"/>
          <w:szCs w:val="32"/>
        </w:rPr>
        <w:t>”</w:t>
      </w:r>
      <w:r>
        <w:rPr>
          <w:rFonts w:ascii="Times New Roman"/>
          <w:b/>
          <w:color w:val="000000"/>
          <w:sz w:val="32"/>
          <w:szCs w:val="32"/>
        </w:rPr>
        <w:t>区域特色城镇化移民搬迁工作进展顺利，全市</w:t>
      </w:r>
      <w:r>
        <w:rPr>
          <w:rFonts w:hint="eastAsia" w:ascii="Times New Roman"/>
          <w:b/>
          <w:color w:val="000000"/>
          <w:sz w:val="32"/>
          <w:szCs w:val="32"/>
        </w:rPr>
        <w:t>56.77</w:t>
      </w:r>
      <w:r>
        <w:rPr>
          <w:rFonts w:ascii="Times New Roman"/>
          <w:b/>
          <w:color w:val="000000"/>
          <w:sz w:val="32"/>
          <w:szCs w:val="32"/>
        </w:rPr>
        <w:t>万人实现稳定脱贫。文化、体育、广播影视等事业全面发展，公共服务均等化水平明显提升。</w:t>
      </w:r>
    </w:p>
    <w:p>
      <w:pPr>
        <w:spacing w:line="600" w:lineRule="exact"/>
        <w:ind w:firstLine="643"/>
        <w:rPr>
          <w:rFonts w:ascii="Times New Roman"/>
          <w:b/>
          <w:color w:val="000000"/>
          <w:sz w:val="32"/>
          <w:szCs w:val="32"/>
        </w:rPr>
      </w:pPr>
      <w:r>
        <w:rPr>
          <w:rFonts w:ascii="Times New Roman" w:eastAsia="楷体_GB2312"/>
          <w:b/>
          <w:color w:val="000000"/>
          <w:sz w:val="32"/>
          <w:szCs w:val="32"/>
        </w:rPr>
        <w:t>生态文明建设成效凸显。</w:t>
      </w:r>
      <w:r>
        <w:rPr>
          <w:rFonts w:ascii="Times New Roman"/>
          <w:b/>
          <w:color w:val="000000"/>
          <w:sz w:val="32"/>
          <w:szCs w:val="32"/>
        </w:rPr>
        <w:t>大力开展“治污降霾·保卫蓝天碧水”行动，加大大气、水、土壤污染治理</w:t>
      </w:r>
      <w:r>
        <w:rPr>
          <w:rFonts w:ascii="Times New Roman"/>
          <w:b/>
          <w:color w:val="000000"/>
          <w:sz w:val="32"/>
          <w:szCs w:val="32"/>
          <w:lang w:val="zh-CN"/>
        </w:rPr>
        <w:t>。</w:t>
      </w:r>
      <w:r>
        <w:rPr>
          <w:rFonts w:ascii="Times New Roman"/>
          <w:b/>
          <w:color w:val="000000"/>
          <w:sz w:val="32"/>
          <w:szCs w:val="32"/>
        </w:rPr>
        <w:t>渭河流域水污染防治三年行动计划、渭河咸阳段综合整治工程基本完成。严格推进节能减排，单位生产总值能耗、二氧化碳排放分别累计降低16.5%、20.1%。化学需氧量、氨氮、二氧化硫、氮氧化物四项主要污染减排指标分别比2010年削减11.3%、16.7%、15.6%、13.7%，超额完成目标任务。新建污水处理厂11座，新增处理能力32万吨/天，城市生活垃圾无害化处理率达到90%。礼泉再生资源产业园列为国家“城市矿产”示范基地。空气环境质量持续好转，市区空气质量全年二级和优于二级空气天数达到258天。积极推进退耕还林（草）、天然林资源保护、“三北”防护林体系等生态建设工程，累计完成营造林169.5万亩，森林覆盖率达到35.95%，建设湿地保护面积12万亩，绿色低碳循环发展成为生态文明建设主基调。</w:t>
      </w:r>
    </w:p>
    <w:p>
      <w:pPr>
        <w:spacing w:line="600" w:lineRule="exact"/>
        <w:ind w:firstLine="618"/>
        <w:rPr>
          <w:rFonts w:ascii="Times New Roman"/>
          <w:b/>
          <w:color w:val="000000"/>
          <w:spacing w:val="-6"/>
          <w:sz w:val="32"/>
          <w:szCs w:val="32"/>
        </w:rPr>
      </w:pPr>
      <w:r>
        <w:rPr>
          <w:rFonts w:ascii="Times New Roman" w:eastAsia="楷体_GB2312"/>
          <w:b/>
          <w:color w:val="000000"/>
          <w:spacing w:val="-6"/>
          <w:sz w:val="32"/>
          <w:szCs w:val="32"/>
          <w:shd w:val="clear" w:color="auto" w:fill="FFFFFF"/>
        </w:rPr>
        <w:t>改革开放迈出重大步伐</w:t>
      </w:r>
      <w:r>
        <w:rPr>
          <w:rFonts w:ascii="Times New Roman" w:eastAsia="楷体_GB2312"/>
          <w:b/>
          <w:color w:val="000000"/>
          <w:spacing w:val="-6"/>
          <w:sz w:val="32"/>
          <w:szCs w:val="32"/>
        </w:rPr>
        <w:t>。</w:t>
      </w:r>
      <w:r>
        <w:rPr>
          <w:rFonts w:ascii="Times New Roman"/>
          <w:b/>
          <w:color w:val="000000"/>
          <w:spacing w:val="-6"/>
          <w:sz w:val="32"/>
          <w:szCs w:val="32"/>
        </w:rPr>
        <w:t>持续深化行政审批制度改革，全面清理非行政许可审批事项，市级部门累计取消行政审批事项81项、承接97项、下放38项。积极推进“多证合一、一照一码”等商事制度改革，市场主体五年净增9.6万户。民营经济蓬勃发展，非公有制经济占比达到52.1%。投融资体制改革、财税体制改革、农村综合改革稳步推进，扩权强镇改革试点在省、市重点示范镇全面推开。国有企业改革取得突破性进展，水务集团、纺织集团、乡村旅游公司组建运营。公务用车制度改革基本完成。加快大西安建设步伐，与西安、西咸新区联动发展的格局基本形成。积极融入丝绸之路经济带建设，对外贸易和交流日益活跃。招商引资质量明显提升，益海嘉里、中粮集团等世界500强企业落户咸阳，华晨汽车产业园、CEC·咸阳8.6代液晶面板生产线等重大项目成功落地。“十二五”期间，累计引进项目1237个，完成投资2924.5亿元。</w:t>
      </w:r>
    </w:p>
    <w:p>
      <w:pPr>
        <w:spacing w:line="600" w:lineRule="exact"/>
        <w:ind w:firstLine="643"/>
        <w:rPr>
          <w:rFonts w:ascii="Times New Roman"/>
          <w:b/>
          <w:color w:val="000000"/>
          <w:sz w:val="32"/>
          <w:szCs w:val="32"/>
        </w:rPr>
      </w:pPr>
      <w:r>
        <w:rPr>
          <w:rFonts w:ascii="Times New Roman"/>
          <w:b/>
          <w:color w:val="000000"/>
          <w:sz w:val="32"/>
          <w:szCs w:val="32"/>
        </w:rPr>
        <w:t>实践证明，“十二五”是我市经济社会快速发展、质量效益明显提升、综合实力显著增强的五年，是城乡面貌变化最大、城市功能提升最快、人民群众得到实惠最多的五年，为同步全面建成小康社会奠定了坚实基础、创造了良好条件。这些成绩的取得，是党中央、国务院正确决策的结果，是省委、省政府，市委、市政府坚强领导的结果，是全市干部群众戮力同心、真抓实干的结果，成绩来之不易，一定要倍加珍惜。</w:t>
      </w:r>
    </w:p>
    <w:p>
      <w:pPr>
        <w:spacing w:line="600" w:lineRule="exact"/>
        <w:ind w:firstLine="643"/>
        <w:rPr>
          <w:rFonts w:ascii="Times New Roman"/>
          <w:b/>
          <w:color w:val="000000"/>
          <w:sz w:val="32"/>
          <w:szCs w:val="32"/>
        </w:rPr>
      </w:pPr>
      <w:r>
        <w:rPr>
          <w:rFonts w:ascii="Times New Roman"/>
          <w:b/>
          <w:color w:val="000000"/>
          <w:sz w:val="32"/>
          <w:szCs w:val="32"/>
        </w:rPr>
        <w:t>在充分肯定成绩的同时，必须清醒地看到，咸阳市经济和社会发展仍然存在一些问题和“短板”：一是经济总体实力较弱，人均GDP低于全国、全省平均水平，人均收入和财力与发达地区相比差距较大。二是经济发展质量不高，经济发展方式依然粗放，能化产业产能过剩矛盾突出，传统支柱产业竞争力不强，产业链条不完整，企业效益相对较低。三是经济增长后劲不足，科技创新投入明显不足，科教优势没有得到充分发挥，战略性新兴产业发展处于起步阶段，尚未形成新的有力增长点。四是对外开放水平不高，开放型经济体系不够健全，投资环境需进一步改善。五是城乡发展尚不协调，城镇化率明显低于全国、全省平均水平，城乡居民收入差距仍然较大，脱贫攻坚任务艰巨。六是公共服务供给不足，基本公共服务均等化保障水平仍然较低，医疗养老、文化教育、社会保障等民生改善的力度还需加大。七是生态环境保护形势严峻，资源环境约束趋紧，环境质量改善与公众期待还有较大差距。</w:t>
      </w:r>
    </w:p>
    <w:p>
      <w:pPr>
        <w:spacing w:line="600" w:lineRule="exact"/>
        <w:ind w:firstLine="0" w:firstLineChars="0"/>
        <w:rPr>
          <w:rFonts w:hint="eastAsia" w:ascii="黑体" w:hAnsi="黑体" w:eastAsia="黑体" w:cs="黑体"/>
          <w:b/>
          <w:color w:val="000000"/>
          <w:sz w:val="32"/>
          <w:szCs w:val="32"/>
        </w:rPr>
      </w:pPr>
      <w:r>
        <w:rPr>
          <w:rFonts w:ascii="Times New Roman"/>
          <w:b/>
          <w:color w:val="000000"/>
          <w:sz w:val="32"/>
          <w:szCs w:val="32"/>
        </w:rPr>
        <w:br w:type="page"/>
      </w:r>
      <w:r>
        <w:rPr>
          <w:rFonts w:hint="eastAsia" w:ascii="黑体" w:hAnsi="黑体" w:eastAsia="黑体" w:cs="黑体"/>
          <w:b/>
          <w:color w:val="000000"/>
          <w:sz w:val="32"/>
          <w:szCs w:val="32"/>
        </w:rPr>
        <w:t xml:space="preserve">表1 </w:t>
      </w:r>
    </w:p>
    <w:p>
      <w:pPr>
        <w:spacing w:line="600" w:lineRule="exact"/>
        <w:ind w:firstLine="0" w:firstLineChars="0"/>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“十二五”经济社会发展指标完成情况</w:t>
      </w:r>
    </w:p>
    <w:p>
      <w:pPr>
        <w:spacing w:line="600" w:lineRule="exact"/>
        <w:ind w:firstLine="0" w:firstLineChars="0"/>
        <w:jc w:val="center"/>
        <w:rPr>
          <w:rFonts w:hint="eastAsia" w:ascii="方正小标宋_GBK" w:hAnsi="方正小标宋_GBK" w:eastAsia="方正小标宋_GBK" w:cs="方正小标宋_GBK"/>
          <w:b/>
          <w:color w:val="000000"/>
          <w:sz w:val="44"/>
          <w:szCs w:val="44"/>
        </w:rPr>
      </w:pPr>
    </w:p>
    <w:tbl>
      <w:tblPr>
        <w:tblStyle w:val="17"/>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08"/>
        <w:gridCol w:w="3091"/>
        <w:gridCol w:w="1075"/>
        <w:gridCol w:w="941"/>
        <w:gridCol w:w="1052"/>
        <w:gridCol w:w="886"/>
        <w:gridCol w:w="83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exact"/>
          <w:jc w:val="center"/>
        </w:trPr>
        <w:tc>
          <w:tcPr>
            <w:tcW w:w="808" w:type="dxa"/>
            <w:vMerge w:val="restart"/>
            <w:noWrap w:val="0"/>
            <w:vAlign w:val="center"/>
          </w:tcPr>
          <w:p>
            <w:pPr>
              <w:spacing w:line="600" w:lineRule="exact"/>
              <w:ind w:firstLine="0" w:firstLineChars="0"/>
              <w:jc w:val="center"/>
              <w:rPr>
                <w:rFonts w:ascii="Times New Roman" w:eastAsia="黑体"/>
                <w:b/>
                <w:color w:val="000000"/>
                <w:w w:val="90"/>
                <w:kern w:val="0"/>
                <w:sz w:val="24"/>
                <w:szCs w:val="24"/>
              </w:rPr>
            </w:pPr>
            <w:r>
              <w:rPr>
                <w:rFonts w:ascii="Times New Roman" w:eastAsia="黑体"/>
                <w:b/>
                <w:color w:val="000000"/>
                <w:w w:val="90"/>
                <w:kern w:val="0"/>
                <w:sz w:val="24"/>
                <w:szCs w:val="24"/>
              </w:rPr>
              <w:t>类 别</w:t>
            </w:r>
          </w:p>
        </w:tc>
        <w:tc>
          <w:tcPr>
            <w:tcW w:w="3091" w:type="dxa"/>
            <w:vMerge w:val="restart"/>
            <w:noWrap w:val="0"/>
            <w:vAlign w:val="center"/>
          </w:tcPr>
          <w:p>
            <w:pPr>
              <w:spacing w:line="600" w:lineRule="exact"/>
              <w:ind w:firstLine="0" w:firstLineChars="0"/>
              <w:jc w:val="center"/>
              <w:rPr>
                <w:rFonts w:ascii="Times New Roman" w:eastAsia="黑体"/>
                <w:b/>
                <w:color w:val="000000"/>
                <w:w w:val="90"/>
                <w:kern w:val="0"/>
                <w:sz w:val="24"/>
                <w:szCs w:val="24"/>
              </w:rPr>
            </w:pPr>
            <w:r>
              <w:rPr>
                <w:rFonts w:ascii="Times New Roman" w:eastAsia="黑体"/>
                <w:b/>
                <w:color w:val="000000"/>
                <w:w w:val="90"/>
                <w:kern w:val="0"/>
                <w:sz w:val="24"/>
                <w:szCs w:val="24"/>
              </w:rPr>
              <w:t>指  标  名  称</w:t>
            </w:r>
          </w:p>
        </w:tc>
        <w:tc>
          <w:tcPr>
            <w:tcW w:w="1075" w:type="dxa"/>
            <w:vMerge w:val="restart"/>
            <w:noWrap w:val="0"/>
            <w:vAlign w:val="center"/>
          </w:tcPr>
          <w:p>
            <w:pPr>
              <w:spacing w:line="600" w:lineRule="exact"/>
              <w:ind w:firstLine="0" w:firstLineChars="0"/>
              <w:jc w:val="center"/>
              <w:rPr>
                <w:rFonts w:ascii="Times New Roman" w:eastAsia="黑体"/>
                <w:b/>
                <w:color w:val="000000"/>
                <w:w w:val="90"/>
                <w:kern w:val="0"/>
                <w:sz w:val="24"/>
                <w:szCs w:val="24"/>
              </w:rPr>
            </w:pPr>
            <w:r>
              <w:rPr>
                <w:rFonts w:ascii="Times New Roman" w:eastAsia="黑体"/>
                <w:b/>
                <w:color w:val="000000"/>
                <w:w w:val="90"/>
                <w:kern w:val="0"/>
                <w:sz w:val="24"/>
                <w:szCs w:val="24"/>
              </w:rPr>
              <w:t>2010年</w:t>
            </w:r>
          </w:p>
        </w:tc>
        <w:tc>
          <w:tcPr>
            <w:tcW w:w="1993" w:type="dxa"/>
            <w:gridSpan w:val="2"/>
            <w:noWrap w:val="0"/>
            <w:vAlign w:val="center"/>
          </w:tcPr>
          <w:p>
            <w:pPr>
              <w:spacing w:line="600" w:lineRule="exact"/>
              <w:ind w:firstLine="0" w:firstLineChars="0"/>
              <w:jc w:val="center"/>
              <w:rPr>
                <w:rFonts w:ascii="Times New Roman" w:eastAsia="黑体"/>
                <w:b/>
                <w:color w:val="000000"/>
                <w:w w:val="90"/>
                <w:kern w:val="0"/>
                <w:sz w:val="24"/>
                <w:szCs w:val="24"/>
              </w:rPr>
            </w:pPr>
            <w:r>
              <w:rPr>
                <w:rFonts w:ascii="Times New Roman" w:eastAsia="黑体"/>
                <w:b/>
                <w:color w:val="000000"/>
                <w:w w:val="90"/>
                <w:kern w:val="0"/>
                <w:sz w:val="24"/>
                <w:szCs w:val="24"/>
              </w:rPr>
              <w:t>十二五规划目标</w:t>
            </w:r>
          </w:p>
        </w:tc>
        <w:tc>
          <w:tcPr>
            <w:tcW w:w="1716" w:type="dxa"/>
            <w:gridSpan w:val="2"/>
            <w:noWrap w:val="0"/>
            <w:vAlign w:val="center"/>
          </w:tcPr>
          <w:p>
            <w:pPr>
              <w:spacing w:line="600" w:lineRule="exact"/>
              <w:ind w:firstLine="0" w:firstLineChars="0"/>
              <w:jc w:val="center"/>
              <w:rPr>
                <w:rFonts w:ascii="Times New Roman" w:eastAsia="黑体"/>
                <w:b/>
                <w:color w:val="000000"/>
                <w:w w:val="90"/>
                <w:kern w:val="0"/>
                <w:sz w:val="24"/>
                <w:szCs w:val="24"/>
              </w:rPr>
            </w:pPr>
            <w:r>
              <w:rPr>
                <w:rFonts w:ascii="Times New Roman" w:eastAsia="黑体"/>
                <w:b/>
                <w:color w:val="000000"/>
                <w:w w:val="90"/>
                <w:kern w:val="0"/>
                <w:sz w:val="24"/>
                <w:szCs w:val="24"/>
              </w:rPr>
              <w:t>十二五完成</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28" w:hRule="exact"/>
          <w:jc w:val="center"/>
        </w:trPr>
        <w:tc>
          <w:tcPr>
            <w:tcW w:w="808" w:type="dxa"/>
            <w:vMerge w:val="continue"/>
            <w:noWrap w:val="0"/>
            <w:vAlign w:val="center"/>
          </w:tcPr>
          <w:p>
            <w:pPr>
              <w:spacing w:line="600" w:lineRule="exact"/>
              <w:ind w:firstLine="0" w:firstLineChars="0"/>
              <w:jc w:val="center"/>
              <w:rPr>
                <w:rFonts w:ascii="Times New Roman" w:eastAsia="黑体"/>
                <w:b/>
                <w:color w:val="000000"/>
                <w:w w:val="90"/>
                <w:kern w:val="0"/>
                <w:sz w:val="24"/>
                <w:szCs w:val="24"/>
              </w:rPr>
            </w:pPr>
          </w:p>
        </w:tc>
        <w:tc>
          <w:tcPr>
            <w:tcW w:w="3091" w:type="dxa"/>
            <w:vMerge w:val="continue"/>
            <w:noWrap w:val="0"/>
            <w:vAlign w:val="center"/>
          </w:tcPr>
          <w:p>
            <w:pPr>
              <w:spacing w:line="600" w:lineRule="exact"/>
              <w:ind w:firstLine="0" w:firstLineChars="0"/>
              <w:jc w:val="center"/>
              <w:rPr>
                <w:rFonts w:ascii="Times New Roman" w:eastAsia="黑体"/>
                <w:b/>
                <w:color w:val="000000"/>
                <w:w w:val="90"/>
                <w:kern w:val="0"/>
                <w:sz w:val="24"/>
                <w:szCs w:val="24"/>
              </w:rPr>
            </w:pPr>
          </w:p>
        </w:tc>
        <w:tc>
          <w:tcPr>
            <w:tcW w:w="1075" w:type="dxa"/>
            <w:vMerge w:val="continue"/>
            <w:noWrap w:val="0"/>
            <w:vAlign w:val="center"/>
          </w:tcPr>
          <w:p>
            <w:pPr>
              <w:spacing w:line="600" w:lineRule="exact"/>
              <w:ind w:firstLine="0" w:firstLineChars="0"/>
              <w:jc w:val="center"/>
              <w:rPr>
                <w:rFonts w:ascii="Times New Roman" w:eastAsia="黑体"/>
                <w:b/>
                <w:color w:val="000000"/>
                <w:w w:val="90"/>
                <w:kern w:val="0"/>
                <w:sz w:val="24"/>
                <w:szCs w:val="24"/>
              </w:rPr>
            </w:pPr>
          </w:p>
        </w:tc>
        <w:tc>
          <w:tcPr>
            <w:tcW w:w="941" w:type="dxa"/>
            <w:noWrap w:val="0"/>
            <w:vAlign w:val="center"/>
          </w:tcPr>
          <w:p>
            <w:pPr>
              <w:spacing w:line="600" w:lineRule="exact"/>
              <w:ind w:firstLine="0" w:firstLineChars="0"/>
              <w:jc w:val="center"/>
              <w:rPr>
                <w:rFonts w:ascii="Times New Roman" w:eastAsia="黑体"/>
                <w:b/>
                <w:color w:val="000000"/>
                <w:w w:val="90"/>
                <w:kern w:val="0"/>
                <w:sz w:val="24"/>
                <w:szCs w:val="24"/>
              </w:rPr>
            </w:pPr>
            <w:r>
              <w:rPr>
                <w:rFonts w:ascii="Times New Roman" w:eastAsia="黑体"/>
                <w:b/>
                <w:color w:val="000000"/>
                <w:w w:val="90"/>
                <w:kern w:val="0"/>
                <w:sz w:val="24"/>
                <w:szCs w:val="24"/>
              </w:rPr>
              <w:t>绝对值</w:t>
            </w:r>
          </w:p>
        </w:tc>
        <w:tc>
          <w:tcPr>
            <w:tcW w:w="1052" w:type="dxa"/>
            <w:noWrap w:val="0"/>
            <w:vAlign w:val="center"/>
          </w:tcPr>
          <w:p>
            <w:pPr>
              <w:adjustRightInd w:val="0"/>
              <w:snapToGrid w:val="0"/>
              <w:spacing w:line="300" w:lineRule="exact"/>
              <w:ind w:firstLine="0" w:firstLineChars="0"/>
              <w:jc w:val="center"/>
              <w:rPr>
                <w:rFonts w:ascii="Times New Roman" w:eastAsia="黑体"/>
                <w:b/>
                <w:color w:val="000000"/>
                <w:w w:val="90"/>
                <w:kern w:val="0"/>
                <w:sz w:val="24"/>
                <w:szCs w:val="24"/>
              </w:rPr>
            </w:pPr>
            <w:r>
              <w:rPr>
                <w:rFonts w:ascii="Times New Roman" w:eastAsia="黑体"/>
                <w:b/>
                <w:color w:val="000000"/>
                <w:w w:val="90"/>
                <w:kern w:val="0"/>
                <w:sz w:val="24"/>
                <w:szCs w:val="24"/>
              </w:rPr>
              <w:t>年均</w:t>
            </w:r>
          </w:p>
          <w:p>
            <w:pPr>
              <w:adjustRightInd w:val="0"/>
              <w:snapToGrid w:val="0"/>
              <w:spacing w:line="300" w:lineRule="exact"/>
              <w:ind w:firstLine="0" w:firstLineChars="0"/>
              <w:jc w:val="center"/>
              <w:rPr>
                <w:rFonts w:ascii="Times New Roman" w:eastAsia="黑体"/>
                <w:b/>
                <w:color w:val="000000"/>
                <w:w w:val="90"/>
                <w:kern w:val="0"/>
                <w:sz w:val="24"/>
                <w:szCs w:val="24"/>
              </w:rPr>
            </w:pPr>
            <w:r>
              <w:rPr>
                <w:rFonts w:ascii="Times New Roman" w:eastAsia="黑体"/>
                <w:b/>
                <w:color w:val="000000"/>
                <w:w w:val="90"/>
                <w:kern w:val="0"/>
                <w:sz w:val="24"/>
                <w:szCs w:val="24"/>
              </w:rPr>
              <w:t>增长</w:t>
            </w:r>
          </w:p>
          <w:p>
            <w:pPr>
              <w:adjustRightInd w:val="0"/>
              <w:snapToGrid w:val="0"/>
              <w:spacing w:line="300" w:lineRule="exact"/>
              <w:ind w:firstLine="0" w:firstLineChars="0"/>
              <w:jc w:val="center"/>
              <w:rPr>
                <w:rFonts w:ascii="Times New Roman" w:eastAsia="黑体"/>
                <w:b/>
                <w:color w:val="000000"/>
                <w:w w:val="90"/>
                <w:kern w:val="0"/>
                <w:sz w:val="24"/>
                <w:szCs w:val="24"/>
              </w:rPr>
            </w:pPr>
            <w:r>
              <w:rPr>
                <w:rFonts w:ascii="Times New Roman" w:eastAsia="黑体"/>
                <w:b/>
                <w:color w:val="000000"/>
                <w:w w:val="90"/>
                <w:kern w:val="0"/>
                <w:sz w:val="24"/>
                <w:szCs w:val="24"/>
              </w:rPr>
              <w:t>（%）</w:t>
            </w:r>
          </w:p>
        </w:tc>
        <w:tc>
          <w:tcPr>
            <w:tcW w:w="886" w:type="dxa"/>
            <w:noWrap w:val="0"/>
            <w:vAlign w:val="center"/>
          </w:tcPr>
          <w:p>
            <w:pPr>
              <w:adjustRightInd w:val="0"/>
              <w:snapToGrid w:val="0"/>
              <w:spacing w:line="600" w:lineRule="exact"/>
              <w:ind w:firstLine="0" w:firstLineChars="0"/>
              <w:jc w:val="center"/>
              <w:rPr>
                <w:rFonts w:ascii="Times New Roman" w:eastAsia="黑体"/>
                <w:b/>
                <w:color w:val="000000"/>
                <w:w w:val="90"/>
                <w:kern w:val="0"/>
                <w:sz w:val="24"/>
                <w:szCs w:val="24"/>
              </w:rPr>
            </w:pPr>
            <w:r>
              <w:rPr>
                <w:rFonts w:ascii="Times New Roman" w:eastAsia="黑体"/>
                <w:b/>
                <w:color w:val="000000"/>
                <w:w w:val="90"/>
                <w:kern w:val="0"/>
                <w:sz w:val="24"/>
                <w:szCs w:val="24"/>
              </w:rPr>
              <w:t>绝对值</w:t>
            </w:r>
          </w:p>
        </w:tc>
        <w:tc>
          <w:tcPr>
            <w:tcW w:w="830" w:type="dxa"/>
            <w:noWrap w:val="0"/>
            <w:vAlign w:val="center"/>
          </w:tcPr>
          <w:p>
            <w:pPr>
              <w:adjustRightInd w:val="0"/>
              <w:snapToGrid w:val="0"/>
              <w:spacing w:line="300" w:lineRule="exact"/>
              <w:ind w:firstLine="0" w:firstLineChars="0"/>
              <w:jc w:val="center"/>
              <w:rPr>
                <w:rFonts w:ascii="Times New Roman" w:eastAsia="黑体"/>
                <w:b/>
                <w:color w:val="000000"/>
                <w:w w:val="90"/>
                <w:kern w:val="0"/>
                <w:sz w:val="24"/>
                <w:szCs w:val="24"/>
              </w:rPr>
            </w:pPr>
            <w:r>
              <w:rPr>
                <w:rFonts w:ascii="Times New Roman" w:eastAsia="黑体"/>
                <w:b/>
                <w:color w:val="000000"/>
                <w:w w:val="90"/>
                <w:kern w:val="0"/>
                <w:sz w:val="24"/>
                <w:szCs w:val="24"/>
              </w:rPr>
              <w:t>年均</w:t>
            </w:r>
          </w:p>
          <w:p>
            <w:pPr>
              <w:adjustRightInd w:val="0"/>
              <w:snapToGrid w:val="0"/>
              <w:spacing w:line="300" w:lineRule="exact"/>
              <w:ind w:firstLine="0" w:firstLineChars="0"/>
              <w:jc w:val="center"/>
              <w:rPr>
                <w:rFonts w:ascii="Times New Roman" w:eastAsia="黑体"/>
                <w:b/>
                <w:color w:val="000000"/>
                <w:w w:val="90"/>
                <w:kern w:val="0"/>
                <w:sz w:val="24"/>
                <w:szCs w:val="24"/>
              </w:rPr>
            </w:pPr>
            <w:r>
              <w:rPr>
                <w:rFonts w:ascii="Times New Roman" w:eastAsia="黑体"/>
                <w:b/>
                <w:color w:val="000000"/>
                <w:w w:val="90"/>
                <w:kern w:val="0"/>
                <w:sz w:val="24"/>
                <w:szCs w:val="24"/>
              </w:rPr>
              <w:t>增长</w:t>
            </w:r>
          </w:p>
          <w:p>
            <w:pPr>
              <w:adjustRightInd w:val="0"/>
              <w:snapToGrid w:val="0"/>
              <w:spacing w:line="300" w:lineRule="exact"/>
              <w:ind w:firstLine="0" w:firstLineChars="0"/>
              <w:rPr>
                <w:rFonts w:ascii="Times New Roman" w:eastAsia="黑体"/>
                <w:b/>
                <w:color w:val="000000"/>
                <w:w w:val="90"/>
                <w:kern w:val="0"/>
                <w:sz w:val="24"/>
                <w:szCs w:val="24"/>
              </w:rPr>
            </w:pPr>
            <w:r>
              <w:rPr>
                <w:rFonts w:ascii="Times New Roman" w:eastAsia="黑体"/>
                <w:b/>
                <w:color w:val="000000"/>
                <w:w w:val="90"/>
                <w:kern w:val="0"/>
                <w:sz w:val="24"/>
                <w:szCs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exact"/>
          <w:jc w:val="center"/>
        </w:trPr>
        <w:tc>
          <w:tcPr>
            <w:tcW w:w="808" w:type="dxa"/>
            <w:vMerge w:val="restart"/>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经</w:t>
            </w:r>
            <w:r>
              <w:rPr>
                <w:rFonts w:ascii="Times New Roman"/>
                <w:b/>
                <w:color w:val="000000"/>
                <w:w w:val="90"/>
                <w:kern w:val="0"/>
                <w:sz w:val="24"/>
                <w:szCs w:val="24"/>
              </w:rPr>
              <w:br w:type="textWrapping"/>
            </w:r>
            <w:r>
              <w:rPr>
                <w:rFonts w:ascii="Times New Roman"/>
                <w:b/>
                <w:color w:val="000000"/>
                <w:w w:val="90"/>
                <w:kern w:val="0"/>
                <w:sz w:val="24"/>
                <w:szCs w:val="24"/>
              </w:rPr>
              <w:t>济</w:t>
            </w:r>
            <w:r>
              <w:rPr>
                <w:rFonts w:ascii="Times New Roman"/>
                <w:b/>
                <w:color w:val="000000"/>
                <w:w w:val="90"/>
                <w:kern w:val="0"/>
                <w:sz w:val="24"/>
                <w:szCs w:val="24"/>
              </w:rPr>
              <w:br w:type="textWrapping"/>
            </w:r>
            <w:r>
              <w:rPr>
                <w:rFonts w:ascii="Times New Roman"/>
                <w:b/>
                <w:color w:val="000000"/>
                <w:w w:val="90"/>
                <w:kern w:val="0"/>
                <w:sz w:val="24"/>
                <w:szCs w:val="24"/>
              </w:rPr>
              <w:t>发</w:t>
            </w:r>
            <w:r>
              <w:rPr>
                <w:rFonts w:ascii="Times New Roman"/>
                <w:b/>
                <w:color w:val="000000"/>
                <w:w w:val="90"/>
                <w:kern w:val="0"/>
                <w:sz w:val="24"/>
                <w:szCs w:val="24"/>
              </w:rPr>
              <w:br w:type="textWrapping"/>
            </w:r>
            <w:r>
              <w:rPr>
                <w:rFonts w:ascii="Times New Roman"/>
                <w:b/>
                <w:color w:val="000000"/>
                <w:w w:val="90"/>
                <w:kern w:val="0"/>
                <w:sz w:val="24"/>
                <w:szCs w:val="24"/>
              </w:rPr>
              <w:t>展</w:t>
            </w: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生产总值（亿元）</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1098.7</w:t>
            </w: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2000</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w:t>
            </w:r>
            <w:r>
              <w:rPr>
                <w:rFonts w:ascii="Times New Roman"/>
                <w:b/>
                <w:color w:val="000000"/>
                <w:spacing w:val="-17"/>
                <w:w w:val="90"/>
                <w:kern w:val="0"/>
                <w:sz w:val="24"/>
                <w:szCs w:val="24"/>
              </w:rPr>
              <w:t>3.5以上</w:t>
            </w: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2155.9</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人均GDP（元）</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21900</w:t>
            </w: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40000</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p>
        </w:tc>
        <w:tc>
          <w:tcPr>
            <w:tcW w:w="886"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 xml:space="preserve"> 43400</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72"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地方财政一般公共预算收入（亿元）</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43.5</w:t>
            </w: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100</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18</w:t>
            </w: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85.4</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17.3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全社会固定资产投资（亿元）</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1050.5</w:t>
            </w: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3000</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25</w:t>
            </w: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3063.2</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24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社会消费品零售总额（亿元）</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293.6</w:t>
            </w: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670</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18</w:t>
            </w: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601.59</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15.2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进出口贸易总额（亿美元）</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3.4</w:t>
            </w: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5.7</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18</w:t>
            </w: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4.7</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实际利用外资额（亿美元）</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0.35</w:t>
            </w: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20</w:t>
            </w: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1.34</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30.8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exact"/>
          <w:jc w:val="center"/>
        </w:trPr>
        <w:tc>
          <w:tcPr>
            <w:tcW w:w="808" w:type="dxa"/>
            <w:vMerge w:val="restart"/>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经</w:t>
            </w:r>
            <w:r>
              <w:rPr>
                <w:rFonts w:ascii="Times New Roman"/>
                <w:b/>
                <w:color w:val="000000"/>
                <w:w w:val="90"/>
                <w:kern w:val="0"/>
                <w:sz w:val="24"/>
                <w:szCs w:val="24"/>
              </w:rPr>
              <w:br w:type="textWrapping"/>
            </w:r>
            <w:r>
              <w:rPr>
                <w:rFonts w:ascii="Times New Roman"/>
                <w:b/>
                <w:color w:val="000000"/>
                <w:w w:val="90"/>
                <w:kern w:val="0"/>
                <w:sz w:val="24"/>
                <w:szCs w:val="24"/>
              </w:rPr>
              <w:t>济</w:t>
            </w:r>
            <w:r>
              <w:rPr>
                <w:rFonts w:ascii="Times New Roman"/>
                <w:b/>
                <w:color w:val="000000"/>
                <w:w w:val="90"/>
                <w:kern w:val="0"/>
                <w:sz w:val="24"/>
                <w:szCs w:val="24"/>
              </w:rPr>
              <w:br w:type="textWrapping"/>
            </w:r>
            <w:r>
              <w:rPr>
                <w:rFonts w:ascii="Times New Roman"/>
                <w:b/>
                <w:color w:val="000000"/>
                <w:w w:val="90"/>
                <w:kern w:val="0"/>
                <w:sz w:val="24"/>
                <w:szCs w:val="24"/>
              </w:rPr>
              <w:t>结</w:t>
            </w:r>
            <w:r>
              <w:rPr>
                <w:rFonts w:ascii="Times New Roman"/>
                <w:b/>
                <w:color w:val="000000"/>
                <w:w w:val="90"/>
                <w:kern w:val="0"/>
                <w:sz w:val="24"/>
                <w:szCs w:val="24"/>
              </w:rPr>
              <w:br w:type="textWrapping"/>
            </w:r>
            <w:r>
              <w:rPr>
                <w:rFonts w:ascii="Times New Roman"/>
                <w:b/>
                <w:color w:val="000000"/>
                <w:w w:val="90"/>
                <w:kern w:val="0"/>
                <w:sz w:val="24"/>
                <w:szCs w:val="24"/>
              </w:rPr>
              <w:t>构</w:t>
            </w: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规模工业增加值（亿元）</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422.2</w:t>
            </w: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900</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18</w:t>
            </w: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974.3</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17.5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服务业增加值比重（%）</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29.3　</w:t>
            </w: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26</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非公有制经济比重（%）</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48.5</w:t>
            </w: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52</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0.7</w:t>
            </w: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52.1</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0.72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常住人口城镇化率（%）</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41</w:t>
            </w: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55</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49</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8" w:hRule="exact"/>
          <w:jc w:val="center"/>
        </w:trPr>
        <w:tc>
          <w:tcPr>
            <w:tcW w:w="808" w:type="dxa"/>
            <w:vMerge w:val="restart"/>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科</w:t>
            </w:r>
            <w:r>
              <w:rPr>
                <w:rFonts w:ascii="Times New Roman"/>
                <w:b/>
                <w:color w:val="000000"/>
                <w:w w:val="90"/>
                <w:kern w:val="0"/>
                <w:sz w:val="24"/>
                <w:szCs w:val="24"/>
              </w:rPr>
              <w:br w:type="textWrapping"/>
            </w:r>
            <w:r>
              <w:rPr>
                <w:rFonts w:ascii="Times New Roman"/>
                <w:b/>
                <w:color w:val="000000"/>
                <w:w w:val="90"/>
                <w:kern w:val="0"/>
                <w:sz w:val="24"/>
                <w:szCs w:val="24"/>
              </w:rPr>
              <w:t>技</w:t>
            </w:r>
            <w:r>
              <w:rPr>
                <w:rFonts w:ascii="Times New Roman"/>
                <w:b/>
                <w:color w:val="000000"/>
                <w:w w:val="90"/>
                <w:kern w:val="0"/>
                <w:sz w:val="24"/>
                <w:szCs w:val="24"/>
              </w:rPr>
              <w:br w:type="textWrapping"/>
            </w:r>
            <w:r>
              <w:rPr>
                <w:rFonts w:ascii="Times New Roman"/>
                <w:b/>
                <w:color w:val="000000"/>
                <w:w w:val="90"/>
                <w:kern w:val="0"/>
                <w:sz w:val="24"/>
                <w:szCs w:val="24"/>
              </w:rPr>
              <w:t>教</w:t>
            </w:r>
            <w:r>
              <w:rPr>
                <w:rFonts w:ascii="Times New Roman"/>
                <w:b/>
                <w:color w:val="000000"/>
                <w:w w:val="90"/>
                <w:kern w:val="0"/>
                <w:sz w:val="24"/>
                <w:szCs w:val="24"/>
              </w:rPr>
              <w:br w:type="textWrapping"/>
            </w:r>
            <w:r>
              <w:rPr>
                <w:rFonts w:ascii="Times New Roman"/>
                <w:b/>
                <w:color w:val="000000"/>
                <w:w w:val="90"/>
                <w:kern w:val="0"/>
                <w:sz w:val="24"/>
                <w:szCs w:val="24"/>
              </w:rPr>
              <w:t>育</w:t>
            </w: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研究与实验发展经费占生产总值比重（%）</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3</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1"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 xml:space="preserve">高中阶段教育毛入学率（%） </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95以上</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96.37</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4" w:hRule="exact"/>
          <w:jc w:val="center"/>
        </w:trPr>
        <w:tc>
          <w:tcPr>
            <w:tcW w:w="808" w:type="dxa"/>
            <w:vMerge w:val="restart"/>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 xml:space="preserve">资源环境 </w:t>
            </w: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单位生产总值能耗降低(%)</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[20]</w:t>
            </w: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[16]</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[16.5]</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9"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单位GDP二氧化碳排放强度降低（%）</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[20]</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[20.1]</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主要污染物排放减少（%）</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[10]</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[11]</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5"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340" w:lineRule="exact"/>
              <w:ind w:firstLine="0" w:firstLineChars="0"/>
              <w:rPr>
                <w:rFonts w:ascii="Times New Roman"/>
                <w:b/>
                <w:color w:val="000000"/>
                <w:w w:val="90"/>
                <w:kern w:val="0"/>
                <w:sz w:val="24"/>
                <w:szCs w:val="24"/>
              </w:rPr>
            </w:pPr>
            <w:r>
              <w:rPr>
                <w:rFonts w:ascii="Times New Roman"/>
                <w:b/>
                <w:color w:val="000000"/>
                <w:w w:val="90"/>
                <w:kern w:val="0"/>
                <w:sz w:val="24"/>
                <w:szCs w:val="24"/>
              </w:rPr>
              <w:t>非化石能源占一次能源消费比重（%）</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10</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10</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农业灌溉用水有效利用系数</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0.56</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0.575</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城市和县域污水处理率（%）</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60</w:t>
            </w: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85</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城市生活垃圾无公害化处理率（%）</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60</w:t>
            </w: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90</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森林蓄积量（万立方米）</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897.4</w:t>
            </w: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1322.3</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森林覆盖率（%）</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30</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35.95</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exact"/>
          <w:jc w:val="center"/>
        </w:trPr>
        <w:tc>
          <w:tcPr>
            <w:tcW w:w="808" w:type="dxa"/>
            <w:vMerge w:val="restart"/>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民生福祉</w:t>
            </w: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人口自然增长率（‰）</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4.29</w:t>
            </w: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6</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4.37</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城镇登记失业率（%）</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3.1</w:t>
            </w: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4.2</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3.21</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2"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城镇新增就业人数（万人）</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5.36</w:t>
            </w: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5</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p>
        </w:tc>
        <w:tc>
          <w:tcPr>
            <w:tcW w:w="886" w:type="dxa"/>
            <w:noWrap w:val="0"/>
            <w:vAlign w:val="center"/>
          </w:tcPr>
          <w:p>
            <w:pPr>
              <w:spacing w:line="400" w:lineRule="exact"/>
              <w:ind w:firstLine="0" w:firstLineChars="0"/>
              <w:rPr>
                <w:rFonts w:ascii="Times New Roman"/>
                <w:b/>
                <w:color w:val="000000"/>
                <w:spacing w:val="-11"/>
                <w:w w:val="90"/>
                <w:kern w:val="0"/>
                <w:sz w:val="24"/>
                <w:szCs w:val="24"/>
              </w:rPr>
            </w:pPr>
            <w:r>
              <w:rPr>
                <w:rFonts w:ascii="Times New Roman"/>
                <w:b/>
                <w:color w:val="000000"/>
                <w:spacing w:val="-11"/>
                <w:w w:val="90"/>
                <w:kern w:val="0"/>
                <w:sz w:val="24"/>
                <w:szCs w:val="24"/>
              </w:rPr>
              <w:t xml:space="preserve">  [30.65]</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基本医疗保险覆盖率（%）</w:t>
            </w:r>
          </w:p>
        </w:tc>
        <w:tc>
          <w:tcPr>
            <w:tcW w:w="1075" w:type="dxa"/>
            <w:noWrap w:val="0"/>
            <w:vAlign w:val="center"/>
          </w:tcPr>
          <w:p>
            <w:pPr>
              <w:spacing w:line="400" w:lineRule="exact"/>
              <w:ind w:firstLine="0" w:firstLineChars="0"/>
              <w:rPr>
                <w:rFonts w:ascii="Times New Roman"/>
                <w:b/>
                <w:color w:val="000000"/>
                <w:w w:val="90"/>
                <w:kern w:val="0"/>
                <w:sz w:val="24"/>
                <w:szCs w:val="24"/>
              </w:rPr>
            </w:pP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96</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新农合参保率（%）</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95</w:t>
            </w: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99.9</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3"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城镇居民人均可支配收入（元）</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18914</w:t>
            </w: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38000</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15</w:t>
            </w: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spacing w:val="-11"/>
                <w:w w:val="90"/>
                <w:kern w:val="0"/>
                <w:sz w:val="24"/>
                <w:szCs w:val="24"/>
              </w:rPr>
              <w:t>34187*</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12.6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exact"/>
          <w:jc w:val="center"/>
        </w:trPr>
        <w:tc>
          <w:tcPr>
            <w:tcW w:w="808" w:type="dxa"/>
            <w:vMerge w:val="continue"/>
            <w:noWrap w:val="0"/>
            <w:vAlign w:val="center"/>
          </w:tcPr>
          <w:p>
            <w:pPr>
              <w:spacing w:line="400" w:lineRule="exact"/>
              <w:ind w:firstLine="0" w:firstLineChars="0"/>
              <w:jc w:val="center"/>
              <w:rPr>
                <w:rFonts w:ascii="Times New Roman"/>
                <w:b/>
                <w:color w:val="000000"/>
                <w:w w:val="90"/>
                <w:kern w:val="0"/>
                <w:sz w:val="24"/>
                <w:szCs w:val="24"/>
              </w:rPr>
            </w:pPr>
          </w:p>
        </w:tc>
        <w:tc>
          <w:tcPr>
            <w:tcW w:w="3091" w:type="dxa"/>
            <w:noWrap w:val="0"/>
            <w:vAlign w:val="center"/>
          </w:tcPr>
          <w:p>
            <w:pPr>
              <w:spacing w:line="400" w:lineRule="exact"/>
              <w:ind w:firstLine="0" w:firstLineChars="0"/>
              <w:rPr>
                <w:rFonts w:ascii="Times New Roman"/>
                <w:b/>
                <w:color w:val="000000"/>
                <w:w w:val="90"/>
                <w:kern w:val="0"/>
                <w:sz w:val="24"/>
                <w:szCs w:val="24"/>
              </w:rPr>
            </w:pPr>
            <w:r>
              <w:rPr>
                <w:rFonts w:ascii="Times New Roman"/>
                <w:b/>
                <w:color w:val="000000"/>
                <w:w w:val="90"/>
                <w:kern w:val="0"/>
                <w:sz w:val="24"/>
                <w:szCs w:val="24"/>
              </w:rPr>
              <w:t>农村居民人均纯收入（元）</w:t>
            </w:r>
          </w:p>
        </w:tc>
        <w:tc>
          <w:tcPr>
            <w:tcW w:w="1075"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5056</w:t>
            </w:r>
          </w:p>
        </w:tc>
        <w:tc>
          <w:tcPr>
            <w:tcW w:w="941"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10500</w:t>
            </w:r>
          </w:p>
        </w:tc>
        <w:tc>
          <w:tcPr>
            <w:tcW w:w="1052"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16</w:t>
            </w:r>
          </w:p>
        </w:tc>
        <w:tc>
          <w:tcPr>
            <w:tcW w:w="886"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10529*</w:t>
            </w:r>
          </w:p>
        </w:tc>
        <w:tc>
          <w:tcPr>
            <w:tcW w:w="830" w:type="dxa"/>
            <w:noWrap w:val="0"/>
            <w:vAlign w:val="center"/>
          </w:tcPr>
          <w:p>
            <w:pPr>
              <w:spacing w:line="400" w:lineRule="exact"/>
              <w:ind w:firstLine="0" w:firstLineChars="0"/>
              <w:jc w:val="center"/>
              <w:rPr>
                <w:rFonts w:ascii="Times New Roman"/>
                <w:b/>
                <w:color w:val="000000"/>
                <w:w w:val="90"/>
                <w:kern w:val="0"/>
                <w:sz w:val="24"/>
                <w:szCs w:val="24"/>
              </w:rPr>
            </w:pPr>
            <w:r>
              <w:rPr>
                <w:rFonts w:ascii="Times New Roman"/>
                <w:b/>
                <w:color w:val="000000"/>
                <w:w w:val="90"/>
                <w:kern w:val="0"/>
                <w:sz w:val="24"/>
                <w:szCs w:val="24"/>
              </w:rPr>
              <w:t>15.8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4" w:hRule="exact"/>
          <w:jc w:val="center"/>
        </w:trPr>
        <w:tc>
          <w:tcPr>
            <w:tcW w:w="8683" w:type="dxa"/>
            <w:gridSpan w:val="7"/>
            <w:noWrap w:val="0"/>
            <w:vAlign w:val="center"/>
          </w:tcPr>
          <w:p>
            <w:pPr>
              <w:spacing w:line="400" w:lineRule="exact"/>
              <w:ind w:firstLine="0" w:firstLineChars="0"/>
              <w:jc w:val="left"/>
              <w:rPr>
                <w:rFonts w:ascii="Times New Roman"/>
                <w:b/>
                <w:color w:val="000000"/>
                <w:w w:val="90"/>
                <w:kern w:val="0"/>
                <w:sz w:val="24"/>
                <w:szCs w:val="24"/>
              </w:rPr>
            </w:pPr>
            <w:r>
              <w:rPr>
                <w:rFonts w:hint="eastAsia" w:ascii="Times New Roman"/>
                <w:b/>
                <w:color w:val="000000"/>
                <w:w w:val="90"/>
                <w:kern w:val="0"/>
                <w:sz w:val="24"/>
                <w:szCs w:val="24"/>
              </w:rPr>
              <w:t xml:space="preserve">    </w:t>
            </w:r>
            <w:r>
              <w:rPr>
                <w:rFonts w:ascii="Times New Roman"/>
                <w:b/>
                <w:color w:val="000000"/>
                <w:w w:val="90"/>
                <w:kern w:val="0"/>
                <w:sz w:val="24"/>
                <w:szCs w:val="24"/>
              </w:rPr>
              <w:t>注：生产总值绝对数按当年价格计算，增长速度按可比价格计算。地方财政一般公共预算收入为同口径增长。[</w:t>
            </w:r>
            <w:r>
              <w:rPr>
                <w:rFonts w:hint="eastAsia" w:ascii="Times New Roman"/>
                <w:b/>
                <w:color w:val="000000"/>
                <w:w w:val="90"/>
                <w:kern w:val="0"/>
                <w:sz w:val="24"/>
                <w:szCs w:val="24"/>
              </w:rPr>
              <w:t xml:space="preserve"> </w:t>
            </w:r>
            <w:r>
              <w:rPr>
                <w:rFonts w:ascii="Times New Roman"/>
                <w:b/>
                <w:color w:val="000000"/>
                <w:w w:val="90"/>
                <w:kern w:val="0"/>
                <w:sz w:val="24"/>
                <w:szCs w:val="24"/>
              </w:rPr>
              <w:t xml:space="preserve"> ]表示五年累计数。*表示按老口径统计值。</w:t>
            </w:r>
          </w:p>
        </w:tc>
      </w:tr>
    </w:tbl>
    <w:p>
      <w:pPr>
        <w:spacing w:line="300" w:lineRule="exact"/>
        <w:ind w:firstLine="643"/>
        <w:rPr>
          <w:rFonts w:ascii="Times New Roman"/>
          <w:b/>
          <w:color w:val="000000"/>
          <w:sz w:val="32"/>
          <w:szCs w:val="32"/>
        </w:rPr>
      </w:pPr>
    </w:p>
    <w:p>
      <w:pPr>
        <w:keepNext/>
        <w:keepLines/>
        <w:spacing w:line="600" w:lineRule="exact"/>
        <w:ind w:firstLine="0" w:firstLineChars="0"/>
        <w:jc w:val="center"/>
        <w:outlineLvl w:val="2"/>
        <w:rPr>
          <w:rFonts w:ascii="Times New Roman" w:eastAsia="黑体"/>
          <w:b/>
          <w:color w:val="000000"/>
          <w:kern w:val="0"/>
          <w:sz w:val="32"/>
          <w:szCs w:val="32"/>
        </w:rPr>
      </w:pPr>
      <w:bookmarkStart w:id="4" w:name="_Toc439878071"/>
      <w:r>
        <w:rPr>
          <w:rFonts w:ascii="Times New Roman" w:eastAsia="黑体"/>
          <w:b/>
          <w:color w:val="000000"/>
          <w:kern w:val="0"/>
          <w:sz w:val="32"/>
          <w:szCs w:val="32"/>
        </w:rPr>
        <w:t>第二章  面临环境</w:t>
      </w:r>
      <w:bookmarkEnd w:id="4"/>
    </w:p>
    <w:p>
      <w:pPr>
        <w:spacing w:line="300" w:lineRule="exact"/>
        <w:ind w:firstLine="643"/>
        <w:rPr>
          <w:rFonts w:ascii="Times New Roman"/>
          <w:b/>
          <w:color w:val="000000"/>
          <w:sz w:val="32"/>
          <w:szCs w:val="32"/>
        </w:rPr>
      </w:pPr>
    </w:p>
    <w:p>
      <w:pPr>
        <w:adjustRightInd w:val="0"/>
        <w:snapToGrid w:val="0"/>
        <w:spacing w:line="600" w:lineRule="exact"/>
        <w:ind w:firstLine="643"/>
        <w:rPr>
          <w:rFonts w:ascii="Times New Roman"/>
          <w:b/>
          <w:color w:val="000000"/>
          <w:sz w:val="32"/>
          <w:szCs w:val="32"/>
        </w:rPr>
      </w:pPr>
      <w:r>
        <w:rPr>
          <w:rFonts w:ascii="Times New Roman"/>
          <w:b/>
          <w:color w:val="000000"/>
          <w:sz w:val="32"/>
          <w:szCs w:val="32"/>
        </w:rPr>
        <w:t>从国际看，世界经济在深度调整中曲折复苏，新一轮科技革命和产业变革蓄势待发，全球治理体系深刻变革，发展中国家群体力量继续增强，国际力量对比逐步趋向平衡。同时，国际金融危机深层次影响在相当长时期依然存在，全球经济贸易增长乏力，保护主义抬头，地缘政治关系复杂变化，传统安全威胁和非传统安全威胁交织，外部环境不稳定不确定因素增多。</w:t>
      </w:r>
    </w:p>
    <w:p>
      <w:pPr>
        <w:pStyle w:val="16"/>
        <w:shd w:val="clear" w:color="auto" w:fill="FFFFFF"/>
        <w:spacing w:before="0" w:beforeAutospacing="0" w:after="0" w:afterAutospacing="0" w:line="600" w:lineRule="exact"/>
        <w:ind w:firstLine="627"/>
        <w:jc w:val="both"/>
        <w:rPr>
          <w:rFonts w:ascii="Times New Roman"/>
          <w:b/>
          <w:color w:val="000000"/>
          <w:spacing w:val="-4"/>
          <w:kern w:val="2"/>
          <w:sz w:val="32"/>
          <w:szCs w:val="32"/>
        </w:rPr>
      </w:pPr>
      <w:r>
        <w:rPr>
          <w:rFonts w:ascii="Times New Roman"/>
          <w:b/>
          <w:color w:val="000000"/>
          <w:spacing w:val="-4"/>
          <w:kern w:val="2"/>
          <w:sz w:val="32"/>
          <w:szCs w:val="32"/>
        </w:rPr>
        <w:t>从国内看，</w:t>
      </w:r>
      <w:r>
        <w:rPr>
          <w:rFonts w:ascii="Times New Roman"/>
          <w:b/>
          <w:color w:val="000000"/>
          <w:spacing w:val="-4"/>
          <w:sz w:val="32"/>
          <w:szCs w:val="32"/>
          <w:shd w:val="clear" w:color="auto" w:fill="FFFFFF"/>
        </w:rPr>
        <w:t>我国发展仍处于可以大有作为的重要战略机遇期，</w:t>
      </w:r>
      <w:r>
        <w:rPr>
          <w:rFonts w:ascii="Times New Roman"/>
          <w:b/>
          <w:color w:val="000000"/>
          <w:spacing w:val="-6"/>
          <w:sz w:val="32"/>
          <w:szCs w:val="32"/>
          <w:shd w:val="clear" w:color="auto" w:fill="FFFFFF"/>
        </w:rPr>
        <w:t>经济发展进入速度变化、结构优化、动力转换的新常态，经济长期向好基本面没有改变，发展前景仍然广阔，具有巨大的韧性、潜力和回旋余地。</w:t>
      </w:r>
      <w:r>
        <w:rPr>
          <w:rFonts w:ascii="Times New Roman"/>
          <w:b/>
          <w:color w:val="000000"/>
          <w:spacing w:val="-6"/>
          <w:kern w:val="2"/>
          <w:sz w:val="32"/>
          <w:szCs w:val="32"/>
        </w:rPr>
        <w:t>同时，经济社会发展不平衡、不协调、不可持续问题仍然突出，我国仍面临诸多矛盾叠加、风险隐患增多的严峻挑战。</w:t>
      </w:r>
    </w:p>
    <w:p>
      <w:pPr>
        <w:pStyle w:val="16"/>
        <w:shd w:val="clear" w:color="auto" w:fill="FFFFFF"/>
        <w:spacing w:before="0" w:beforeAutospacing="0" w:after="0" w:afterAutospacing="0" w:line="600" w:lineRule="exact"/>
        <w:ind w:firstLine="627"/>
        <w:jc w:val="both"/>
        <w:rPr>
          <w:rFonts w:ascii="Times New Roman"/>
          <w:b/>
          <w:color w:val="000000"/>
          <w:spacing w:val="-4"/>
          <w:kern w:val="2"/>
          <w:sz w:val="32"/>
          <w:szCs w:val="32"/>
        </w:rPr>
      </w:pPr>
      <w:r>
        <w:rPr>
          <w:rFonts w:ascii="Times New Roman"/>
          <w:b/>
          <w:color w:val="000000"/>
          <w:spacing w:val="-4"/>
          <w:kern w:val="2"/>
          <w:sz w:val="32"/>
          <w:szCs w:val="32"/>
        </w:rPr>
        <w:t>从全省看，经过多年发展，陕西站在了新的历史起点，正处在追赶超越阶段，势能潜能加速释放，科教实力雄厚、自然资源富集、文化沉淀厚重等优势在未来竞争中将更加凸显，打造西部科学发展新引擎、建设内陆改革开放新高地、创新城镇化发展方式、构建国家生态安全屏障等重大使命赋予了陕西难得的发展机遇。同时，长期积累的深层次矛盾和结构性问题依然存在，经济下行压力持续加大，促改革、调结构、惠民生、防风险任务繁重。</w:t>
      </w:r>
    </w:p>
    <w:p>
      <w:pPr>
        <w:pStyle w:val="16"/>
        <w:shd w:val="clear" w:color="auto" w:fill="FFFFFF"/>
        <w:spacing w:before="0" w:beforeAutospacing="0" w:after="0" w:afterAutospacing="0" w:line="600" w:lineRule="exact"/>
        <w:ind w:firstLine="643"/>
        <w:rPr>
          <w:rFonts w:ascii="Times New Roman"/>
          <w:b/>
          <w:color w:val="000000"/>
          <w:sz w:val="32"/>
          <w:szCs w:val="32"/>
          <w:shd w:val="clear" w:color="auto" w:fill="FFFFFF"/>
        </w:rPr>
      </w:pPr>
      <w:r>
        <w:rPr>
          <w:rFonts w:ascii="Times New Roman"/>
          <w:b/>
          <w:color w:val="000000"/>
          <w:kern w:val="2"/>
          <w:sz w:val="32"/>
          <w:szCs w:val="32"/>
        </w:rPr>
        <w:t>从全市看，我市仍有保持平稳较快发展的巨大潜力。国家</w:t>
      </w:r>
      <w:r>
        <w:rPr>
          <w:rFonts w:ascii="Times New Roman"/>
          <w:b/>
          <w:color w:val="000000"/>
          <w:sz w:val="32"/>
          <w:szCs w:val="32"/>
        </w:rPr>
        <w:t>深入推进西部大开发，</w:t>
      </w:r>
      <w:r>
        <w:rPr>
          <w:rFonts w:ascii="Times New Roman"/>
          <w:b/>
          <w:color w:val="000000"/>
          <w:kern w:val="2"/>
          <w:sz w:val="32"/>
          <w:szCs w:val="32"/>
        </w:rPr>
        <w:t>强力推进“一带一路”建设，</w:t>
      </w:r>
      <w:r>
        <w:rPr>
          <w:rFonts w:ascii="Times New Roman"/>
          <w:b/>
          <w:color w:val="000000"/>
          <w:sz w:val="32"/>
          <w:szCs w:val="32"/>
        </w:rPr>
        <w:t>我市将由对外开放的大后方，成为对外开放的前沿，有利于我市融入国家区域发展新格局，在更大范围扩大开放、深化协作、配置资源；</w:t>
      </w:r>
      <w:r>
        <w:rPr>
          <w:rFonts w:ascii="Times New Roman"/>
          <w:b/>
          <w:color w:val="000000"/>
          <w:kern w:val="2"/>
          <w:sz w:val="32"/>
          <w:szCs w:val="32"/>
        </w:rPr>
        <w:t>随着省市共建大西安战略的深入推进，我市作为大西安核心板块，有利于</w:t>
      </w:r>
      <w:r>
        <w:rPr>
          <w:rFonts w:ascii="Times New Roman"/>
          <w:b/>
          <w:color w:val="000000"/>
          <w:sz w:val="32"/>
          <w:szCs w:val="32"/>
          <w:shd w:val="clear" w:color="auto" w:fill="FFFFFF"/>
        </w:rPr>
        <w:t>聚集先进生产要素，聚集发展势能；国家实施创新驱动发展战略，特别是实施“中国制造2025”、“互联网＋”行动计划，与我市的发展需求高度契合，为我市发挥后发优势、调整产业结构、加快产业转型升级、</w:t>
      </w:r>
      <w:r>
        <w:rPr>
          <w:rFonts w:ascii="Times New Roman"/>
          <w:b/>
          <w:color w:val="000000"/>
          <w:sz w:val="32"/>
          <w:szCs w:val="32"/>
        </w:rPr>
        <w:t>实现跨越发展，</w:t>
      </w:r>
      <w:r>
        <w:rPr>
          <w:rFonts w:ascii="Times New Roman"/>
          <w:b/>
          <w:color w:val="000000"/>
          <w:sz w:val="32"/>
          <w:szCs w:val="32"/>
          <w:shd w:val="clear" w:color="auto" w:fill="FFFFFF"/>
        </w:rPr>
        <w:t>提供了重要机遇；深化改革持续推进，为我市</w:t>
      </w:r>
      <w:r>
        <w:rPr>
          <w:rFonts w:ascii="Times New Roman"/>
          <w:b/>
          <w:color w:val="000000"/>
          <w:sz w:val="32"/>
          <w:szCs w:val="32"/>
        </w:rPr>
        <w:t>破解制约发展的瓶颈问题，</w:t>
      </w:r>
      <w:r>
        <w:rPr>
          <w:rFonts w:ascii="Times New Roman"/>
          <w:b/>
          <w:color w:val="000000"/>
          <w:sz w:val="32"/>
          <w:szCs w:val="32"/>
          <w:shd w:val="clear" w:color="auto" w:fill="FFFFFF"/>
        </w:rPr>
        <w:t>解决深层次矛盾问题提供了强有力的政策支持</w:t>
      </w:r>
      <w:r>
        <w:rPr>
          <w:rFonts w:ascii="Times New Roman"/>
          <w:b/>
          <w:color w:val="000000"/>
          <w:kern w:val="2"/>
          <w:sz w:val="32"/>
          <w:szCs w:val="32"/>
        </w:rPr>
        <w:t>。</w:t>
      </w:r>
    </w:p>
    <w:p>
      <w:pPr>
        <w:pStyle w:val="16"/>
        <w:shd w:val="clear" w:color="auto" w:fill="FFFFFF"/>
        <w:spacing w:before="0" w:beforeAutospacing="0" w:after="0" w:afterAutospacing="0" w:line="600" w:lineRule="exact"/>
        <w:ind w:firstLine="643"/>
        <w:rPr>
          <w:rFonts w:ascii="Times New Roman"/>
          <w:b/>
          <w:color w:val="000000"/>
          <w:sz w:val="32"/>
          <w:szCs w:val="32"/>
          <w:shd w:val="clear" w:color="auto" w:fill="FFFFFF"/>
        </w:rPr>
      </w:pPr>
      <w:r>
        <w:rPr>
          <w:rFonts w:ascii="Times New Roman"/>
          <w:b/>
          <w:color w:val="000000"/>
          <w:kern w:val="2"/>
          <w:sz w:val="32"/>
          <w:szCs w:val="32"/>
        </w:rPr>
        <w:t>综合来看，机遇与挑战并存，困难与风险同在</w:t>
      </w:r>
      <w:r>
        <w:rPr>
          <w:rFonts w:ascii="Times New Roman"/>
          <w:b/>
          <w:color w:val="000000"/>
          <w:sz w:val="32"/>
        </w:rPr>
        <w:t>。</w:t>
      </w:r>
      <w:r>
        <w:rPr>
          <w:rFonts w:ascii="Times New Roman"/>
          <w:b/>
          <w:color w:val="000000"/>
          <w:sz w:val="32"/>
          <w:szCs w:val="32"/>
          <w:shd w:val="clear" w:color="auto" w:fill="FFFFFF"/>
        </w:rPr>
        <w:t>我们必须强化忧患意识、责任意识和担当意识，始终保持昂扬向上、奋发有为的精神状态，科学谋划、真抓实干，锐意进取，</w:t>
      </w:r>
      <w:r>
        <w:rPr>
          <w:rFonts w:ascii="Times New Roman"/>
          <w:b/>
          <w:color w:val="000000"/>
          <w:kern w:val="2"/>
          <w:sz w:val="32"/>
          <w:szCs w:val="32"/>
        </w:rPr>
        <w:t>努力推动经济保持中高速增长、不断迈向中高端水平，确保与全国、全省同步够格全面建成小康社会。</w:t>
      </w:r>
    </w:p>
    <w:p>
      <w:pPr>
        <w:spacing w:line="300" w:lineRule="exact"/>
        <w:ind w:firstLine="643"/>
        <w:rPr>
          <w:rFonts w:ascii="Times New Roman"/>
          <w:b/>
          <w:color w:val="000000"/>
          <w:sz w:val="32"/>
          <w:szCs w:val="32"/>
        </w:rPr>
      </w:pPr>
      <w:bookmarkStart w:id="5" w:name="_Toc439878072"/>
    </w:p>
    <w:p>
      <w:pPr>
        <w:keepNext/>
        <w:keepLines/>
        <w:spacing w:line="600" w:lineRule="exact"/>
        <w:ind w:firstLine="0" w:firstLineChars="0"/>
        <w:jc w:val="center"/>
        <w:outlineLvl w:val="2"/>
        <w:rPr>
          <w:rFonts w:ascii="Times New Roman" w:eastAsia="黑体"/>
          <w:b/>
          <w:color w:val="000000"/>
          <w:kern w:val="0"/>
          <w:sz w:val="32"/>
          <w:szCs w:val="32"/>
        </w:rPr>
      </w:pPr>
      <w:r>
        <w:rPr>
          <w:rFonts w:ascii="Times New Roman" w:eastAsia="黑体"/>
          <w:b/>
          <w:color w:val="000000"/>
          <w:kern w:val="0"/>
          <w:sz w:val="32"/>
          <w:szCs w:val="32"/>
        </w:rPr>
        <w:t>第三章  总体要求</w:t>
      </w:r>
      <w:bookmarkEnd w:id="5"/>
    </w:p>
    <w:p>
      <w:pPr>
        <w:spacing w:line="300" w:lineRule="exact"/>
        <w:ind w:firstLine="643"/>
        <w:rPr>
          <w:rFonts w:ascii="Times New Roman"/>
          <w:b/>
          <w:color w:val="000000"/>
          <w:sz w:val="32"/>
          <w:szCs w:val="32"/>
        </w:rPr>
      </w:pPr>
    </w:p>
    <w:p>
      <w:pPr>
        <w:spacing w:line="600" w:lineRule="exact"/>
        <w:ind w:firstLine="0" w:firstLineChars="0"/>
        <w:jc w:val="center"/>
        <w:rPr>
          <w:rFonts w:hint="eastAsia" w:ascii="黑体" w:hAnsi="黑体" w:eastAsia="黑体" w:cs="黑体"/>
          <w:b/>
          <w:color w:val="000000"/>
          <w:sz w:val="28"/>
          <w:szCs w:val="32"/>
        </w:rPr>
      </w:pPr>
      <w:r>
        <w:rPr>
          <w:rFonts w:hint="eastAsia" w:ascii="宋体" w:hAnsi="宋体" w:eastAsia="宋体" w:cs="宋体"/>
          <w:b/>
          <w:color w:val="000000"/>
          <w:sz w:val="32"/>
          <w:szCs w:val="32"/>
        </w:rPr>
        <w:t>第一节  指导思想</w:t>
      </w:r>
    </w:p>
    <w:p>
      <w:pPr>
        <w:spacing w:line="3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r>
        <w:rPr>
          <w:rFonts w:ascii="Times New Roman"/>
          <w:b/>
          <w:color w:val="000000"/>
          <w:sz w:val="32"/>
          <w:szCs w:val="32"/>
        </w:rPr>
        <w:t>高举中国特色社会主义伟大旗帜，全面贯彻党的十八大和十八届三中、四中、五中全会精神，以邓小平理论、“三个代表”重要思想、科学发展观为指导，深入贯彻习近平总书记系列重要讲话精神，以“四个全面”战略布局和“五大发展理念”为引领，全面加快追赶超越、转型发展步伐。积极实施供给侧结构性改革、形成持续增长新动力，着力推动重点板块协同发展、构建区域发展新格局。全面融入“一带一路”建设、打造向西开放新高地。统筹推进经济建设、政治建设、文化建设、社会建设、生态文明建设和党的建设，确保如期全面建成小康社会，加快建设富强人文健康新咸阳，谱写中华民族伟大复兴中国梦的咸阳篇章。</w:t>
      </w:r>
    </w:p>
    <w:p>
      <w:pPr>
        <w:spacing w:line="300" w:lineRule="exact"/>
        <w:ind w:firstLine="643"/>
        <w:rPr>
          <w:rFonts w:ascii="Times New Roman"/>
          <w:b/>
          <w:color w:val="000000"/>
          <w:sz w:val="32"/>
          <w:szCs w:val="32"/>
        </w:rPr>
      </w:pPr>
    </w:p>
    <w:p>
      <w:pPr>
        <w:spacing w:line="600" w:lineRule="exact"/>
        <w:ind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第二节  基本原则</w:t>
      </w:r>
    </w:p>
    <w:p>
      <w:pPr>
        <w:spacing w:line="300" w:lineRule="exact"/>
        <w:ind w:firstLine="643"/>
        <w:rPr>
          <w:rFonts w:ascii="Times New Roman"/>
          <w:b/>
          <w:color w:val="000000"/>
          <w:sz w:val="32"/>
          <w:szCs w:val="32"/>
        </w:rPr>
      </w:pPr>
    </w:p>
    <w:p>
      <w:pPr>
        <w:spacing w:line="600" w:lineRule="exact"/>
        <w:ind w:firstLine="643"/>
        <w:rPr>
          <w:rFonts w:ascii="Times New Roman" w:eastAsia="黑体"/>
          <w:b/>
          <w:color w:val="000000"/>
          <w:sz w:val="32"/>
          <w:szCs w:val="32"/>
        </w:rPr>
      </w:pPr>
      <w:r>
        <w:rPr>
          <w:rFonts w:ascii="Times New Roman"/>
          <w:b/>
          <w:color w:val="000000"/>
          <w:sz w:val="32"/>
          <w:szCs w:val="32"/>
        </w:rPr>
        <w:t>同步全面建成小康社会，推动经济社会持续健康发展，必须遵循以下原则。</w:t>
      </w:r>
    </w:p>
    <w:p>
      <w:pPr>
        <w:spacing w:line="600" w:lineRule="exact"/>
        <w:ind w:firstLine="643"/>
        <w:rPr>
          <w:rFonts w:ascii="Times New Roman"/>
          <w:b/>
          <w:color w:val="000000"/>
          <w:sz w:val="32"/>
          <w:szCs w:val="32"/>
          <w:shd w:val="clear" w:color="auto" w:fill="FFFFFF"/>
        </w:rPr>
      </w:pPr>
      <w:r>
        <w:rPr>
          <w:rFonts w:ascii="Times New Roman" w:eastAsia="楷体_GB2312"/>
          <w:b/>
          <w:color w:val="000000"/>
          <w:sz w:val="32"/>
          <w:szCs w:val="32"/>
        </w:rPr>
        <w:t>坚持创新发</w:t>
      </w:r>
      <w:r>
        <w:rPr>
          <w:rFonts w:ascii="Times New Roman"/>
          <w:b/>
          <w:color w:val="000000"/>
          <w:sz w:val="32"/>
          <w:szCs w:val="32"/>
        </w:rPr>
        <w:t>展</w:t>
      </w:r>
      <w:r>
        <w:rPr>
          <w:rFonts w:ascii="Times New Roman" w:eastAsia="楷体_GB2312"/>
          <w:b/>
          <w:color w:val="000000"/>
          <w:sz w:val="32"/>
          <w:szCs w:val="32"/>
        </w:rPr>
        <w:t>。</w:t>
      </w:r>
      <w:r>
        <w:rPr>
          <w:rFonts w:ascii="Times New Roman"/>
          <w:b/>
          <w:color w:val="000000"/>
          <w:sz w:val="32"/>
          <w:szCs w:val="32"/>
        </w:rPr>
        <w:t>把创新作为第一动力，</w:t>
      </w:r>
      <w:r>
        <w:rPr>
          <w:rFonts w:ascii="Times New Roman"/>
          <w:b/>
          <w:color w:val="000000"/>
          <w:sz w:val="32"/>
          <w:szCs w:val="32"/>
          <w:shd w:val="clear" w:color="auto" w:fill="FFFFFF"/>
        </w:rPr>
        <w:t>摆在全市发展大局的核心位置，大力推进理论创新、制度创新、科技创新、文化创新等各方面创新，</w:t>
      </w:r>
      <w:r>
        <w:rPr>
          <w:rFonts w:ascii="Times New Roman"/>
          <w:b/>
          <w:color w:val="000000"/>
          <w:sz w:val="32"/>
          <w:szCs w:val="32"/>
        </w:rPr>
        <w:t>加快形成以创新为主要引领和支撑的经济体系和发展模式。</w:t>
      </w:r>
      <w:r>
        <w:rPr>
          <w:rFonts w:ascii="Times New Roman"/>
          <w:b/>
          <w:color w:val="000000"/>
          <w:sz w:val="32"/>
          <w:szCs w:val="32"/>
          <w:shd w:val="clear" w:color="auto" w:fill="FFFFFF"/>
        </w:rPr>
        <w:t>深入实施科教兴市和人才强市战略，</w:t>
      </w:r>
      <w:r>
        <w:rPr>
          <w:rFonts w:ascii="Times New Roman"/>
          <w:b/>
          <w:color w:val="000000"/>
          <w:sz w:val="32"/>
          <w:szCs w:val="32"/>
        </w:rPr>
        <w:t>以建设国家创新型城市为目标，建立完善区域创新体系，</w:t>
      </w:r>
      <w:r>
        <w:rPr>
          <w:rFonts w:ascii="Times New Roman"/>
          <w:b/>
          <w:color w:val="000000"/>
          <w:sz w:val="32"/>
          <w:szCs w:val="32"/>
          <w:shd w:val="clear" w:color="auto" w:fill="FFFFFF"/>
        </w:rPr>
        <w:t>让创新成为推动经济社会发展的源头活水。</w:t>
      </w:r>
      <w:r>
        <w:rPr>
          <w:rFonts w:ascii="Times New Roman"/>
          <w:b/>
          <w:color w:val="000000"/>
          <w:sz w:val="32"/>
          <w:szCs w:val="32"/>
        </w:rPr>
        <w:t>以供给侧结构性改革为重点，</w:t>
      </w:r>
      <w:r>
        <w:rPr>
          <w:rFonts w:ascii="Times New Roman"/>
          <w:b/>
          <w:color w:val="000000"/>
          <w:sz w:val="32"/>
          <w:szCs w:val="32"/>
          <w:shd w:val="clear" w:color="auto" w:fill="FFFFFF"/>
        </w:rPr>
        <w:t>加快推进产业转型升级，增强产业核心竞争力和可持续发展能力，推动产业结构迈向中高端，打造咸阳产业升级版。</w:t>
      </w:r>
    </w:p>
    <w:p>
      <w:pPr>
        <w:spacing w:line="600" w:lineRule="exact"/>
        <w:ind w:firstLine="643"/>
        <w:rPr>
          <w:rFonts w:ascii="Times New Roman"/>
          <w:b/>
          <w:color w:val="000000"/>
          <w:sz w:val="32"/>
          <w:szCs w:val="32"/>
        </w:rPr>
      </w:pPr>
      <w:r>
        <w:rPr>
          <w:rFonts w:ascii="Times New Roman" w:eastAsia="楷体_GB2312"/>
          <w:b/>
          <w:color w:val="000000"/>
          <w:sz w:val="32"/>
          <w:szCs w:val="32"/>
        </w:rPr>
        <w:t>坚持协调发展。</w:t>
      </w:r>
      <w:r>
        <w:rPr>
          <w:rFonts w:ascii="Times New Roman"/>
          <w:b/>
          <w:color w:val="000000"/>
          <w:sz w:val="32"/>
          <w:szCs w:val="32"/>
          <w:shd w:val="clear" w:color="auto" w:fill="FFFFFF"/>
        </w:rPr>
        <w:t>把协调作为内在要求，更加注重发展的整体性、协同性，坚持“四化同步”，加大统筹城乡发展力度，促进南部地区、中部地区和北部地区协调均衡发展，构建布局合理、分工协同、特色明显、多极支撑的区域发展新格局。</w:t>
      </w:r>
      <w:r>
        <w:rPr>
          <w:rFonts w:ascii="Times New Roman"/>
          <w:b/>
          <w:color w:val="000000"/>
          <w:sz w:val="31"/>
        </w:rPr>
        <w:t>加快推进以人为核心的新型城镇化，</w:t>
      </w:r>
      <w:r>
        <w:rPr>
          <w:rFonts w:ascii="Times New Roman"/>
          <w:b/>
          <w:color w:val="000000"/>
          <w:sz w:val="32"/>
          <w:szCs w:val="32"/>
        </w:rPr>
        <w:t>推进城乡基础设施、公共服务、社会管理一体化，推进城乡要素平等交换、合理配置，促进新型城镇化和新农村建设协调发展。</w:t>
      </w:r>
    </w:p>
    <w:p>
      <w:pPr>
        <w:spacing w:line="600" w:lineRule="exact"/>
        <w:ind w:firstLine="643"/>
        <w:rPr>
          <w:rFonts w:ascii="Times New Roman"/>
          <w:b/>
          <w:color w:val="000000"/>
          <w:kern w:val="0"/>
          <w:sz w:val="32"/>
          <w:szCs w:val="32"/>
        </w:rPr>
      </w:pPr>
      <w:r>
        <w:rPr>
          <w:rFonts w:ascii="Times New Roman" w:eastAsia="楷体_GB2312"/>
          <w:b/>
          <w:color w:val="000000"/>
          <w:sz w:val="32"/>
          <w:szCs w:val="32"/>
        </w:rPr>
        <w:t>坚持绿色发展。</w:t>
      </w:r>
      <w:r>
        <w:rPr>
          <w:rFonts w:ascii="Times New Roman"/>
          <w:b/>
          <w:color w:val="000000"/>
          <w:sz w:val="32"/>
          <w:szCs w:val="32"/>
        </w:rPr>
        <w:t>把绿色作为必要条件，</w:t>
      </w:r>
      <w:r>
        <w:rPr>
          <w:rFonts w:ascii="Times New Roman"/>
          <w:b/>
          <w:color w:val="000000"/>
          <w:kern w:val="0"/>
          <w:sz w:val="32"/>
          <w:szCs w:val="32"/>
        </w:rPr>
        <w:t>坚持绿色富市、绿色惠民，坚定不移走生产发展、生活富裕、生态良好的文明发展道路，全面促进资源节约利用，</w:t>
      </w:r>
      <w:r>
        <w:rPr>
          <w:rFonts w:ascii="Times New Roman"/>
          <w:b/>
          <w:color w:val="000000"/>
          <w:sz w:val="32"/>
          <w:szCs w:val="32"/>
          <w:shd w:val="clear" w:color="auto" w:fill="FFFFFF"/>
        </w:rPr>
        <w:t>强化环境保护和生态建设</w:t>
      </w:r>
      <w:r>
        <w:rPr>
          <w:rFonts w:ascii="Times New Roman"/>
          <w:b/>
          <w:color w:val="000000"/>
          <w:kern w:val="0"/>
          <w:sz w:val="32"/>
          <w:szCs w:val="32"/>
        </w:rPr>
        <w:t>，大力推进绿色发展、循环发展、低碳发展。加快建设资源节约型、环境友好型社会，</w:t>
      </w:r>
      <w:r>
        <w:rPr>
          <w:rFonts w:ascii="Times New Roman"/>
          <w:b/>
          <w:color w:val="000000"/>
          <w:sz w:val="32"/>
          <w:szCs w:val="32"/>
          <w:shd w:val="clear" w:color="auto" w:fill="FFFFFF"/>
        </w:rPr>
        <w:t>倡导节约健康环保生活方式、消费方式、生产方式，推进美丽咸阳建设，</w:t>
      </w:r>
      <w:r>
        <w:rPr>
          <w:rFonts w:ascii="Times New Roman"/>
          <w:b/>
          <w:color w:val="000000"/>
          <w:kern w:val="0"/>
          <w:sz w:val="32"/>
          <w:szCs w:val="32"/>
        </w:rPr>
        <w:t>形成人与自然和谐发展新格局。</w:t>
      </w:r>
    </w:p>
    <w:p>
      <w:pPr>
        <w:spacing w:line="600" w:lineRule="exact"/>
        <w:ind w:firstLine="643"/>
        <w:rPr>
          <w:rFonts w:ascii="Times New Roman"/>
          <w:b/>
          <w:color w:val="000000"/>
          <w:sz w:val="32"/>
          <w:szCs w:val="32"/>
        </w:rPr>
      </w:pPr>
      <w:r>
        <w:rPr>
          <w:rFonts w:ascii="Times New Roman" w:eastAsia="楷体_GB2312"/>
          <w:b/>
          <w:color w:val="000000"/>
          <w:sz w:val="32"/>
          <w:szCs w:val="32"/>
        </w:rPr>
        <w:t>坚持开放发展。</w:t>
      </w:r>
      <w:r>
        <w:rPr>
          <w:rFonts w:ascii="Times New Roman"/>
          <w:b/>
          <w:color w:val="000000"/>
          <w:sz w:val="32"/>
          <w:szCs w:val="32"/>
          <w:shd w:val="clear" w:color="auto" w:fill="FFFFFF"/>
        </w:rPr>
        <w:t>把开放作为必由之路，统筹对内开放和对外开放，坚持“引进来”和“走出去”并重，内外需并重、进出口并重、引资和引智并重，</w:t>
      </w:r>
      <w:r>
        <w:rPr>
          <w:rFonts w:ascii="Times New Roman"/>
          <w:b/>
          <w:color w:val="000000"/>
          <w:kern w:val="0"/>
          <w:sz w:val="32"/>
          <w:szCs w:val="32"/>
        </w:rPr>
        <w:t>主动参与“一带一路”建设，</w:t>
      </w:r>
      <w:r>
        <w:rPr>
          <w:rFonts w:ascii="Times New Roman"/>
          <w:b/>
          <w:color w:val="000000"/>
          <w:sz w:val="32"/>
          <w:szCs w:val="32"/>
        </w:rPr>
        <w:t>全面提高统筹国际国内两个市场、两种资源的能力，积极融入全球产业分工体系，加快建设内陆改革开放新高地。抓住重点领域和关键环节全面深化改革，形成系统完备、科学规范、运行有效的制度体系，推动经济社会持续健康发展。</w:t>
      </w:r>
    </w:p>
    <w:p>
      <w:pPr>
        <w:spacing w:line="600" w:lineRule="exact"/>
        <w:ind w:firstLine="643"/>
        <w:rPr>
          <w:rFonts w:ascii="Times New Roman"/>
          <w:b/>
          <w:color w:val="000000"/>
          <w:sz w:val="32"/>
          <w:szCs w:val="32"/>
          <w:shd w:val="clear" w:color="auto" w:fill="FFFFFF"/>
        </w:rPr>
      </w:pPr>
      <w:r>
        <w:rPr>
          <w:rFonts w:ascii="Times New Roman" w:eastAsia="楷体_GB2312"/>
          <w:b/>
          <w:color w:val="000000"/>
          <w:sz w:val="32"/>
          <w:szCs w:val="32"/>
        </w:rPr>
        <w:t>坚持共享发展。</w:t>
      </w:r>
      <w:r>
        <w:rPr>
          <w:rFonts w:ascii="Times New Roman"/>
          <w:b/>
          <w:color w:val="000000"/>
          <w:sz w:val="32"/>
          <w:szCs w:val="32"/>
        </w:rPr>
        <w:t>把共享作为本质要求，持之以恒加大民生投入。</w:t>
      </w:r>
      <w:r>
        <w:rPr>
          <w:rFonts w:ascii="Times New Roman"/>
          <w:b/>
          <w:color w:val="000000"/>
          <w:sz w:val="32"/>
          <w:szCs w:val="32"/>
          <w:shd w:val="clear" w:color="auto" w:fill="FFFFFF"/>
        </w:rPr>
        <w:t>促进社会事业全面进步，提高公共服务供给质量，优化公共服务保障结构，推进公共服务均等化、普惠化。提高社会治理能力，促进社会公平正义，让全体人民有更多获得感。扎实推进精准扶贫精准脱贫，坚决打赢脱贫攻坚战，确保同步够格进入全面小康社会。</w:t>
      </w:r>
    </w:p>
    <w:p>
      <w:pPr>
        <w:spacing w:line="300" w:lineRule="exact"/>
        <w:ind w:firstLine="643"/>
        <w:rPr>
          <w:rFonts w:ascii="Times New Roman"/>
          <w:b/>
          <w:color w:val="000000"/>
          <w:sz w:val="32"/>
          <w:szCs w:val="32"/>
        </w:rPr>
      </w:pPr>
    </w:p>
    <w:p>
      <w:pPr>
        <w:keepNext/>
        <w:keepLines/>
        <w:spacing w:line="600" w:lineRule="exact"/>
        <w:ind w:firstLine="0" w:firstLineChars="0"/>
        <w:jc w:val="center"/>
        <w:outlineLvl w:val="2"/>
        <w:rPr>
          <w:rFonts w:ascii="Times New Roman" w:eastAsia="黑体"/>
          <w:b/>
          <w:color w:val="000000"/>
          <w:kern w:val="0"/>
          <w:sz w:val="32"/>
          <w:szCs w:val="32"/>
        </w:rPr>
      </w:pPr>
      <w:bookmarkStart w:id="6" w:name="_Toc439878073"/>
      <w:r>
        <w:rPr>
          <w:rFonts w:ascii="Times New Roman" w:eastAsia="黑体"/>
          <w:b/>
          <w:color w:val="000000"/>
          <w:kern w:val="0"/>
          <w:sz w:val="32"/>
          <w:szCs w:val="32"/>
        </w:rPr>
        <w:t>第四章  发展目标</w:t>
      </w:r>
      <w:bookmarkEnd w:id="6"/>
    </w:p>
    <w:p>
      <w:pPr>
        <w:spacing w:line="300" w:lineRule="exact"/>
        <w:ind w:firstLine="643"/>
        <w:rPr>
          <w:rFonts w:ascii="Times New Roman"/>
          <w:b/>
          <w:color w:val="000000"/>
          <w:sz w:val="32"/>
          <w:szCs w:val="32"/>
        </w:rPr>
      </w:pPr>
    </w:p>
    <w:p>
      <w:pPr>
        <w:pStyle w:val="16"/>
        <w:shd w:val="clear" w:color="auto" w:fill="FFFFFF"/>
        <w:spacing w:before="0" w:beforeAutospacing="0" w:after="0" w:afterAutospacing="0" w:line="600" w:lineRule="exact"/>
        <w:ind w:firstLine="643"/>
        <w:jc w:val="both"/>
        <w:rPr>
          <w:rFonts w:ascii="Times New Roman"/>
          <w:b/>
          <w:color w:val="000000"/>
          <w:sz w:val="32"/>
          <w:szCs w:val="32"/>
          <w:shd w:val="clear" w:color="auto" w:fill="FFFFFF"/>
        </w:rPr>
      </w:pPr>
      <w:r>
        <w:rPr>
          <w:rFonts w:ascii="Times New Roman"/>
          <w:b/>
          <w:color w:val="000000"/>
          <w:sz w:val="32"/>
          <w:szCs w:val="32"/>
          <w:shd w:val="clear" w:color="auto" w:fill="FFFFFF"/>
        </w:rPr>
        <w:t>按照全面同步够格建成小康社会的目标要求，综合考虑发展趋势和条件，努力实现以下发展目标。</w:t>
      </w:r>
    </w:p>
    <w:p>
      <w:pPr>
        <w:pStyle w:val="16"/>
        <w:shd w:val="clear" w:color="auto" w:fill="FFFFFF"/>
        <w:spacing w:before="0" w:beforeAutospacing="0" w:after="0" w:afterAutospacing="0" w:line="600" w:lineRule="exact"/>
        <w:ind w:firstLine="640"/>
        <w:jc w:val="both"/>
        <w:rPr>
          <w:rFonts w:ascii="Times New Roman"/>
          <w:b/>
          <w:color w:val="000000"/>
          <w:sz w:val="32"/>
          <w:szCs w:val="32"/>
          <w:shd w:val="clear" w:color="auto" w:fill="FFFFFF"/>
        </w:rPr>
      </w:pPr>
      <w:r>
        <w:rPr>
          <w:rFonts w:ascii="Times New Roman" w:eastAsia="楷体"/>
          <w:b/>
          <w:color w:val="000000"/>
          <w:sz w:val="32"/>
          <w:szCs w:val="32"/>
          <w:shd w:val="clear" w:color="auto" w:fill="FFFFFF"/>
        </w:rPr>
        <w:t>——富强咸阳。</w:t>
      </w:r>
      <w:r>
        <w:rPr>
          <w:rFonts w:ascii="Times New Roman"/>
          <w:b/>
          <w:color w:val="000000"/>
          <w:sz w:val="32"/>
          <w:szCs w:val="32"/>
          <w:shd w:val="clear" w:color="auto" w:fill="FFFFFF"/>
        </w:rPr>
        <w:t>经济保持中高速增长，产业结构更趋合理，创新引领发展格局基本形成。在质量效益明显提高的基础上实现生产总值年均增长9%左右，到2020年人均GDP超过1万美元，规模以上工业增加值年均增长12%左右，社会消费品零售总额年均增长12%左右，三次产业结构比例引导性目标为10:55:35。非公经济增加值占GDP比重达到58%，战略性新兴产业和服务业增加值占GDP比重进一步上升，税收收入占财政收入的比例达到70%以上，居民人均可支配收入年均增长10%。</w:t>
      </w:r>
    </w:p>
    <w:p>
      <w:pPr>
        <w:pStyle w:val="16"/>
        <w:shd w:val="clear" w:color="auto" w:fill="FFFFFF"/>
        <w:spacing w:before="0" w:beforeAutospacing="0" w:after="0" w:afterAutospacing="0" w:line="600" w:lineRule="exact"/>
        <w:ind w:firstLine="640"/>
        <w:jc w:val="both"/>
        <w:rPr>
          <w:rFonts w:ascii="Times New Roman"/>
          <w:b/>
          <w:color w:val="000000"/>
          <w:sz w:val="32"/>
          <w:szCs w:val="32"/>
          <w:shd w:val="clear" w:color="auto" w:fill="FFFFFF"/>
        </w:rPr>
      </w:pPr>
      <w:r>
        <w:rPr>
          <w:rFonts w:ascii="Times New Roman" w:eastAsia="楷体"/>
          <w:b/>
          <w:color w:val="000000"/>
          <w:sz w:val="32"/>
          <w:szCs w:val="32"/>
          <w:shd w:val="clear" w:color="auto" w:fill="FFFFFF"/>
        </w:rPr>
        <w:t>——人文咸阳。</w:t>
      </w:r>
      <w:r>
        <w:rPr>
          <w:rFonts w:ascii="Times New Roman"/>
          <w:b/>
          <w:color w:val="000000"/>
          <w:spacing w:val="-6"/>
          <w:sz w:val="32"/>
          <w:szCs w:val="32"/>
          <w:shd w:val="clear" w:color="auto" w:fill="FFFFFF"/>
        </w:rPr>
        <w:t>秦风秦韵秦文化进一步彰显，“崇德包容、尚法创新”的咸阳精神成为广大市民的自觉行动，“大秦故都、德善咸阳”的城市品牌更加靓丽，咸阳软实力明显提升。全力创建全国文明城市，公民思想道德素质、科学文化素质、法治素质、文明素质和社会文明程度明显提高。到2020年，公共文化服务体系基本建成，文化产业增加值突破200亿元，比重达到6%。旅游产业规模进一步壮大，旅游业总收入近500亿元，年均增长13％。</w:t>
      </w:r>
    </w:p>
    <w:p>
      <w:pPr>
        <w:pStyle w:val="16"/>
        <w:shd w:val="clear" w:color="auto" w:fill="FFFFFF"/>
        <w:spacing w:before="0" w:beforeAutospacing="0" w:after="0" w:afterAutospacing="0" w:line="600" w:lineRule="exact"/>
        <w:ind w:firstLine="640"/>
        <w:jc w:val="both"/>
        <w:rPr>
          <w:rFonts w:ascii="Times New Roman"/>
          <w:b/>
          <w:color w:val="000000"/>
          <w:sz w:val="32"/>
          <w:szCs w:val="32"/>
          <w:shd w:val="clear" w:color="auto" w:fill="FFFFFF"/>
        </w:rPr>
      </w:pPr>
      <w:r>
        <w:rPr>
          <w:rFonts w:ascii="Times New Roman" w:eastAsia="楷体"/>
          <w:b/>
          <w:color w:val="000000"/>
          <w:sz w:val="32"/>
          <w:szCs w:val="32"/>
          <w:shd w:val="clear" w:color="auto" w:fill="FFFFFF"/>
        </w:rPr>
        <w:t>——健康咸阳。</w:t>
      </w:r>
      <w:r>
        <w:rPr>
          <w:rFonts w:ascii="Times New Roman"/>
          <w:b/>
          <w:color w:val="000000"/>
          <w:sz w:val="32"/>
          <w:szCs w:val="32"/>
          <w:shd w:val="clear" w:color="auto" w:fill="FFFFFF"/>
        </w:rPr>
        <w:t>经济、政治、文化、社会、生态等各个领域协调发展。城乡一体化发展格局基本形成，对外开放水平和经济可持续发展能力明显增强。人民健康水平大幅提升，医药卫生体制改革取得重大突破，社会保障体系更加健全，基本公共服务实现均等化。生态环境质量全面改善，美丽咸阳建设深入实施，全市森林覆盖率达到39%，湿地保护面积达到15.4万亩，城市污水处理率达到95%以上。社会治理能力进一步提升，依法治市全面推进，群众安全感和幸福感显著增强。</w:t>
      </w:r>
    </w:p>
    <w:p>
      <w:pPr>
        <w:spacing w:line="600" w:lineRule="exact"/>
        <w:ind w:firstLine="0" w:firstLineChars="0"/>
        <w:rPr>
          <w:rFonts w:ascii="Times New Roman" w:eastAsia="方正黑体_GBK"/>
          <w:b/>
          <w:color w:val="000000"/>
          <w:sz w:val="32"/>
          <w:szCs w:val="32"/>
        </w:rPr>
      </w:pPr>
      <w:r>
        <w:rPr>
          <w:rFonts w:ascii="Times New Roman" w:eastAsia="方正黑体_GBK"/>
          <w:b/>
          <w:color w:val="000000"/>
          <w:sz w:val="32"/>
          <w:szCs w:val="32"/>
        </w:rPr>
        <w:br w:type="page"/>
      </w:r>
      <w:r>
        <w:rPr>
          <w:rFonts w:hint="eastAsia" w:ascii="黑体" w:hAnsi="黑体" w:eastAsia="黑体" w:cs="黑体"/>
          <w:b/>
          <w:color w:val="000000"/>
          <w:sz w:val="32"/>
          <w:szCs w:val="32"/>
        </w:rPr>
        <w:t>表2</w:t>
      </w:r>
      <w:r>
        <w:rPr>
          <w:rFonts w:ascii="Times New Roman" w:eastAsia="方正黑体_GBK"/>
          <w:b/>
          <w:color w:val="000000"/>
          <w:sz w:val="32"/>
          <w:szCs w:val="32"/>
        </w:rPr>
        <w:t xml:space="preserve">  </w:t>
      </w:r>
    </w:p>
    <w:p>
      <w:pPr>
        <w:spacing w:line="600" w:lineRule="exact"/>
        <w:ind w:firstLine="0" w:firstLineChars="0"/>
        <w:jc w:val="center"/>
        <w:rPr>
          <w:rFonts w:ascii="Times New Roman" w:eastAsia="方正小标宋_GBK"/>
          <w:b/>
          <w:color w:val="000000"/>
          <w:kern w:val="0"/>
          <w:sz w:val="44"/>
          <w:szCs w:val="44"/>
        </w:rPr>
      </w:pPr>
    </w:p>
    <w:p>
      <w:pPr>
        <w:spacing w:line="600" w:lineRule="exact"/>
        <w:ind w:firstLine="0" w:firstLineChars="0"/>
        <w:jc w:val="center"/>
        <w:rPr>
          <w:rFonts w:hint="eastAsia" w:ascii="方正小标宋_GBK" w:hAnsi="方正小标宋_GBK" w:eastAsia="方正小标宋_GBK" w:cs="方正小标宋_GBK"/>
          <w:b/>
          <w:color w:val="000000"/>
          <w:kern w:val="0"/>
          <w:sz w:val="44"/>
          <w:szCs w:val="44"/>
        </w:rPr>
      </w:pPr>
      <w:r>
        <w:rPr>
          <w:rFonts w:hint="eastAsia" w:ascii="方正小标宋_GBK" w:hAnsi="方正小标宋_GBK" w:eastAsia="方正小标宋_GBK" w:cs="方正小标宋_GBK"/>
          <w:b/>
          <w:color w:val="000000"/>
          <w:kern w:val="0"/>
          <w:sz w:val="44"/>
          <w:szCs w:val="44"/>
        </w:rPr>
        <w:t>咸阳市“十三五”经济社会发展主要目标</w:t>
      </w:r>
    </w:p>
    <w:p>
      <w:pPr>
        <w:spacing w:line="600" w:lineRule="exact"/>
        <w:ind w:firstLine="0" w:firstLineChars="0"/>
        <w:jc w:val="center"/>
        <w:rPr>
          <w:rFonts w:ascii="Times New Roman" w:eastAsia="方正小标宋_GBK"/>
          <w:b/>
          <w:color w:val="000000"/>
          <w:kern w:val="0"/>
          <w:sz w:val="44"/>
          <w:szCs w:val="44"/>
        </w:rPr>
      </w:pPr>
    </w:p>
    <w:tbl>
      <w:tblPr>
        <w:tblStyle w:val="17"/>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786"/>
        <w:gridCol w:w="2180"/>
        <w:gridCol w:w="983"/>
        <w:gridCol w:w="983"/>
        <w:gridCol w:w="834"/>
        <w:gridCol w:w="1004"/>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94" w:hRule="exact"/>
          <w:tblHeader/>
          <w:jc w:val="center"/>
        </w:trPr>
        <w:tc>
          <w:tcPr>
            <w:tcW w:w="1074" w:type="dxa"/>
            <w:noWrap w:val="0"/>
            <w:vAlign w:val="center"/>
          </w:tcPr>
          <w:p>
            <w:pPr>
              <w:spacing w:line="400" w:lineRule="exact"/>
              <w:ind w:firstLine="0" w:firstLineChars="0"/>
              <w:jc w:val="center"/>
              <w:rPr>
                <w:rFonts w:ascii="Times New Roman" w:eastAsia="黑体"/>
                <w:b/>
                <w:color w:val="000000"/>
                <w:kern w:val="0"/>
                <w:sz w:val="24"/>
                <w:szCs w:val="24"/>
              </w:rPr>
            </w:pPr>
            <w:r>
              <w:rPr>
                <w:rFonts w:ascii="Times New Roman" w:eastAsia="黑体"/>
                <w:b/>
                <w:color w:val="000000"/>
                <w:kern w:val="0"/>
                <w:sz w:val="24"/>
                <w:szCs w:val="24"/>
              </w:rPr>
              <w:t>类 别</w:t>
            </w:r>
          </w:p>
        </w:tc>
        <w:tc>
          <w:tcPr>
            <w:tcW w:w="3966" w:type="dxa"/>
            <w:gridSpan w:val="2"/>
            <w:noWrap w:val="0"/>
            <w:vAlign w:val="center"/>
          </w:tcPr>
          <w:p>
            <w:pPr>
              <w:spacing w:line="400" w:lineRule="exact"/>
              <w:ind w:firstLine="0" w:firstLineChars="0"/>
              <w:jc w:val="center"/>
              <w:rPr>
                <w:rFonts w:ascii="Times New Roman" w:eastAsia="黑体"/>
                <w:b/>
                <w:color w:val="000000"/>
                <w:kern w:val="0"/>
                <w:sz w:val="24"/>
                <w:szCs w:val="24"/>
              </w:rPr>
            </w:pPr>
            <w:r>
              <w:rPr>
                <w:rFonts w:ascii="Times New Roman" w:eastAsia="黑体"/>
                <w:b/>
                <w:color w:val="000000"/>
                <w:kern w:val="0"/>
                <w:sz w:val="24"/>
                <w:szCs w:val="24"/>
              </w:rPr>
              <w:t>指 标 名 称</w:t>
            </w:r>
          </w:p>
        </w:tc>
        <w:tc>
          <w:tcPr>
            <w:tcW w:w="983" w:type="dxa"/>
            <w:noWrap w:val="0"/>
            <w:vAlign w:val="center"/>
          </w:tcPr>
          <w:p>
            <w:pPr>
              <w:spacing w:line="400" w:lineRule="exact"/>
              <w:ind w:firstLine="0" w:firstLineChars="0"/>
              <w:jc w:val="center"/>
              <w:rPr>
                <w:rFonts w:ascii="Times New Roman" w:eastAsia="黑体"/>
                <w:b/>
                <w:color w:val="000000"/>
                <w:kern w:val="0"/>
                <w:sz w:val="24"/>
                <w:szCs w:val="24"/>
              </w:rPr>
            </w:pPr>
            <w:r>
              <w:rPr>
                <w:rFonts w:ascii="Times New Roman" w:eastAsia="黑体"/>
                <w:b/>
                <w:color w:val="000000"/>
                <w:kern w:val="0"/>
                <w:sz w:val="24"/>
                <w:szCs w:val="24"/>
              </w:rPr>
              <w:t>2015年</w:t>
            </w:r>
          </w:p>
        </w:tc>
        <w:tc>
          <w:tcPr>
            <w:tcW w:w="983" w:type="dxa"/>
            <w:noWrap w:val="0"/>
            <w:vAlign w:val="center"/>
          </w:tcPr>
          <w:p>
            <w:pPr>
              <w:spacing w:line="400" w:lineRule="exact"/>
              <w:ind w:firstLine="0" w:firstLineChars="0"/>
              <w:jc w:val="center"/>
              <w:rPr>
                <w:rFonts w:ascii="Times New Roman" w:eastAsia="黑体"/>
                <w:b/>
                <w:color w:val="000000"/>
                <w:kern w:val="0"/>
                <w:sz w:val="24"/>
                <w:szCs w:val="24"/>
              </w:rPr>
            </w:pPr>
            <w:r>
              <w:rPr>
                <w:rFonts w:ascii="Times New Roman" w:eastAsia="黑体"/>
                <w:b/>
                <w:color w:val="000000"/>
                <w:kern w:val="0"/>
                <w:sz w:val="24"/>
                <w:szCs w:val="24"/>
              </w:rPr>
              <w:t>2020年</w:t>
            </w:r>
          </w:p>
        </w:tc>
        <w:tc>
          <w:tcPr>
            <w:tcW w:w="834" w:type="dxa"/>
            <w:noWrap w:val="0"/>
            <w:vAlign w:val="center"/>
          </w:tcPr>
          <w:p>
            <w:pPr>
              <w:spacing w:line="400" w:lineRule="exact"/>
              <w:ind w:firstLine="0" w:firstLineChars="0"/>
              <w:jc w:val="center"/>
              <w:rPr>
                <w:rFonts w:ascii="Times New Roman" w:eastAsia="黑体"/>
                <w:b/>
                <w:color w:val="000000"/>
                <w:kern w:val="0"/>
                <w:sz w:val="24"/>
                <w:szCs w:val="24"/>
              </w:rPr>
            </w:pPr>
            <w:r>
              <w:rPr>
                <w:rFonts w:ascii="Times New Roman" w:eastAsia="黑体"/>
                <w:b/>
                <w:color w:val="000000"/>
                <w:kern w:val="0"/>
                <w:sz w:val="24"/>
                <w:szCs w:val="24"/>
              </w:rPr>
              <w:t>年均</w:t>
            </w:r>
          </w:p>
          <w:p>
            <w:pPr>
              <w:spacing w:line="400" w:lineRule="exact"/>
              <w:ind w:firstLine="0" w:firstLineChars="0"/>
              <w:jc w:val="center"/>
              <w:rPr>
                <w:rFonts w:ascii="Times New Roman" w:eastAsia="黑体"/>
                <w:b/>
                <w:color w:val="000000"/>
                <w:kern w:val="0"/>
                <w:sz w:val="24"/>
                <w:szCs w:val="24"/>
              </w:rPr>
            </w:pPr>
            <w:r>
              <w:rPr>
                <w:rFonts w:ascii="Times New Roman" w:eastAsia="黑体"/>
                <w:b/>
                <w:color w:val="000000"/>
                <w:kern w:val="0"/>
                <w:sz w:val="24"/>
                <w:szCs w:val="24"/>
              </w:rPr>
              <w:t>增长（%）</w:t>
            </w:r>
          </w:p>
        </w:tc>
        <w:tc>
          <w:tcPr>
            <w:tcW w:w="1004" w:type="dxa"/>
            <w:noWrap w:val="0"/>
            <w:vAlign w:val="center"/>
          </w:tcPr>
          <w:p>
            <w:pPr>
              <w:spacing w:line="400" w:lineRule="exact"/>
              <w:ind w:firstLine="0" w:firstLineChars="0"/>
              <w:jc w:val="center"/>
              <w:rPr>
                <w:rFonts w:ascii="Times New Roman" w:eastAsia="黑体"/>
                <w:b/>
                <w:color w:val="000000"/>
                <w:kern w:val="0"/>
                <w:sz w:val="24"/>
                <w:szCs w:val="24"/>
              </w:rPr>
            </w:pPr>
            <w:r>
              <w:rPr>
                <w:rFonts w:ascii="Times New Roman" w:eastAsia="黑体"/>
                <w:b/>
                <w:color w:val="000000"/>
                <w:kern w:val="0"/>
                <w:sz w:val="24"/>
                <w:szCs w:val="24"/>
              </w:rPr>
              <w:t>指 标</w:t>
            </w:r>
          </w:p>
          <w:p>
            <w:pPr>
              <w:spacing w:line="400" w:lineRule="exact"/>
              <w:ind w:firstLine="0" w:firstLineChars="0"/>
              <w:jc w:val="center"/>
              <w:rPr>
                <w:rFonts w:ascii="Times New Roman" w:eastAsia="黑体"/>
                <w:b/>
                <w:color w:val="000000"/>
                <w:kern w:val="0"/>
                <w:sz w:val="24"/>
                <w:szCs w:val="24"/>
              </w:rPr>
            </w:pPr>
            <w:r>
              <w:rPr>
                <w:rFonts w:ascii="Times New Roman" w:eastAsia="黑体"/>
                <w:b/>
                <w:color w:val="000000"/>
                <w:kern w:val="0"/>
                <w:sz w:val="24"/>
                <w:szCs w:val="24"/>
              </w:rPr>
              <w:t>属 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restart"/>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经济</w:t>
            </w:r>
          </w:p>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发展</w:t>
            </w: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生产总值（亿元）</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2155.9</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3400</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9</w:t>
            </w:r>
          </w:p>
        </w:tc>
        <w:tc>
          <w:tcPr>
            <w:tcW w:w="1004" w:type="dxa"/>
            <w:vMerge w:val="restart"/>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人均GDP</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43400</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70000</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8.7</w:t>
            </w: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规模以上工业增加值（亿元）</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974.3</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1650</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12</w:t>
            </w: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全社会固定资产投资（亿元）</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3063.2</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5400</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13</w:t>
            </w: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社会消费品零售总额（亿元）</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601.59</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1050</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12</w:t>
            </w: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外贸进出口总额（亿美元）</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4.7</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10</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15</w:t>
            </w: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地方一般公共财政预算收入（亿元）</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85.4</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140</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10</w:t>
            </w: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restart"/>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创新</w:t>
            </w:r>
          </w:p>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驱动</w:t>
            </w: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科技进步贡献率（%）</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54</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58</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7"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研究与实验发展经费占生产总值比重（%）</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1</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2</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7"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大中型企业研究与实验发展经费占主营业务收入比重（%）</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2</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3</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文化产业增加值比重（%）</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5</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6</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万人发明专利拥有量（件）</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1.6</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4</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restart"/>
            <w:noWrap w:val="0"/>
            <w:vAlign w:val="center"/>
          </w:tcPr>
          <w:p>
            <w:pPr>
              <w:tabs>
                <w:tab w:val="left" w:pos="409"/>
              </w:tabs>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结构</w:t>
            </w:r>
          </w:p>
          <w:p>
            <w:pPr>
              <w:tabs>
                <w:tab w:val="left" w:pos="409"/>
              </w:tabs>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升级</w:t>
            </w: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服务业增加值占GDP比重（%）</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26</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35</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战略性新兴产业占GDP比重（%）</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15</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信息化指数</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80</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常住人口城镇化率（%）</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49</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60</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非公经济增加值占GDP比重（%）</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52.1</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58</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restart"/>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民生</w:t>
            </w:r>
          </w:p>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福祉</w:t>
            </w: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城镇新增就业人数（万人）</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6.2</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[30]</w:t>
            </w:r>
          </w:p>
        </w:tc>
        <w:tc>
          <w:tcPr>
            <w:tcW w:w="834" w:type="dxa"/>
            <w:noWrap w:val="0"/>
            <w:vAlign w:val="center"/>
          </w:tcPr>
          <w:p>
            <w:pPr>
              <w:spacing w:line="400" w:lineRule="exact"/>
              <w:ind w:firstLine="0" w:firstLineChars="0"/>
              <w:rPr>
                <w:rFonts w:ascii="Times New Roman" w:eastAsia="仿宋"/>
                <w:b/>
                <w:color w:val="000000"/>
                <w:kern w:val="0"/>
                <w:sz w:val="24"/>
                <w:szCs w:val="24"/>
              </w:rPr>
            </w:pPr>
          </w:p>
          <w:p>
            <w:pPr>
              <w:spacing w:line="400" w:lineRule="exact"/>
              <w:ind w:firstLine="0" w:firstLineChars="0"/>
              <w:jc w:val="center"/>
              <w:rPr>
                <w:rFonts w:ascii="Times New Roman" w:eastAsia="仿宋"/>
                <w:b/>
                <w:color w:val="000000"/>
                <w:kern w:val="0"/>
                <w:sz w:val="24"/>
                <w:szCs w:val="24"/>
              </w:rPr>
            </w:pPr>
          </w:p>
          <w:p>
            <w:pPr>
              <w:spacing w:line="400" w:lineRule="exact"/>
              <w:ind w:firstLine="0" w:firstLineChars="0"/>
              <w:jc w:val="center"/>
              <w:rPr>
                <w:rFonts w:ascii="Times New Roman" w:eastAsia="仿宋"/>
                <w:b/>
                <w:color w:val="000000"/>
                <w:kern w:val="0"/>
                <w:sz w:val="24"/>
                <w:szCs w:val="24"/>
              </w:rPr>
            </w:pPr>
          </w:p>
        </w:tc>
        <w:tc>
          <w:tcPr>
            <w:tcW w:w="1004" w:type="dxa"/>
            <w:vMerge w:val="restart"/>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居民人均可支配收入（元）</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18430</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29700</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10</w:t>
            </w: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城镇登记失业率（%）</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3.21</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≤4.0</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restart"/>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约束性</w:t>
            </w:r>
          </w:p>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人口自然增长率（‰）</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4.37</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≤6</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居民消费价格指数（%）</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102</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103</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高中阶段教育毛入学率（%）</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96.37</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≥99</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基本医疗保险覆盖率（%）</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96</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≥96</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restart"/>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生态</w:t>
            </w:r>
          </w:p>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文明</w:t>
            </w: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耕地保有量（万亩）</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534.5</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556.5</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restart"/>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约束性</w:t>
            </w:r>
          </w:p>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单位GDP能耗降低（%）</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[16.5]</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[16]</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单位工业增加值用水量累计降低（%）</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[20]</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单位GDP二氧化碳排放强度降低（%）</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sz w:val="24"/>
                <w:szCs w:val="24"/>
              </w:rPr>
              <w:t>[20.1]</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sz w:val="24"/>
                <w:szCs w:val="24"/>
              </w:rPr>
              <w:t>[18]</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1786" w:type="dxa"/>
            <w:vMerge w:val="restart"/>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主要污染物排放降低（%）</w:t>
            </w:r>
          </w:p>
        </w:tc>
        <w:tc>
          <w:tcPr>
            <w:tcW w:w="2180"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化学需氧量</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sz w:val="24"/>
                <w:szCs w:val="24"/>
              </w:rPr>
              <w:t>[11.3]</w:t>
            </w:r>
          </w:p>
        </w:tc>
        <w:tc>
          <w:tcPr>
            <w:tcW w:w="983" w:type="dxa"/>
            <w:vMerge w:val="restart"/>
            <w:noWrap w:val="0"/>
            <w:vAlign w:val="center"/>
          </w:tcPr>
          <w:p>
            <w:pPr>
              <w:spacing w:line="400" w:lineRule="exact"/>
              <w:ind w:firstLine="0" w:firstLineChars="0"/>
              <w:jc w:val="center"/>
              <w:rPr>
                <w:rFonts w:ascii="Times New Roman" w:eastAsia="仿宋"/>
                <w:b/>
                <w:color w:val="000000"/>
                <w:sz w:val="24"/>
                <w:szCs w:val="24"/>
              </w:rPr>
            </w:pPr>
            <w:r>
              <w:rPr>
                <w:rFonts w:ascii="Times New Roman" w:eastAsia="仿宋"/>
                <w:b/>
                <w:color w:val="000000"/>
                <w:sz w:val="24"/>
                <w:szCs w:val="24"/>
              </w:rPr>
              <w:t>[8]</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restart"/>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1786"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2180"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氨 氮</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sz w:val="24"/>
                <w:szCs w:val="24"/>
              </w:rPr>
              <w:t>[16.7]</w:t>
            </w:r>
          </w:p>
        </w:tc>
        <w:tc>
          <w:tcPr>
            <w:tcW w:w="983" w:type="dxa"/>
            <w:vMerge w:val="continue"/>
            <w:noWrap w:val="0"/>
            <w:vAlign w:val="center"/>
          </w:tcPr>
          <w:p>
            <w:pPr>
              <w:spacing w:line="400" w:lineRule="exact"/>
              <w:ind w:firstLine="480"/>
              <w:jc w:val="center"/>
              <w:rPr>
                <w:rFonts w:ascii="Times New Roman" w:eastAsia="仿宋"/>
                <w:b/>
                <w:color w:val="000000"/>
                <w:sz w:val="24"/>
                <w:szCs w:val="24"/>
              </w:rPr>
            </w:pP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1786"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2180"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氮氧化物</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sz w:val="24"/>
                <w:szCs w:val="24"/>
              </w:rPr>
              <w:t>[15.6]</w:t>
            </w:r>
          </w:p>
        </w:tc>
        <w:tc>
          <w:tcPr>
            <w:tcW w:w="983" w:type="dxa"/>
            <w:vMerge w:val="continue"/>
            <w:noWrap w:val="0"/>
            <w:vAlign w:val="center"/>
          </w:tcPr>
          <w:p>
            <w:pPr>
              <w:spacing w:line="400" w:lineRule="exact"/>
              <w:ind w:firstLine="480"/>
              <w:jc w:val="center"/>
              <w:rPr>
                <w:rFonts w:ascii="Times New Roman" w:eastAsia="仿宋"/>
                <w:b/>
                <w:color w:val="000000"/>
                <w:sz w:val="24"/>
                <w:szCs w:val="24"/>
              </w:rPr>
            </w:pP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1786"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2180"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二氧化硫</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sz w:val="24"/>
                <w:szCs w:val="24"/>
              </w:rPr>
              <w:t>[13.7]</w:t>
            </w:r>
          </w:p>
        </w:tc>
        <w:tc>
          <w:tcPr>
            <w:tcW w:w="983" w:type="dxa"/>
            <w:vMerge w:val="continue"/>
            <w:noWrap w:val="0"/>
            <w:vAlign w:val="center"/>
          </w:tcPr>
          <w:p>
            <w:pPr>
              <w:spacing w:line="400" w:lineRule="exact"/>
              <w:ind w:firstLine="480"/>
              <w:jc w:val="center"/>
              <w:rPr>
                <w:rFonts w:ascii="Times New Roman" w:eastAsia="仿宋"/>
                <w:b/>
                <w:color w:val="000000"/>
                <w:sz w:val="24"/>
                <w:szCs w:val="24"/>
              </w:rPr>
            </w:pP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城市污水处理率（%）</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85</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95</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城市生活垃圾无害化处理率（%）</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90</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95</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城市空气优良天数（天）</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258</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280</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治理水土流失面积（平方公里）</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1720</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restart"/>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jc w:val="center"/>
        </w:trPr>
        <w:tc>
          <w:tcPr>
            <w:tcW w:w="107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c>
          <w:tcPr>
            <w:tcW w:w="3966" w:type="dxa"/>
            <w:gridSpan w:val="2"/>
            <w:noWrap w:val="0"/>
            <w:vAlign w:val="center"/>
          </w:tcPr>
          <w:p>
            <w:pPr>
              <w:spacing w:line="400" w:lineRule="exact"/>
              <w:ind w:firstLine="0" w:firstLineChars="0"/>
              <w:jc w:val="left"/>
              <w:rPr>
                <w:rFonts w:ascii="Times New Roman" w:eastAsia="仿宋"/>
                <w:b/>
                <w:color w:val="000000"/>
                <w:kern w:val="0"/>
                <w:sz w:val="24"/>
                <w:szCs w:val="24"/>
              </w:rPr>
            </w:pPr>
            <w:r>
              <w:rPr>
                <w:rFonts w:ascii="Times New Roman" w:eastAsia="仿宋"/>
                <w:b/>
                <w:color w:val="000000"/>
                <w:kern w:val="0"/>
                <w:sz w:val="24"/>
                <w:szCs w:val="24"/>
              </w:rPr>
              <w:t>森林覆盖率（%）</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35.95</w:t>
            </w:r>
          </w:p>
        </w:tc>
        <w:tc>
          <w:tcPr>
            <w:tcW w:w="983" w:type="dxa"/>
            <w:noWrap w:val="0"/>
            <w:vAlign w:val="center"/>
          </w:tcPr>
          <w:p>
            <w:pPr>
              <w:spacing w:line="400" w:lineRule="exact"/>
              <w:ind w:firstLine="0" w:firstLineChars="0"/>
              <w:jc w:val="center"/>
              <w:rPr>
                <w:rFonts w:ascii="Times New Roman" w:eastAsia="仿宋"/>
                <w:b/>
                <w:color w:val="000000"/>
                <w:kern w:val="0"/>
                <w:sz w:val="24"/>
                <w:szCs w:val="24"/>
              </w:rPr>
            </w:pPr>
            <w:r>
              <w:rPr>
                <w:rFonts w:ascii="Times New Roman" w:eastAsia="仿宋"/>
                <w:b/>
                <w:color w:val="000000"/>
                <w:kern w:val="0"/>
                <w:sz w:val="24"/>
                <w:szCs w:val="24"/>
              </w:rPr>
              <w:t>39</w:t>
            </w:r>
          </w:p>
        </w:tc>
        <w:tc>
          <w:tcPr>
            <w:tcW w:w="834" w:type="dxa"/>
            <w:noWrap w:val="0"/>
            <w:vAlign w:val="center"/>
          </w:tcPr>
          <w:p>
            <w:pPr>
              <w:spacing w:line="400" w:lineRule="exact"/>
              <w:ind w:firstLine="0" w:firstLineChars="0"/>
              <w:jc w:val="center"/>
              <w:rPr>
                <w:rFonts w:ascii="Times New Roman" w:eastAsia="仿宋"/>
                <w:b/>
                <w:color w:val="000000"/>
                <w:kern w:val="0"/>
                <w:sz w:val="24"/>
                <w:szCs w:val="24"/>
              </w:rPr>
            </w:pPr>
          </w:p>
        </w:tc>
        <w:tc>
          <w:tcPr>
            <w:tcW w:w="1004" w:type="dxa"/>
            <w:vMerge w:val="continue"/>
            <w:noWrap w:val="0"/>
            <w:vAlign w:val="center"/>
          </w:tcPr>
          <w:p>
            <w:pPr>
              <w:spacing w:line="400" w:lineRule="exact"/>
              <w:ind w:firstLine="0" w:firstLineChars="0"/>
              <w:jc w:val="center"/>
              <w:rPr>
                <w:rFonts w:ascii="Times New Roman" w:eastAsia="仿宋"/>
                <w:b/>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59" w:hRule="exact"/>
          <w:jc w:val="center"/>
        </w:trPr>
        <w:tc>
          <w:tcPr>
            <w:tcW w:w="8844" w:type="dxa"/>
            <w:gridSpan w:val="7"/>
            <w:noWrap w:val="0"/>
            <w:vAlign w:val="center"/>
          </w:tcPr>
          <w:p>
            <w:pPr>
              <w:spacing w:line="400" w:lineRule="exact"/>
              <w:ind w:firstLine="0" w:firstLineChars="0"/>
              <w:rPr>
                <w:rFonts w:ascii="Times New Roman" w:eastAsia="仿宋"/>
                <w:b/>
                <w:color w:val="000000"/>
                <w:kern w:val="0"/>
                <w:sz w:val="24"/>
                <w:szCs w:val="24"/>
              </w:rPr>
            </w:pPr>
            <w:r>
              <w:rPr>
                <w:rFonts w:ascii="Times New Roman" w:eastAsia="仿宋"/>
                <w:b/>
                <w:color w:val="000000"/>
                <w:kern w:val="0"/>
                <w:sz w:val="24"/>
                <w:szCs w:val="24"/>
              </w:rPr>
              <w:t>注：生产总值绝对数按当年价格计算，增长速度按可比价格计算。地方财政一般公共预算收入为同口径增长。[  ]表示五年累计数。</w:t>
            </w:r>
          </w:p>
        </w:tc>
      </w:tr>
    </w:tbl>
    <w:p>
      <w:pPr>
        <w:spacing w:line="600" w:lineRule="exact"/>
        <w:ind w:firstLine="0" w:firstLineChars="0"/>
        <w:jc w:val="center"/>
        <w:outlineLvl w:val="1"/>
        <w:rPr>
          <w:rFonts w:ascii="Times New Roman" w:eastAsia="方正小标宋简体"/>
          <w:b/>
          <w:color w:val="000000"/>
          <w:kern w:val="0"/>
          <w:sz w:val="36"/>
          <w:szCs w:val="36"/>
        </w:rPr>
      </w:pPr>
    </w:p>
    <w:p>
      <w:pPr>
        <w:keepNext/>
        <w:keepLines/>
        <w:spacing w:line="600" w:lineRule="exact"/>
        <w:ind w:firstLine="0" w:firstLineChars="0"/>
        <w:jc w:val="center"/>
        <w:outlineLvl w:val="1"/>
        <w:rPr>
          <w:rFonts w:hint="eastAsia" w:ascii="方正小标宋_GBK" w:hAnsi="方正小标宋_GBK" w:eastAsia="方正小标宋_GBK" w:cs="方正小标宋_GBK"/>
          <w:b/>
          <w:color w:val="000000"/>
          <w:kern w:val="0"/>
          <w:sz w:val="44"/>
          <w:szCs w:val="44"/>
        </w:rPr>
      </w:pPr>
      <w:r>
        <w:rPr>
          <w:rFonts w:ascii="Times New Roman" w:eastAsia="方正小标宋简体"/>
          <w:b/>
          <w:color w:val="000000"/>
          <w:kern w:val="0"/>
          <w:sz w:val="36"/>
          <w:szCs w:val="36"/>
        </w:rPr>
        <w:br w:type="page"/>
      </w:r>
      <w:bookmarkStart w:id="7" w:name="_Toc439878074"/>
    </w:p>
    <w:p>
      <w:pPr>
        <w:keepNext/>
        <w:keepLines/>
        <w:spacing w:line="600" w:lineRule="exact"/>
        <w:ind w:firstLine="0" w:firstLineChars="0"/>
        <w:jc w:val="center"/>
        <w:outlineLvl w:val="1"/>
        <w:rPr>
          <w:rFonts w:hint="eastAsia" w:ascii="方正小标宋_GBK" w:hAnsi="方正小标宋_GBK" w:eastAsia="方正小标宋_GBK" w:cs="方正小标宋_GBK"/>
          <w:b/>
          <w:color w:val="000000"/>
          <w:kern w:val="0"/>
          <w:sz w:val="44"/>
          <w:szCs w:val="44"/>
        </w:rPr>
      </w:pPr>
      <w:r>
        <w:rPr>
          <w:rFonts w:hint="eastAsia" w:ascii="方正小标宋_GBK" w:hAnsi="方正小标宋_GBK" w:eastAsia="方正小标宋_GBK" w:cs="方正小标宋_GBK"/>
          <w:b/>
          <w:color w:val="000000"/>
          <w:kern w:val="0"/>
          <w:sz w:val="44"/>
          <w:szCs w:val="44"/>
        </w:rPr>
        <w:t>第二篇  聚焦创新发展 增强产业发展新动力</w:t>
      </w:r>
      <w:bookmarkEnd w:id="7"/>
    </w:p>
    <w:p>
      <w:pPr>
        <w:spacing w:line="600" w:lineRule="exact"/>
        <w:ind w:firstLine="0" w:firstLineChars="0"/>
        <w:jc w:val="center"/>
        <w:outlineLvl w:val="1"/>
        <w:rPr>
          <w:rFonts w:hint="eastAsia" w:ascii="方正小标宋_GBK" w:hAnsi="方正小标宋_GBK" w:eastAsia="方正小标宋_GBK" w:cs="方正小标宋_GBK"/>
          <w:b/>
          <w:color w:val="000000"/>
          <w:kern w:val="0"/>
          <w:sz w:val="44"/>
          <w:szCs w:val="44"/>
        </w:rPr>
      </w:pPr>
    </w:p>
    <w:p>
      <w:pPr>
        <w:spacing w:line="600" w:lineRule="exact"/>
        <w:ind w:firstLine="643"/>
        <w:rPr>
          <w:rFonts w:ascii="Times New Roman"/>
          <w:b/>
          <w:color w:val="000000"/>
          <w:sz w:val="32"/>
          <w:szCs w:val="32"/>
        </w:rPr>
      </w:pPr>
      <w:r>
        <w:rPr>
          <w:rFonts w:ascii="Times New Roman"/>
          <w:b/>
          <w:color w:val="000000"/>
          <w:sz w:val="32"/>
          <w:szCs w:val="32"/>
        </w:rPr>
        <w:t>深入实施创新驱动战略，充分发挥科技创新在全面创新中的引领作用，着力构建现代产业新体系，培育发展新动力，完善发展新机制，厚植发展新优势，建设创新型城市。</w:t>
      </w:r>
    </w:p>
    <w:p>
      <w:pPr>
        <w:spacing w:line="300" w:lineRule="exact"/>
        <w:ind w:firstLine="643"/>
        <w:rPr>
          <w:rFonts w:ascii="Times New Roman"/>
          <w:b/>
          <w:color w:val="000000"/>
          <w:sz w:val="32"/>
          <w:szCs w:val="32"/>
        </w:rPr>
      </w:pPr>
      <w:bookmarkStart w:id="8" w:name="_Toc439878075"/>
    </w:p>
    <w:p>
      <w:pPr>
        <w:keepNext/>
        <w:keepLines/>
        <w:spacing w:line="600" w:lineRule="exact"/>
        <w:ind w:firstLine="0" w:firstLineChars="0"/>
        <w:jc w:val="center"/>
        <w:outlineLvl w:val="2"/>
        <w:rPr>
          <w:rFonts w:ascii="Times New Roman" w:eastAsia="黑体"/>
          <w:b/>
          <w:color w:val="000000"/>
          <w:kern w:val="0"/>
          <w:sz w:val="32"/>
          <w:szCs w:val="32"/>
        </w:rPr>
      </w:pPr>
      <w:r>
        <w:rPr>
          <w:rFonts w:ascii="Times New Roman" w:eastAsia="黑体"/>
          <w:b/>
          <w:color w:val="000000"/>
          <w:kern w:val="0"/>
          <w:sz w:val="32"/>
          <w:szCs w:val="32"/>
        </w:rPr>
        <w:t>第五章  实施创新驱动战略</w:t>
      </w:r>
      <w:bookmarkEnd w:id="8"/>
    </w:p>
    <w:p>
      <w:pPr>
        <w:spacing w:line="3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r>
        <w:rPr>
          <w:rFonts w:ascii="Times New Roman"/>
          <w:b/>
          <w:color w:val="000000"/>
          <w:sz w:val="32"/>
          <w:szCs w:val="32"/>
        </w:rPr>
        <w:t>以创建国家创新型城市和知识产权示范城市为依托，以增强企业创新活力、实施重大科技项目为抓手，以加强科技成果转移转化、引领支撑生产力发展为目标，加快构建符合市场经济规律、科技创新规律、富有咸阳特色的创新发展体系。</w:t>
      </w:r>
    </w:p>
    <w:p>
      <w:pPr>
        <w:spacing w:line="300" w:lineRule="exact"/>
        <w:ind w:firstLine="643"/>
        <w:rPr>
          <w:rFonts w:ascii="Times New Roman"/>
          <w:b/>
          <w:color w:val="000000"/>
          <w:sz w:val="32"/>
          <w:szCs w:val="32"/>
        </w:rPr>
      </w:pPr>
    </w:p>
    <w:p>
      <w:pPr>
        <w:numPr>
          <w:ilvl w:val="0"/>
          <w:numId w:val="2"/>
        </w:numPr>
        <w:spacing w:line="600" w:lineRule="exact"/>
        <w:ind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 xml:space="preserve"> 围绕产业优化升级打造科技创新链条</w:t>
      </w:r>
    </w:p>
    <w:p>
      <w:pPr>
        <w:spacing w:line="3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r>
        <w:rPr>
          <w:rFonts w:ascii="Times New Roman"/>
          <w:b/>
          <w:color w:val="000000"/>
          <w:sz w:val="32"/>
          <w:szCs w:val="32"/>
        </w:rPr>
        <w:t>找准科技创新的切入点和突破口，加快创新资源向产业链重点环节和关键技术聚集，推动创新链与产业链、资本链、服务链融合对接，推广应用一批前沿技术和重大关键共性技术，加速科技成果转化和技术转移，培育形成新的经济增长点。</w:t>
      </w:r>
    </w:p>
    <w:p>
      <w:pPr>
        <w:spacing w:line="600" w:lineRule="exact"/>
        <w:ind w:firstLine="643"/>
        <w:rPr>
          <w:rFonts w:ascii="Times New Roman"/>
          <w:b/>
          <w:color w:val="000000"/>
          <w:sz w:val="32"/>
          <w:szCs w:val="32"/>
        </w:rPr>
      </w:pPr>
      <w:r>
        <w:rPr>
          <w:rFonts w:ascii="Times New Roman" w:eastAsia="楷体_GB2312"/>
          <w:b/>
          <w:color w:val="000000"/>
          <w:sz w:val="32"/>
          <w:szCs w:val="32"/>
        </w:rPr>
        <w:t>依托新兴技术助推现代工业。</w:t>
      </w:r>
      <w:r>
        <w:rPr>
          <w:rFonts w:ascii="Times New Roman"/>
          <w:b/>
          <w:color w:val="000000"/>
          <w:sz w:val="32"/>
          <w:szCs w:val="32"/>
        </w:rPr>
        <w:t>以智能化、链群化、集约化为主攻方向，加快引进国内外先进的煤制油气、烯烃、芳烃等现代煤化工技术路线，建设彬长旬高端能化基地，推动煤炭资源绿色、清洁、安全、高效转化。加快CEC</w:t>
      </w:r>
      <w:r>
        <w:rPr>
          <w:rFonts w:hint="eastAsia" w:ascii="Times New Roman"/>
          <w:b/>
          <w:color w:val="000000"/>
          <w:sz w:val="32"/>
          <w:szCs w:val="32"/>
        </w:rPr>
        <w:t>·咸阳</w:t>
      </w:r>
      <w:r>
        <w:rPr>
          <w:rFonts w:ascii="Times New Roman"/>
          <w:b/>
          <w:color w:val="000000"/>
          <w:sz w:val="32"/>
          <w:szCs w:val="32"/>
        </w:rPr>
        <w:t>8.6代液晶面板生产线项目建设，加大下游终端产业培育引进力度，重振咸阳电子产业雄风。引进节能环保墙体、防水密封件等新材料技术，促进建材工业由原料生产向建筑构件等全产业链转变。加快新一代信息技术与集成、敏捷、柔性等制造技术融合，提升装备制造业竞争力。</w:t>
      </w:r>
      <w:r>
        <w:rPr>
          <w:rFonts w:ascii="Times New Roman"/>
          <w:b/>
          <w:color w:val="000000"/>
          <w:spacing w:val="-6"/>
          <w:sz w:val="32"/>
          <w:szCs w:val="32"/>
        </w:rPr>
        <w:t>依托市高新区、纺织工业园，组织研究开发和联合攻关，提高医药、纺织产品的知识、技术含量。积极培育壮大新能源、新材料、生物医药、节能环保等战略性新兴产业，努力打造新的经济增长极。</w:t>
      </w:r>
    </w:p>
    <w:p>
      <w:pPr>
        <w:spacing w:line="600" w:lineRule="exact"/>
        <w:ind w:firstLine="643"/>
        <w:rPr>
          <w:rFonts w:ascii="Times New Roman"/>
          <w:b/>
          <w:color w:val="000000"/>
          <w:sz w:val="32"/>
          <w:szCs w:val="32"/>
        </w:rPr>
      </w:pPr>
      <w:r>
        <w:rPr>
          <w:rFonts w:ascii="Times New Roman" w:eastAsia="楷体_GB2312"/>
          <w:b/>
          <w:color w:val="000000"/>
          <w:sz w:val="32"/>
          <w:szCs w:val="32"/>
        </w:rPr>
        <w:t>以现代理念发展特色农业。</w:t>
      </w:r>
      <w:r>
        <w:rPr>
          <w:rFonts w:ascii="Times New Roman"/>
          <w:b/>
          <w:color w:val="000000"/>
          <w:sz w:val="32"/>
          <w:szCs w:val="32"/>
        </w:rPr>
        <w:t>加强与科研院所的深度合作，在农业节本增效、良种良法配套、农机农艺融合、应对农业灾害等领域着力突破一批重大关键技术，健全多元化农技推广服务体系，引导农业科研教育机构开展农技服务。围绕叫响做实“马栏红”苹果品牌、壮大“旱腰带”区域干杂果特色种植业，推广有机果品生产、葡萄酿酒等先进技术，依靠现代科技延长产业链条，</w:t>
      </w:r>
      <w:r>
        <w:rPr>
          <w:rFonts w:ascii="Times New Roman"/>
          <w:b/>
          <w:color w:val="000000"/>
          <w:spacing w:val="-6"/>
          <w:sz w:val="32"/>
          <w:szCs w:val="32"/>
        </w:rPr>
        <w:t>发展绿色农业、品牌农业、互联网农业，提升农业发展质量和效益。</w:t>
      </w:r>
    </w:p>
    <w:p>
      <w:pPr>
        <w:spacing w:line="600" w:lineRule="exact"/>
        <w:ind w:firstLine="667"/>
        <w:rPr>
          <w:rFonts w:ascii="Times New Roman"/>
          <w:b/>
          <w:color w:val="000000"/>
          <w:spacing w:val="6"/>
          <w:sz w:val="32"/>
          <w:szCs w:val="32"/>
        </w:rPr>
      </w:pPr>
      <w:r>
        <w:rPr>
          <w:rFonts w:ascii="Times New Roman" w:eastAsia="楷体_GB2312"/>
          <w:b/>
          <w:color w:val="000000"/>
          <w:spacing w:val="6"/>
          <w:sz w:val="32"/>
          <w:szCs w:val="32"/>
        </w:rPr>
        <w:t>紧盯科技前沿创新现代服务业。</w:t>
      </w:r>
      <w:r>
        <w:rPr>
          <w:rFonts w:ascii="Times New Roman"/>
          <w:b/>
          <w:color w:val="000000"/>
          <w:spacing w:val="6"/>
          <w:sz w:val="32"/>
          <w:szCs w:val="32"/>
        </w:rPr>
        <w:t>培育现代物流、科技服务、信息服务等新业态，促进服务业层次、规模双提升。深入实施“互联网+”带动战略，充分发挥互联网在生产要素配置中的聚集优化和协同共享作用，促进生产与需求对接、传统产业与新兴产业融合。</w:t>
      </w:r>
    </w:p>
    <w:p>
      <w:pPr>
        <w:spacing w:line="300" w:lineRule="exact"/>
        <w:ind w:firstLine="643"/>
        <w:rPr>
          <w:rFonts w:ascii="Times New Roman"/>
          <w:b/>
          <w:color w:val="000000"/>
          <w:sz w:val="32"/>
          <w:szCs w:val="32"/>
        </w:rPr>
      </w:pPr>
    </w:p>
    <w:p>
      <w:pPr>
        <w:numPr>
          <w:ilvl w:val="0"/>
          <w:numId w:val="2"/>
        </w:numPr>
        <w:spacing w:line="600" w:lineRule="exact"/>
        <w:ind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 xml:space="preserve"> 加快科技成果就近就地转化步伐</w:t>
      </w:r>
    </w:p>
    <w:p>
      <w:pPr>
        <w:spacing w:line="300" w:lineRule="exact"/>
        <w:ind w:firstLine="643"/>
        <w:rPr>
          <w:rFonts w:ascii="Times New Roman"/>
          <w:b/>
          <w:color w:val="000000"/>
          <w:sz w:val="32"/>
          <w:szCs w:val="32"/>
        </w:rPr>
      </w:pPr>
    </w:p>
    <w:p>
      <w:pPr>
        <w:spacing w:line="600" w:lineRule="exact"/>
        <w:ind w:firstLine="667"/>
        <w:rPr>
          <w:rFonts w:ascii="Times New Roman"/>
          <w:b/>
          <w:color w:val="000000"/>
          <w:sz w:val="32"/>
          <w:szCs w:val="32"/>
        </w:rPr>
      </w:pPr>
      <w:r>
        <w:rPr>
          <w:rFonts w:ascii="Times New Roman" w:eastAsia="楷体_GB2312"/>
          <w:b/>
          <w:color w:val="000000"/>
          <w:spacing w:val="6"/>
          <w:sz w:val="32"/>
          <w:szCs w:val="32"/>
        </w:rPr>
        <w:t>广泛向外借智借脑。</w:t>
      </w:r>
      <w:r>
        <w:rPr>
          <w:rFonts w:ascii="Times New Roman"/>
          <w:b/>
          <w:color w:val="000000"/>
          <w:spacing w:val="6"/>
          <w:sz w:val="32"/>
          <w:szCs w:val="32"/>
        </w:rPr>
        <w:t>持续深化与西安交通大学、西北农林科</w:t>
      </w:r>
      <w:r>
        <w:rPr>
          <w:rFonts w:ascii="Times New Roman"/>
          <w:b/>
          <w:color w:val="000000"/>
          <w:spacing w:val="9"/>
          <w:sz w:val="32"/>
          <w:szCs w:val="32"/>
        </w:rPr>
        <w:t>技大学等国内外名院名校的战略合作，支持第四军医大学新校区、西安交大二附院等校地合作项目建设，促进“政产学研用”的协同创新。支持西部科技创新港、省科技资源统筹中心咸阳分中心等重大项目建设，全面加强产学研对接，进一步释放人才、资源等创新要素活力，争取更多科技成果在咸阳转化。</w:t>
      </w:r>
    </w:p>
    <w:p>
      <w:pPr>
        <w:spacing w:line="600" w:lineRule="exact"/>
        <w:ind w:firstLine="643"/>
        <w:rPr>
          <w:rFonts w:ascii="Times New Roman"/>
          <w:b/>
          <w:color w:val="000000"/>
          <w:spacing w:val="6"/>
          <w:sz w:val="32"/>
          <w:szCs w:val="32"/>
        </w:rPr>
      </w:pPr>
      <w:r>
        <w:rPr>
          <w:rFonts w:ascii="Times New Roman" w:eastAsia="楷体_GB2312"/>
          <w:b/>
          <w:color w:val="000000"/>
          <w:sz w:val="32"/>
          <w:szCs w:val="32"/>
        </w:rPr>
        <w:t>加</w:t>
      </w:r>
      <w:r>
        <w:rPr>
          <w:rFonts w:ascii="Times New Roman" w:eastAsia="楷体_GB2312"/>
          <w:b/>
          <w:color w:val="000000"/>
          <w:spacing w:val="6"/>
          <w:sz w:val="32"/>
          <w:szCs w:val="32"/>
        </w:rPr>
        <w:t>强军民融合发展。</w:t>
      </w:r>
      <w:r>
        <w:rPr>
          <w:rFonts w:ascii="Times New Roman"/>
          <w:b/>
          <w:color w:val="000000"/>
          <w:spacing w:val="6"/>
          <w:sz w:val="32"/>
          <w:szCs w:val="32"/>
        </w:rPr>
        <w:t>深化军地协调互动机制，建设军民技术成果双向转化服务平台，促进“民参军”、“军转民”项目落地和产业化。支持陕柴重工、西航制动、宏远锻造、西橡院等重点企业开展军民融合创新的承接、转化与配套，发展军民融合产业，培育产业集群，延伸产业链条，打造国防军工配套科研生产基地。</w:t>
      </w:r>
    </w:p>
    <w:p>
      <w:pPr>
        <w:spacing w:line="600" w:lineRule="exact"/>
        <w:ind w:firstLine="643"/>
        <w:rPr>
          <w:rFonts w:ascii="Times New Roman"/>
          <w:b/>
          <w:color w:val="000000"/>
          <w:sz w:val="32"/>
          <w:szCs w:val="32"/>
        </w:rPr>
      </w:pPr>
      <w:r>
        <w:rPr>
          <w:rFonts w:ascii="Times New Roman" w:eastAsia="楷体_GB2312"/>
          <w:b/>
          <w:color w:val="000000"/>
          <w:sz w:val="32"/>
          <w:szCs w:val="32"/>
        </w:rPr>
        <w:t>发挥企业创新主体地位。</w:t>
      </w:r>
      <w:r>
        <w:rPr>
          <w:rFonts w:ascii="Times New Roman"/>
          <w:b/>
          <w:color w:val="000000"/>
          <w:sz w:val="32"/>
          <w:szCs w:val="32"/>
          <w:shd w:val="clear" w:color="auto" w:fill="FFFFFF"/>
        </w:rPr>
        <w:t>发挥市场对技术研发方向、路线选择和各类创新资源配置的导向作用，调整创新决策和组织模式，强化普惠性政策支持，促进企业真正成为技术创新决策、研发投入、科研组织和成果转化的主体。</w:t>
      </w:r>
      <w:r>
        <w:rPr>
          <w:rFonts w:ascii="Times New Roman"/>
          <w:b/>
          <w:color w:val="000000"/>
          <w:sz w:val="32"/>
          <w:szCs w:val="32"/>
        </w:rPr>
        <w:t>支持企业加强技术研发能力建设，推动各类创新资源向企业集聚。</w:t>
      </w:r>
    </w:p>
    <w:p>
      <w:pPr>
        <w:spacing w:line="600" w:lineRule="exact"/>
        <w:ind w:firstLine="643"/>
        <w:rPr>
          <w:rFonts w:ascii="Times New Roman"/>
          <w:b/>
          <w:color w:val="000000"/>
          <w:sz w:val="32"/>
          <w:szCs w:val="32"/>
        </w:rPr>
      </w:pPr>
      <w:r>
        <w:rPr>
          <w:rFonts w:ascii="Times New Roman" w:eastAsia="楷体_GB2312"/>
          <w:b/>
          <w:color w:val="000000"/>
          <w:sz w:val="32"/>
          <w:szCs w:val="32"/>
        </w:rPr>
        <w:t>推进科技成果权属改革。</w:t>
      </w:r>
      <w:r>
        <w:rPr>
          <w:rFonts w:ascii="Times New Roman"/>
          <w:b/>
          <w:color w:val="000000"/>
          <w:sz w:val="32"/>
          <w:szCs w:val="32"/>
          <w:shd w:val="clear" w:color="auto" w:fill="FFFFFF"/>
        </w:rPr>
        <w:t>以科学合理的利益分配格局为导向，加快促进科技成果转化为现实生产力。推进科技计划体系、科研人员评价制度、科技成果使用处置和收益管理改革，</w:t>
      </w:r>
      <w:r>
        <w:rPr>
          <w:rFonts w:ascii="Times New Roman"/>
          <w:b/>
          <w:color w:val="000000"/>
          <w:sz w:val="32"/>
          <w:szCs w:val="32"/>
        </w:rPr>
        <w:t>实行以增加知识价值为导向的分配政策，提高科研人员成果转化收益分享比例，推进市内首创科技成果本地转化。</w:t>
      </w:r>
    </w:p>
    <w:p>
      <w:pPr>
        <w:spacing w:line="300" w:lineRule="exact"/>
        <w:ind w:firstLine="643"/>
        <w:rPr>
          <w:rFonts w:ascii="Times New Roman"/>
          <w:b/>
          <w:color w:val="000000"/>
          <w:sz w:val="32"/>
          <w:szCs w:val="32"/>
        </w:rPr>
      </w:pPr>
    </w:p>
    <w:p>
      <w:pPr>
        <w:numPr>
          <w:ilvl w:val="0"/>
          <w:numId w:val="3"/>
        </w:numPr>
        <w:spacing w:line="600" w:lineRule="exact"/>
        <w:ind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 xml:space="preserve"> 加快建设科技创新平台</w:t>
      </w:r>
    </w:p>
    <w:p>
      <w:pPr>
        <w:spacing w:line="300" w:lineRule="exact"/>
        <w:ind w:firstLine="643"/>
        <w:rPr>
          <w:rFonts w:ascii="Times New Roman"/>
          <w:b/>
          <w:color w:val="000000"/>
          <w:sz w:val="32"/>
          <w:szCs w:val="32"/>
        </w:rPr>
      </w:pPr>
    </w:p>
    <w:p>
      <w:pPr>
        <w:spacing w:line="600" w:lineRule="exact"/>
        <w:ind w:firstLine="667"/>
        <w:rPr>
          <w:rFonts w:ascii="Times New Roman"/>
          <w:b/>
          <w:color w:val="000000"/>
          <w:spacing w:val="6"/>
          <w:sz w:val="32"/>
          <w:szCs w:val="32"/>
        </w:rPr>
      </w:pPr>
      <w:r>
        <w:rPr>
          <w:rFonts w:ascii="Times New Roman" w:eastAsia="楷体_GB2312"/>
          <w:b/>
          <w:color w:val="000000"/>
          <w:spacing w:val="6"/>
          <w:sz w:val="32"/>
          <w:szCs w:val="32"/>
        </w:rPr>
        <w:t>完</w:t>
      </w:r>
      <w:r>
        <w:rPr>
          <w:rFonts w:ascii="Times New Roman" w:eastAsia="楷体_GB2312"/>
          <w:b/>
          <w:color w:val="000000"/>
          <w:spacing w:val="9"/>
          <w:sz w:val="32"/>
          <w:szCs w:val="32"/>
        </w:rPr>
        <w:t>善优化科技创新服务平台。</w:t>
      </w:r>
      <w:r>
        <w:rPr>
          <w:rFonts w:ascii="Times New Roman"/>
          <w:b/>
          <w:color w:val="000000"/>
          <w:spacing w:val="9"/>
          <w:sz w:val="32"/>
          <w:szCs w:val="32"/>
        </w:rPr>
        <w:t>统筹高校、科研院所及大中型企业的科技资源，健全为全市支柱产业和中小企业提供大型仪器、科技咨询、标准文献、分析检测、难题诊断、成果推广、技术培训、项目申报等专业技术服务的中小企业公共科技服务平台。整合市内现有的生产力促进中心、技术市场、专利事务所等科技中介机构，加快形成较为完整的科技中介服务链。</w:t>
      </w:r>
    </w:p>
    <w:p>
      <w:pPr>
        <w:spacing w:line="600" w:lineRule="exact"/>
        <w:ind w:firstLine="667"/>
        <w:rPr>
          <w:rFonts w:ascii="Times New Roman"/>
          <w:b/>
          <w:color w:val="000000"/>
          <w:spacing w:val="6"/>
          <w:sz w:val="32"/>
          <w:szCs w:val="32"/>
          <w:lang w:val="zh-CN"/>
        </w:rPr>
      </w:pPr>
      <w:r>
        <w:rPr>
          <w:rFonts w:ascii="Times New Roman" w:eastAsia="楷体_GB2312"/>
          <w:b/>
          <w:color w:val="000000"/>
          <w:spacing w:val="6"/>
          <w:sz w:val="32"/>
          <w:szCs w:val="32"/>
        </w:rPr>
        <w:t>重点强化专业技术服务平台。</w:t>
      </w:r>
      <w:r>
        <w:rPr>
          <w:rFonts w:ascii="Times New Roman"/>
          <w:b/>
          <w:color w:val="000000"/>
          <w:spacing w:val="6"/>
          <w:sz w:val="32"/>
          <w:szCs w:val="32"/>
          <w:shd w:val="clear" w:color="auto" w:fill="FFFFFF"/>
          <w:lang w:val="zh-CN"/>
        </w:rPr>
        <w:t>充分发挥大型企业创新骨干作用，</w:t>
      </w:r>
      <w:r>
        <w:rPr>
          <w:rFonts w:ascii="Times New Roman"/>
          <w:b/>
          <w:color w:val="000000"/>
          <w:spacing w:val="6"/>
          <w:sz w:val="32"/>
          <w:szCs w:val="32"/>
          <w:lang w:val="zh-CN"/>
        </w:rPr>
        <w:t>支持大中型企业联合高校、科研院所建设</w:t>
      </w:r>
      <w:r>
        <w:rPr>
          <w:rFonts w:ascii="Times New Roman"/>
          <w:b/>
          <w:color w:val="000000"/>
          <w:spacing w:val="6"/>
          <w:sz w:val="32"/>
          <w:szCs w:val="32"/>
          <w:shd w:val="clear" w:color="auto" w:fill="FFFFFF"/>
        </w:rPr>
        <w:t>产业技术创新战略联盟</w:t>
      </w:r>
      <w:r>
        <w:rPr>
          <w:rFonts w:ascii="Times New Roman"/>
          <w:b/>
          <w:color w:val="000000"/>
          <w:spacing w:val="6"/>
          <w:sz w:val="32"/>
          <w:szCs w:val="32"/>
          <w:lang w:val="zh-CN"/>
        </w:rPr>
        <w:t>，</w:t>
      </w:r>
      <w:r>
        <w:rPr>
          <w:rFonts w:ascii="Times New Roman"/>
          <w:b/>
          <w:color w:val="000000"/>
          <w:spacing w:val="6"/>
          <w:sz w:val="32"/>
          <w:szCs w:val="32"/>
        </w:rPr>
        <w:t>协同全市范围内的重点实验室、工程技术研究中心、工业技术研究院，</w:t>
      </w:r>
      <w:r>
        <w:rPr>
          <w:rFonts w:ascii="Times New Roman"/>
          <w:b/>
          <w:color w:val="000000"/>
          <w:spacing w:val="6"/>
          <w:sz w:val="32"/>
          <w:szCs w:val="32"/>
          <w:shd w:val="clear" w:color="auto" w:fill="FFFFFF"/>
        </w:rPr>
        <w:t>聚集科技要素和人才，解决制约产业发展和行业进</w:t>
      </w:r>
      <w:r>
        <w:rPr>
          <w:rFonts w:ascii="Times New Roman"/>
          <w:b/>
          <w:color w:val="000000"/>
          <w:spacing w:val="6"/>
          <w:sz w:val="32"/>
          <w:szCs w:val="32"/>
        </w:rPr>
        <w:t>步的关键技术难题，为产业化规模化生产提供成套成熟的先进工艺、技术和装备。</w:t>
      </w:r>
    </w:p>
    <w:p>
      <w:pPr>
        <w:spacing w:line="600" w:lineRule="exact"/>
        <w:ind w:firstLine="667"/>
        <w:rPr>
          <w:rFonts w:ascii="Times New Roman"/>
          <w:b/>
          <w:color w:val="000000"/>
          <w:spacing w:val="6"/>
          <w:sz w:val="32"/>
          <w:szCs w:val="32"/>
          <w:lang w:val="zh-CN"/>
        </w:rPr>
      </w:pPr>
      <w:r>
        <w:rPr>
          <w:rFonts w:ascii="Times New Roman" w:eastAsia="楷体_GB2312"/>
          <w:b/>
          <w:color w:val="000000"/>
          <w:spacing w:val="6"/>
          <w:sz w:val="32"/>
          <w:szCs w:val="32"/>
          <w:lang w:val="zh-CN"/>
        </w:rPr>
        <w:t>加强科技企业孵化器建设。</w:t>
      </w:r>
      <w:r>
        <w:rPr>
          <w:rFonts w:ascii="Times New Roman"/>
          <w:b/>
          <w:color w:val="000000"/>
          <w:spacing w:val="6"/>
          <w:sz w:val="32"/>
          <w:szCs w:val="32"/>
          <w:lang w:val="zh-CN"/>
        </w:rPr>
        <w:t>以培育科技型中小企业和创新企业为目标，支持建设创业苗圃、科技企业孵化器等创新创业载体。</w:t>
      </w:r>
      <w:r>
        <w:rPr>
          <w:rFonts w:ascii="Times New Roman"/>
          <w:b/>
          <w:color w:val="000000"/>
          <w:spacing w:val="6"/>
          <w:sz w:val="32"/>
          <w:szCs w:val="32"/>
        </w:rPr>
        <w:t>加快市高新区、纺织工业园、大西安（咸阳）文体功能区及各类工业（科技）园区建立创新创业孵化基地。</w:t>
      </w:r>
      <w:r>
        <w:rPr>
          <w:rFonts w:ascii="Times New Roman"/>
          <w:b/>
          <w:color w:val="000000"/>
          <w:spacing w:val="6"/>
          <w:sz w:val="32"/>
          <w:szCs w:val="32"/>
          <w:lang w:val="zh-CN"/>
        </w:rPr>
        <w:t>积极吸引社会投资，鼓励孵化器资金投入多元化，鼓励多种形式的专业孵化器建设。支持高等院校、科研院所和企业联合共建专业孵化器。</w:t>
      </w:r>
    </w:p>
    <w:p>
      <w:pPr>
        <w:spacing w:line="300" w:lineRule="exact"/>
        <w:ind w:firstLine="643"/>
        <w:rPr>
          <w:rFonts w:ascii="Times New Roman"/>
          <w:b/>
          <w:color w:val="000000"/>
          <w:sz w:val="32"/>
          <w:szCs w:val="32"/>
        </w:rPr>
      </w:pPr>
    </w:p>
    <w:p>
      <w:pPr>
        <w:spacing w:line="600" w:lineRule="exact"/>
        <w:ind w:firstLine="643"/>
        <w:jc w:val="center"/>
        <w:rPr>
          <w:rFonts w:ascii="Times New Roman" w:eastAsia="宋体-PUA"/>
          <w:b/>
          <w:color w:val="000000"/>
          <w:sz w:val="32"/>
          <w:szCs w:val="32"/>
        </w:rPr>
      </w:pPr>
      <w:r>
        <w:rPr>
          <w:rFonts w:ascii="Times New Roman" w:eastAsia="宋体-PUA"/>
          <w:b/>
          <w:color w:val="000000"/>
          <w:sz w:val="32"/>
          <w:szCs w:val="32"/>
        </w:rPr>
        <w:t>第四节  积极实施“互联网＋”计划</w:t>
      </w:r>
    </w:p>
    <w:p>
      <w:pPr>
        <w:spacing w:line="300" w:lineRule="exact"/>
        <w:ind w:firstLine="643"/>
        <w:rPr>
          <w:rFonts w:ascii="Times New Roman"/>
          <w:b/>
          <w:color w:val="000000"/>
          <w:sz w:val="32"/>
          <w:szCs w:val="32"/>
        </w:rPr>
      </w:pPr>
    </w:p>
    <w:p>
      <w:pPr>
        <w:spacing w:line="600" w:lineRule="exact"/>
        <w:ind w:firstLine="643"/>
        <w:rPr>
          <w:rFonts w:ascii="Times New Roman"/>
          <w:b/>
          <w:color w:val="000000"/>
          <w:sz w:val="32"/>
          <w:szCs w:val="32"/>
          <w:shd w:val="clear" w:color="auto" w:fill="FFFFFF"/>
        </w:rPr>
      </w:pPr>
      <w:r>
        <w:rPr>
          <w:rFonts w:ascii="Times New Roman"/>
          <w:b/>
          <w:color w:val="000000"/>
          <w:sz w:val="32"/>
          <w:szCs w:val="32"/>
          <w:shd w:val="clear" w:color="auto" w:fill="FFFFFF"/>
        </w:rPr>
        <w:t>认真落实国家“互联网+”行动计划，深化互联网与三次产业融合，促进产品创新、商业形态创新、生产要素组织方式创新，提升产业竞争力，构筑经济社会发展新优势和新动能。重点促进以移动互联网、云计算、大数据、物联网为代表的新一代信息技术与制造、能源、服务、农业等领域的融合创新，发展壮大新兴业态，打造新的产业增长点，加快形成网络化、智能化、服务化、协同化的“互联网+”产业生态体系。</w:t>
      </w:r>
    </w:p>
    <w:p>
      <w:pPr>
        <w:spacing w:line="300" w:lineRule="exact"/>
        <w:ind w:firstLine="643"/>
        <w:rPr>
          <w:rFonts w:ascii="Times New Roman"/>
          <w:b/>
          <w:color w:val="000000"/>
          <w:sz w:val="32"/>
          <w:szCs w:val="32"/>
        </w:rPr>
      </w:pPr>
    </w:p>
    <w:p>
      <w:pPr>
        <w:keepNext/>
        <w:keepLines/>
        <w:spacing w:line="600" w:lineRule="exact"/>
        <w:ind w:firstLine="0" w:firstLineChars="0"/>
        <w:jc w:val="center"/>
        <w:outlineLvl w:val="2"/>
        <w:rPr>
          <w:rFonts w:ascii="Times New Roman" w:eastAsia="宋体"/>
          <w:b/>
          <w:color w:val="000000"/>
          <w:kern w:val="0"/>
          <w:sz w:val="32"/>
          <w:szCs w:val="32"/>
        </w:rPr>
      </w:pPr>
      <w:r>
        <w:rPr>
          <w:rFonts w:ascii="Times New Roman" w:eastAsia="宋体"/>
          <w:b/>
          <w:color w:val="000000"/>
          <w:kern w:val="0"/>
          <w:sz w:val="32"/>
          <w:szCs w:val="32"/>
        </w:rPr>
        <w:t>第五节  大力推进大众创业万众创新</w:t>
      </w:r>
    </w:p>
    <w:p>
      <w:pPr>
        <w:spacing w:line="300" w:lineRule="exact"/>
        <w:ind w:firstLine="643"/>
        <w:rPr>
          <w:rFonts w:ascii="Times New Roman"/>
          <w:b/>
          <w:color w:val="000000"/>
          <w:sz w:val="32"/>
          <w:szCs w:val="32"/>
        </w:rPr>
      </w:pPr>
    </w:p>
    <w:p>
      <w:pPr>
        <w:spacing w:line="600" w:lineRule="exact"/>
        <w:ind w:firstLine="643"/>
        <w:rPr>
          <w:rFonts w:ascii="Times New Roman"/>
          <w:b/>
          <w:color w:val="000000"/>
          <w:sz w:val="32"/>
          <w:szCs w:val="32"/>
          <w:shd w:val="clear" w:color="auto" w:fill="FFFFFF"/>
        </w:rPr>
      </w:pPr>
      <w:r>
        <w:rPr>
          <w:rFonts w:ascii="Times New Roman"/>
          <w:b/>
          <w:color w:val="000000"/>
          <w:sz w:val="32"/>
          <w:szCs w:val="32"/>
          <w:shd w:val="clear" w:color="auto" w:fill="FFFFFF"/>
        </w:rPr>
        <w:t>按照“坚持市场主导、包容创业创新、公平有序发展、优化治理方式、深化开放合作”的基本原则，营造众创、众包、众扶、众筹发展的良好环境，推动各类要素资源集聚、开放、共享，打造新引擎，壮大新经济。全面推进众创，大力发展专业空间众创，鼓励推进网络平台众创，培育壮大企业内部众创，释放创业创新能量。积极推广众包，广泛应用研发创意众包，大力实施制造运维众包，加快推广知识内容众包，鼓励发展生活服务众包，激发创业创新活力。立体实施众扶，积极推动社会公共众扶，鼓励倡导企业分享众扶，大力支持公众互助众扶，集聚创业创新合力。稳健发展众筹，积极开展实物众筹，稳步推进股权众筹，规范发展网络借贷，拓展创业创新融资。积极营造良好的创新创业生态环境，激发广大群众创造活力，打造经济发展新引擎。</w:t>
      </w:r>
    </w:p>
    <w:p>
      <w:pPr>
        <w:spacing w:line="300" w:lineRule="exact"/>
        <w:ind w:firstLine="643"/>
        <w:rPr>
          <w:rFonts w:ascii="Times New Roman"/>
          <w:b/>
          <w:color w:val="000000"/>
          <w:sz w:val="32"/>
          <w:szCs w:val="32"/>
        </w:rPr>
      </w:pPr>
    </w:p>
    <w:p>
      <w:pPr>
        <w:spacing w:line="600" w:lineRule="exact"/>
        <w:ind w:firstLine="0" w:firstLineChars="0"/>
        <w:jc w:val="center"/>
        <w:rPr>
          <w:rFonts w:ascii="Times New Roman" w:eastAsia="宋体-PUA"/>
          <w:b/>
          <w:color w:val="000000"/>
          <w:sz w:val="32"/>
          <w:szCs w:val="32"/>
        </w:rPr>
      </w:pPr>
      <w:r>
        <w:rPr>
          <w:rFonts w:ascii="Times New Roman" w:eastAsia="宋体-PUA"/>
          <w:b/>
          <w:color w:val="000000"/>
          <w:sz w:val="28"/>
          <w:szCs w:val="32"/>
        </w:rPr>
        <w:t xml:space="preserve"> </w:t>
      </w:r>
      <w:r>
        <w:rPr>
          <w:rFonts w:ascii="Times New Roman" w:eastAsia="宋体-PUA"/>
          <w:b/>
          <w:color w:val="000000"/>
          <w:sz w:val="32"/>
          <w:szCs w:val="32"/>
        </w:rPr>
        <w:t xml:space="preserve"> 第六节  着力营造良好创新创业生态</w:t>
      </w:r>
    </w:p>
    <w:p>
      <w:pPr>
        <w:spacing w:line="3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r>
        <w:rPr>
          <w:rFonts w:ascii="Times New Roman" w:eastAsia="楷体_GB2312"/>
          <w:b/>
          <w:color w:val="000000"/>
          <w:sz w:val="32"/>
          <w:szCs w:val="32"/>
        </w:rPr>
        <w:t>加大各类资金对创新创业的投入力度。</w:t>
      </w:r>
      <w:r>
        <w:rPr>
          <w:rFonts w:ascii="Times New Roman"/>
          <w:b/>
          <w:color w:val="000000"/>
          <w:sz w:val="32"/>
          <w:szCs w:val="32"/>
        </w:rPr>
        <w:t>持续加大财政科技投入力度。积极推进科技与金融融合发展，健全科技融资担保体系，支持发展科技担保公司、科技小额贷款公司等服务机构，综合运用偿还性资助、投资引导、贷款贴息等方式支持公益性、关键性、基础性重大科研项目。</w:t>
      </w:r>
      <w:r>
        <w:rPr>
          <w:rFonts w:ascii="Times New Roman"/>
          <w:b/>
          <w:color w:val="000000"/>
          <w:sz w:val="32"/>
          <w:szCs w:val="32"/>
          <w:shd w:val="clear" w:color="auto" w:fill="FFFFFF"/>
        </w:rPr>
        <w:t>支持天使投资和创业投资发展。</w:t>
      </w:r>
      <w:r>
        <w:rPr>
          <w:rFonts w:ascii="Times New Roman"/>
          <w:b/>
          <w:color w:val="000000"/>
          <w:sz w:val="32"/>
          <w:szCs w:val="32"/>
        </w:rPr>
        <w:t>大中型企业研究与实验发展经费占主营业务收入比重达到3%。</w:t>
      </w:r>
    </w:p>
    <w:p>
      <w:pPr>
        <w:spacing w:line="600" w:lineRule="exact"/>
        <w:ind w:firstLine="643"/>
        <w:rPr>
          <w:rFonts w:ascii="Times New Roman"/>
          <w:b/>
          <w:color w:val="000000"/>
          <w:sz w:val="32"/>
          <w:szCs w:val="32"/>
        </w:rPr>
      </w:pPr>
      <w:r>
        <w:rPr>
          <w:rFonts w:ascii="Times New Roman" w:eastAsia="楷体_GB2312"/>
          <w:b/>
          <w:color w:val="000000"/>
          <w:sz w:val="32"/>
          <w:szCs w:val="32"/>
        </w:rPr>
        <w:t>构建知识产权管理服务新体系。</w:t>
      </w:r>
      <w:r>
        <w:rPr>
          <w:rFonts w:ascii="Times New Roman"/>
          <w:b/>
          <w:color w:val="000000"/>
          <w:sz w:val="32"/>
          <w:szCs w:val="32"/>
        </w:rPr>
        <w:t>深入实施“知识产权五大工程”，加强专利行政执法、市场监管和法律援助，从严查处知识产权侵权、假冒行为，全面提升知识产权创造、运用、保护和管理水平。到2020年，专利申请量突破3000件，万人发明专利拥有量（件）达到4件以上。</w:t>
      </w:r>
    </w:p>
    <w:p>
      <w:pPr>
        <w:spacing w:line="600" w:lineRule="exact"/>
        <w:ind w:firstLine="643"/>
        <w:rPr>
          <w:rFonts w:ascii="Times New Roman"/>
          <w:b/>
          <w:color w:val="000000"/>
          <w:sz w:val="32"/>
          <w:szCs w:val="32"/>
        </w:rPr>
      </w:pPr>
      <w:r>
        <w:rPr>
          <w:rFonts w:ascii="Times New Roman" w:eastAsia="楷体_GB2312"/>
          <w:b/>
          <w:color w:val="000000"/>
          <w:sz w:val="32"/>
          <w:szCs w:val="32"/>
        </w:rPr>
        <w:t>营造支持创新的社会氛围。</w:t>
      </w:r>
      <w:r>
        <w:rPr>
          <w:rFonts w:ascii="Times New Roman"/>
          <w:b/>
          <w:color w:val="000000"/>
          <w:sz w:val="32"/>
          <w:szCs w:val="32"/>
        </w:rPr>
        <w:t>深入挖掘</w:t>
      </w:r>
      <w:r>
        <w:rPr>
          <w:rFonts w:ascii="Times New Roman"/>
          <w:b/>
          <w:color w:val="000000"/>
          <w:sz w:val="32"/>
          <w:szCs w:val="32"/>
          <w:lang w:val="zh-CN"/>
        </w:rPr>
        <w:t>宣传创新典型，弘扬创造精神，把创新发展理念传递到各行各业，</w:t>
      </w:r>
      <w:r>
        <w:rPr>
          <w:rFonts w:ascii="Times New Roman"/>
          <w:b/>
          <w:color w:val="000000"/>
          <w:sz w:val="32"/>
          <w:szCs w:val="32"/>
        </w:rPr>
        <w:t>深入实施全民科学素质行动计划，营造鼓励创新、宽容失败的舆论氛围，让创新发展在全社会蔚然成风。</w:t>
      </w:r>
    </w:p>
    <w:p>
      <w:pPr>
        <w:spacing w:line="300" w:lineRule="exact"/>
        <w:ind w:firstLine="643"/>
        <w:rPr>
          <w:rFonts w:ascii="Times New Roman"/>
          <w:b/>
          <w:color w:val="000000"/>
          <w:sz w:val="32"/>
          <w:szCs w:val="32"/>
        </w:rPr>
      </w:pPr>
      <w:bookmarkStart w:id="9" w:name="_Toc439878076"/>
    </w:p>
    <w:p>
      <w:pPr>
        <w:keepNext/>
        <w:keepLines/>
        <w:spacing w:line="600" w:lineRule="exact"/>
        <w:ind w:firstLine="0" w:firstLineChars="0"/>
        <w:jc w:val="center"/>
        <w:outlineLvl w:val="2"/>
        <w:rPr>
          <w:rFonts w:ascii="Times New Roman" w:eastAsia="黑体"/>
          <w:b/>
          <w:color w:val="000000"/>
          <w:kern w:val="0"/>
          <w:sz w:val="32"/>
          <w:szCs w:val="32"/>
        </w:rPr>
      </w:pPr>
      <w:r>
        <w:rPr>
          <w:rFonts w:ascii="Times New Roman" w:eastAsia="黑体"/>
          <w:b/>
          <w:color w:val="000000"/>
          <w:kern w:val="0"/>
          <w:sz w:val="32"/>
          <w:szCs w:val="32"/>
        </w:rPr>
        <w:t>第六章  构建新型工业集群</w:t>
      </w:r>
      <w:bookmarkEnd w:id="9"/>
    </w:p>
    <w:p>
      <w:pPr>
        <w:spacing w:line="3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r>
        <w:rPr>
          <w:rFonts w:ascii="Times New Roman"/>
          <w:b/>
          <w:color w:val="000000"/>
          <w:sz w:val="32"/>
          <w:szCs w:val="32"/>
        </w:rPr>
        <w:t>按照“项目化支撑、园区化承载、产业化推进、集群化发展”的思路，实施工业强基工程，调整存量、做优增量，打造咸阳工业升级版。到2020年，全市规模以上工业总产值突破6000亿元，年均增长12%，形成能源化工、装备制造、食品三个千亿产业，电子信息、医药、纺织、建材、战略性新兴产业五个百亿产业。</w:t>
      </w:r>
    </w:p>
    <w:p>
      <w:pPr>
        <w:spacing w:line="300" w:lineRule="exact"/>
        <w:ind w:firstLine="643"/>
        <w:rPr>
          <w:rFonts w:ascii="Times New Roman"/>
          <w:b/>
          <w:color w:val="000000"/>
          <w:sz w:val="32"/>
          <w:szCs w:val="32"/>
        </w:rPr>
      </w:pPr>
    </w:p>
    <w:p>
      <w:pPr>
        <w:spacing w:line="600" w:lineRule="exact"/>
        <w:ind w:firstLine="0" w:firstLineChars="0"/>
        <w:jc w:val="center"/>
        <w:rPr>
          <w:rFonts w:ascii="Times New Roman"/>
          <w:b/>
          <w:color w:val="000000"/>
          <w:sz w:val="32"/>
          <w:szCs w:val="32"/>
        </w:rPr>
      </w:pPr>
      <w:r>
        <w:rPr>
          <w:rFonts w:ascii="Times New Roman" w:eastAsia="宋体-PUA"/>
          <w:b/>
          <w:color w:val="000000"/>
          <w:sz w:val="32"/>
          <w:szCs w:val="32"/>
        </w:rPr>
        <w:t>第一节  振兴电子信息产业</w:t>
      </w:r>
    </w:p>
    <w:p>
      <w:pPr>
        <w:pBdr>
          <w:bottom w:val="single" w:color="FFFFFF" w:sz="4" w:space="31"/>
        </w:pBdr>
        <w:spacing w:line="300" w:lineRule="exact"/>
        <w:ind w:firstLine="0" w:firstLineChars="0"/>
        <w:jc w:val="center"/>
        <w:rPr>
          <w:rFonts w:ascii="Times New Roman" w:eastAsia="宋体-PUA"/>
          <w:b/>
          <w:color w:val="000000"/>
          <w:sz w:val="32"/>
          <w:szCs w:val="32"/>
        </w:rPr>
      </w:pPr>
    </w:p>
    <w:p>
      <w:pPr>
        <w:pBdr>
          <w:bottom w:val="single" w:color="FFFFFF" w:sz="4" w:space="31"/>
        </w:pBdr>
        <w:spacing w:line="600" w:lineRule="exact"/>
        <w:ind w:firstLine="643"/>
        <w:rPr>
          <w:rFonts w:ascii="Times New Roman"/>
          <w:b/>
          <w:color w:val="000000"/>
          <w:sz w:val="32"/>
          <w:szCs w:val="32"/>
        </w:rPr>
      </w:pPr>
      <w:r>
        <w:rPr>
          <w:rFonts w:ascii="Times New Roman"/>
          <w:b/>
          <w:color w:val="000000"/>
          <w:sz w:val="32"/>
          <w:szCs w:val="32"/>
        </w:rPr>
        <w:t>以高新区显示器件园为重点，支持中电彩虹转型升级，推进新一代信息技术研发及产业化，加快实施CEC</w:t>
      </w:r>
      <w:r>
        <w:rPr>
          <w:rFonts w:hint="eastAsia" w:ascii="Times New Roman"/>
          <w:b/>
          <w:color w:val="000000"/>
          <w:sz w:val="32"/>
          <w:szCs w:val="32"/>
        </w:rPr>
        <w:t>·咸阳</w:t>
      </w:r>
      <w:r>
        <w:rPr>
          <w:rFonts w:ascii="Times New Roman"/>
          <w:b/>
          <w:color w:val="000000"/>
          <w:sz w:val="32"/>
          <w:szCs w:val="32"/>
        </w:rPr>
        <w:t>8.6代液晶面板生产线项目，大力发展新型平板显示器件产业，打造西部显示器件产业基地。到2020年，电子信息产业产值达到300亿以上，年均增长30%左右。</w:t>
      </w:r>
    </w:p>
    <w:p>
      <w:pPr>
        <w:pBdr>
          <w:bottom w:val="single" w:color="FFFFFF" w:sz="4" w:space="31"/>
        </w:pBdr>
        <w:spacing w:line="600" w:lineRule="exact"/>
        <w:ind w:firstLine="643"/>
        <w:rPr>
          <w:rFonts w:ascii="Times New Roman"/>
          <w:b/>
          <w:color w:val="000000"/>
          <w:sz w:val="32"/>
          <w:szCs w:val="32"/>
        </w:rPr>
      </w:pPr>
      <w:r>
        <w:rPr>
          <w:rFonts w:ascii="Times New Roman" w:eastAsia="楷体_GB2312"/>
          <w:b/>
          <w:color w:val="000000"/>
          <w:sz w:val="32"/>
          <w:szCs w:val="32"/>
        </w:rPr>
        <w:t>新型平板显示器件产业。</w:t>
      </w:r>
      <w:r>
        <w:rPr>
          <w:rFonts w:ascii="Times New Roman"/>
          <w:b/>
          <w:color w:val="000000"/>
          <w:sz w:val="32"/>
          <w:szCs w:val="32"/>
        </w:rPr>
        <w:t>以彩虹集团玻璃基板研发中心和8.6代液晶面板生产线建设为核心，推动上下游配套产品的协同发展。加快建设富立LED产品生产基地、液晶显示终端中偏光片等项目，引领配套企业更新改造设备。积极开发平板电视玻璃基板、OLED/PLED器件及面板、显示器控制模组，彩色液晶显示材料等新产品。支持半导体照明、荧光粉等产品生产企业开拓市场，扩大市场规模。</w:t>
      </w:r>
    </w:p>
    <w:p>
      <w:pPr>
        <w:pBdr>
          <w:bottom w:val="single" w:color="FFFFFF" w:sz="4" w:space="31"/>
        </w:pBdr>
        <w:spacing w:line="600" w:lineRule="exact"/>
        <w:ind w:firstLine="643"/>
        <w:rPr>
          <w:rFonts w:ascii="Times New Roman"/>
          <w:b/>
          <w:color w:val="000000"/>
          <w:sz w:val="32"/>
          <w:szCs w:val="32"/>
        </w:rPr>
      </w:pPr>
      <w:r>
        <w:rPr>
          <w:rFonts w:ascii="Times New Roman" w:eastAsia="楷体_GB2312"/>
          <w:b/>
          <w:color w:val="000000"/>
          <w:sz w:val="32"/>
          <w:szCs w:val="32"/>
        </w:rPr>
        <w:t>电子材料和元器件产业。</w:t>
      </w:r>
      <w:r>
        <w:rPr>
          <w:rFonts w:ascii="Times New Roman"/>
          <w:b/>
          <w:color w:val="000000"/>
          <w:sz w:val="32"/>
          <w:szCs w:val="32"/>
        </w:rPr>
        <w:t>以覆铜板、磁性材料、玻璃纤维、电子布以及高导热绝缘材料等产品为重点，发展电子材料产业。推进表面贴装元器件、晶体元器件、红外探测器等元器件产业化。积极研发新型传感器以及多传感器的集成技术，提高电子材料和元器件产业市场竞争力。</w:t>
      </w:r>
    </w:p>
    <w:p>
      <w:pPr>
        <w:pBdr>
          <w:bottom w:val="single" w:color="FFFFFF" w:sz="4" w:space="31"/>
        </w:pBdr>
        <w:spacing w:line="600" w:lineRule="exact"/>
        <w:ind w:firstLine="643"/>
        <w:rPr>
          <w:rFonts w:ascii="Times New Roman"/>
          <w:b/>
          <w:color w:val="000000"/>
          <w:sz w:val="32"/>
          <w:szCs w:val="32"/>
        </w:rPr>
      </w:pPr>
      <w:r>
        <w:rPr>
          <w:rFonts w:ascii="Times New Roman" w:eastAsia="楷体_GB2312"/>
          <w:b/>
          <w:color w:val="000000"/>
          <w:sz w:val="32"/>
          <w:szCs w:val="32"/>
        </w:rPr>
        <w:t>智能终端和计算机整机制造。</w:t>
      </w:r>
      <w:r>
        <w:rPr>
          <w:rFonts w:ascii="Times New Roman"/>
          <w:b/>
          <w:color w:val="000000"/>
          <w:sz w:val="32"/>
          <w:szCs w:val="32"/>
        </w:rPr>
        <w:t>加大智能手机、平板电脑等终端制造或大型代工龙头企业的引进力度，打造智能终端和整机制造产业集群。加快咸阳高新区电子信息产业创业基础项目建设，促进电子信息产业制造业与生产性服务业融合发展。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 w:hRule="atLeast"/>
          <w:jc w:val="center"/>
        </w:trPr>
        <w:tc>
          <w:tcPr>
            <w:tcW w:w="8844" w:type="dxa"/>
            <w:noWrap w:val="0"/>
            <w:vAlign w:val="top"/>
          </w:tcPr>
          <w:p>
            <w:pPr>
              <w:adjustRightInd w:val="0"/>
              <w:snapToGrid w:val="0"/>
              <w:spacing w:line="600" w:lineRule="exact"/>
              <w:ind w:firstLine="0" w:firstLineChars="0"/>
              <w:jc w:val="center"/>
              <w:rPr>
                <w:rFonts w:hint="eastAsia" w:ascii="黑体" w:hAnsi="黑体" w:eastAsia="黑体" w:cs="黑体"/>
                <w:b/>
                <w:color w:val="000000"/>
                <w:sz w:val="32"/>
                <w:szCs w:val="32"/>
              </w:rPr>
            </w:pPr>
          </w:p>
          <w:p>
            <w:pPr>
              <w:adjustRightInd w:val="0"/>
              <w:snapToGrid w:val="0"/>
              <w:spacing w:line="600" w:lineRule="exact"/>
              <w:ind w:firstLine="0" w:firstLineChars="0"/>
              <w:jc w:val="center"/>
              <w:rPr>
                <w:rFonts w:hint="eastAsia" w:ascii="黑体" w:hAnsi="黑体" w:eastAsia="黑体" w:cs="黑体"/>
                <w:b/>
                <w:color w:val="000000"/>
                <w:sz w:val="32"/>
                <w:szCs w:val="32"/>
              </w:rPr>
            </w:pPr>
            <w:r>
              <w:rPr>
                <w:rFonts w:hint="eastAsia" w:ascii="黑体" w:hAnsi="黑体" w:eastAsia="黑体" w:cs="黑体"/>
                <w:b/>
                <w:color w:val="000000"/>
                <w:sz w:val="32"/>
                <w:szCs w:val="32"/>
              </w:rPr>
              <w:t>专栏2-1  电子信息产业重点项目</w:t>
            </w:r>
          </w:p>
          <w:p>
            <w:pPr>
              <w:adjustRightInd w:val="0"/>
              <w:snapToGrid w:val="0"/>
              <w:spacing w:line="600" w:lineRule="exact"/>
              <w:ind w:firstLine="0" w:firstLineChars="0"/>
              <w:jc w:val="center"/>
              <w:rPr>
                <w:rFonts w:hint="eastAsia" w:ascii="黑体" w:hAnsi="黑体" w:eastAsia="黑体" w:cs="黑体"/>
                <w:b/>
                <w:color w:val="000000"/>
                <w:sz w:val="32"/>
                <w:szCs w:val="32"/>
              </w:rPr>
            </w:pPr>
          </w:p>
          <w:p>
            <w:pPr>
              <w:adjustRightInd w:val="0"/>
              <w:snapToGrid w:val="0"/>
              <w:spacing w:line="550" w:lineRule="exact"/>
              <w:ind w:firstLine="586"/>
              <w:rPr>
                <w:rFonts w:ascii="Times New Roman" w:eastAsia="宋体-PUA"/>
                <w:b/>
                <w:color w:val="000000"/>
                <w:spacing w:val="6"/>
                <w:sz w:val="28"/>
                <w:szCs w:val="28"/>
                <w:shd w:val="clear" w:color="auto" w:fill="FFFFFF"/>
              </w:rPr>
            </w:pPr>
            <w:r>
              <w:rPr>
                <w:rFonts w:ascii="Times New Roman" w:eastAsia="宋体-PUA"/>
                <w:b/>
                <w:color w:val="000000"/>
                <w:spacing w:val="6"/>
                <w:sz w:val="28"/>
                <w:szCs w:val="28"/>
              </w:rPr>
              <w:t>CEC·咸阳8.6代液晶面板生产线项目。投资280亿元，建筑面积约 90万平方米，</w:t>
            </w:r>
            <w:r>
              <w:rPr>
                <w:rFonts w:ascii="Times New Roman" w:eastAsia="宋体-PUA"/>
                <w:b/>
                <w:color w:val="000000"/>
                <w:spacing w:val="6"/>
                <w:sz w:val="28"/>
                <w:szCs w:val="28"/>
                <w:shd w:val="clear" w:color="auto" w:fill="FFFFFF"/>
              </w:rPr>
              <w:t>建设一条G8.6液晶显示器件生产线，主要生产50〞、58〞、100〞超高清TFT－LCD电视面板，建成后通过上下游产业链可间接带动产值1000亿元以上。</w:t>
            </w:r>
          </w:p>
          <w:p>
            <w:pPr>
              <w:adjustRightInd w:val="0"/>
              <w:snapToGrid w:val="0"/>
              <w:spacing w:line="550" w:lineRule="exact"/>
              <w:ind w:firstLine="586"/>
              <w:rPr>
                <w:rFonts w:ascii="Times New Roman" w:eastAsia="宋体-PUA"/>
                <w:b/>
                <w:color w:val="000000"/>
                <w:spacing w:val="6"/>
                <w:sz w:val="28"/>
                <w:szCs w:val="28"/>
              </w:rPr>
            </w:pPr>
            <w:r>
              <w:rPr>
                <w:rFonts w:ascii="Times New Roman" w:eastAsia="宋体-PUA"/>
                <w:b/>
                <w:color w:val="000000"/>
                <w:spacing w:val="6"/>
                <w:sz w:val="28"/>
                <w:szCs w:val="28"/>
              </w:rPr>
              <w:t>乾县三星电子配套产业园。投资50亿元，主要建设西安三星电子配套基地、陕西电子信息设备制造基地、乾县韩资企业创业园。</w:t>
            </w:r>
          </w:p>
          <w:p>
            <w:pPr>
              <w:adjustRightInd w:val="0"/>
              <w:snapToGrid w:val="0"/>
              <w:spacing w:line="550" w:lineRule="exact"/>
              <w:ind w:firstLine="586"/>
              <w:rPr>
                <w:rFonts w:ascii="Times New Roman" w:eastAsia="宋体-PUA"/>
                <w:b/>
                <w:color w:val="000000"/>
                <w:spacing w:val="6"/>
                <w:sz w:val="28"/>
                <w:szCs w:val="28"/>
              </w:rPr>
            </w:pPr>
            <w:r>
              <w:rPr>
                <w:rFonts w:ascii="Times New Roman" w:eastAsia="宋体-PUA"/>
                <w:b/>
                <w:color w:val="000000"/>
                <w:spacing w:val="6"/>
                <w:sz w:val="28"/>
                <w:szCs w:val="28"/>
              </w:rPr>
              <w:t>渭城富立LED产品生产基地。投资15亿元，建设厂房、宿舍、餐厅、停车场及相关辅助设施。</w:t>
            </w:r>
          </w:p>
          <w:p>
            <w:pPr>
              <w:adjustRightInd w:val="0"/>
              <w:snapToGrid w:val="0"/>
              <w:spacing w:line="550" w:lineRule="exact"/>
              <w:ind w:firstLine="586"/>
              <w:rPr>
                <w:rFonts w:ascii="Times New Roman" w:eastAsia="宋体-PUA"/>
                <w:b/>
                <w:color w:val="000000"/>
                <w:spacing w:val="6"/>
                <w:sz w:val="28"/>
                <w:szCs w:val="28"/>
              </w:rPr>
            </w:pPr>
            <w:r>
              <w:rPr>
                <w:rFonts w:ascii="Times New Roman" w:eastAsia="宋体-PUA"/>
                <w:b/>
                <w:color w:val="000000"/>
                <w:spacing w:val="6"/>
                <w:sz w:val="28"/>
                <w:szCs w:val="28"/>
              </w:rPr>
              <w:t>陕西金控北斗协同导航应用系统。投资12亿元，建设北斗应用综合运营服务平台和北斗智能终端应用及芯片研发实验室；北斗智能终端产品和芯片的制造基地；北斗智能终端机等。</w:t>
            </w:r>
          </w:p>
          <w:p>
            <w:pPr>
              <w:adjustRightInd w:val="0"/>
              <w:snapToGrid w:val="0"/>
              <w:spacing w:line="550" w:lineRule="exact"/>
              <w:ind w:firstLine="586"/>
              <w:rPr>
                <w:rFonts w:ascii="Times New Roman" w:eastAsia="宋体-PUA"/>
                <w:b/>
                <w:color w:val="000000"/>
                <w:spacing w:val="6"/>
                <w:sz w:val="28"/>
                <w:szCs w:val="28"/>
              </w:rPr>
            </w:pPr>
            <w:r>
              <w:rPr>
                <w:rFonts w:ascii="Times New Roman" w:eastAsia="宋体-PUA"/>
                <w:b/>
                <w:color w:val="000000"/>
                <w:spacing w:val="6"/>
                <w:sz w:val="28"/>
                <w:szCs w:val="28"/>
              </w:rPr>
              <w:t>全国互联网西北大数据中心项目。投资3.6亿元，建设大数据管控中心。</w:t>
            </w:r>
          </w:p>
          <w:p>
            <w:pPr>
              <w:adjustRightInd w:val="0"/>
              <w:snapToGrid w:val="0"/>
              <w:spacing w:line="550" w:lineRule="exact"/>
              <w:ind w:firstLine="586"/>
              <w:rPr>
                <w:rFonts w:ascii="Times New Roman"/>
                <w:b/>
                <w:color w:val="000000"/>
                <w:sz w:val="32"/>
                <w:szCs w:val="32"/>
              </w:rPr>
            </w:pPr>
            <w:r>
              <w:rPr>
                <w:rFonts w:ascii="Times New Roman" w:eastAsia="宋体-PUA"/>
                <w:b/>
                <w:color w:val="000000"/>
                <w:spacing w:val="6"/>
                <w:sz w:val="28"/>
                <w:szCs w:val="28"/>
              </w:rPr>
              <w:t>陕西华星电子北斗导航用表面贴装石英晶体器件产业化项目。投资3亿元，建设年产3亿只表面贴装石英晶体器件生产线。</w:t>
            </w:r>
          </w:p>
        </w:tc>
      </w:tr>
    </w:tbl>
    <w:p>
      <w:pPr>
        <w:spacing w:line="300" w:lineRule="exact"/>
        <w:ind w:firstLine="643"/>
        <w:rPr>
          <w:rFonts w:ascii="Times New Roman"/>
          <w:b/>
          <w:color w:val="000000"/>
          <w:sz w:val="32"/>
          <w:szCs w:val="32"/>
        </w:rPr>
      </w:pPr>
    </w:p>
    <w:p>
      <w:pPr>
        <w:spacing w:line="600" w:lineRule="exact"/>
        <w:ind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第二节  加快装备制造业转型升级</w:t>
      </w:r>
    </w:p>
    <w:p>
      <w:pPr>
        <w:spacing w:line="300" w:lineRule="exact"/>
        <w:ind w:firstLine="643"/>
        <w:rPr>
          <w:rFonts w:ascii="Times New Roman"/>
          <w:b/>
          <w:color w:val="000000"/>
          <w:sz w:val="32"/>
          <w:szCs w:val="32"/>
        </w:rPr>
      </w:pPr>
    </w:p>
    <w:p>
      <w:pPr>
        <w:adjustRightInd w:val="0"/>
        <w:snapToGrid w:val="0"/>
        <w:spacing w:line="600" w:lineRule="exact"/>
        <w:ind w:firstLine="643"/>
        <w:rPr>
          <w:rFonts w:ascii="Times New Roman"/>
          <w:b/>
          <w:color w:val="000000"/>
          <w:sz w:val="32"/>
          <w:szCs w:val="32"/>
        </w:rPr>
      </w:pPr>
      <w:r>
        <w:rPr>
          <w:rFonts w:ascii="Times New Roman"/>
          <w:b/>
          <w:color w:val="000000"/>
          <w:sz w:val="32"/>
          <w:szCs w:val="32"/>
        </w:rPr>
        <w:t>全面实施“中国制造2025”咸阳行动计划，引导制造业朝着分工细化、协作紧密方向发展，促进信息技术向市场、设计、生产等环节渗透，推动生产方式向柔性、智能、精细转变。以汽车产业发展为突破口，促进产业聚集发展，全面提高装备制造业核心竞争力。到2020年，装备制造产业产值达到1250亿元以上，年均增长14%左右。</w:t>
      </w:r>
    </w:p>
    <w:p>
      <w:pPr>
        <w:pBdr>
          <w:bottom w:val="single" w:color="FFFFFF" w:sz="4" w:space="31"/>
        </w:pBdr>
        <w:spacing w:line="600" w:lineRule="exact"/>
        <w:ind w:firstLine="643"/>
        <w:rPr>
          <w:rFonts w:ascii="Times New Roman"/>
          <w:b/>
          <w:color w:val="000000"/>
          <w:sz w:val="32"/>
          <w:szCs w:val="32"/>
        </w:rPr>
      </w:pPr>
      <w:r>
        <w:rPr>
          <w:rFonts w:ascii="Times New Roman" w:eastAsia="楷体_GB2312"/>
          <w:b/>
          <w:color w:val="000000"/>
          <w:sz w:val="32"/>
          <w:szCs w:val="32"/>
        </w:rPr>
        <w:t>汽车及零部件制造业。</w:t>
      </w:r>
      <w:r>
        <w:rPr>
          <w:rFonts w:ascii="Times New Roman"/>
          <w:b/>
          <w:color w:val="000000"/>
          <w:sz w:val="32"/>
          <w:szCs w:val="32"/>
        </w:rPr>
        <w:t>积极引进汽车整车生产线项目，推进华晨汽车产业园、陕西秦星新能源整车生产线等项目建设。加快引进节能与新能源汽车项目，支持电动汽车、燃料电池汽车发展。围绕陕重汽、比亚迪等龙头企业，大力发展汽车零部件加工、配套生产。通过聚集资源、重点突破、抓好龙头，形成集群，打造上游以汽车专用模具和零部件生产为主，中游形成校车、新能源汽车以及专用汽车生产制造，下游形成销售维修为主的汽车全产业链。</w:t>
      </w:r>
    </w:p>
    <w:p>
      <w:pPr>
        <w:pBdr>
          <w:bottom w:val="single" w:color="FFFFFF" w:sz="4" w:space="31"/>
        </w:pBdr>
        <w:spacing w:line="600" w:lineRule="exact"/>
        <w:ind w:firstLine="643"/>
        <w:rPr>
          <w:rFonts w:ascii="Times New Roman"/>
          <w:b/>
          <w:color w:val="000000"/>
          <w:sz w:val="32"/>
          <w:szCs w:val="32"/>
        </w:rPr>
      </w:pPr>
      <w:r>
        <w:rPr>
          <w:rFonts w:ascii="Times New Roman" w:eastAsia="楷体_GB2312"/>
          <w:b/>
          <w:color w:val="000000"/>
          <w:sz w:val="32"/>
          <w:szCs w:val="32"/>
        </w:rPr>
        <w:t>航空船舶制造业。</w:t>
      </w:r>
      <w:r>
        <w:rPr>
          <w:rFonts w:ascii="Times New Roman"/>
          <w:b/>
          <w:color w:val="000000"/>
          <w:sz w:val="32"/>
          <w:szCs w:val="32"/>
        </w:rPr>
        <w:t>以陕柴重工、西航制动和陕航电气为龙头，重点发展大型铸件加工、船用辅机等设备、高速大功率船用柴油</w:t>
      </w:r>
      <w:r>
        <w:rPr>
          <w:rFonts w:ascii="Times New Roman"/>
          <w:b/>
          <w:color w:val="000000"/>
          <w:spacing w:val="-6"/>
          <w:sz w:val="32"/>
          <w:szCs w:val="32"/>
        </w:rPr>
        <w:t>机。依托空港新城，大力发展临空产业，培育做强航空装备维修业，重点发展大型飞机客改货、飞机维修、航空发动机维修等产业。</w:t>
      </w:r>
    </w:p>
    <w:p>
      <w:pPr>
        <w:pBdr>
          <w:bottom w:val="single" w:color="FFFFFF" w:sz="4" w:space="31"/>
        </w:pBdr>
        <w:spacing w:line="600" w:lineRule="exact"/>
        <w:ind w:firstLine="602"/>
        <w:rPr>
          <w:rFonts w:ascii="Times New Roman"/>
          <w:b/>
          <w:color w:val="000000"/>
          <w:sz w:val="32"/>
          <w:szCs w:val="32"/>
        </w:rPr>
      </w:pPr>
      <w:r>
        <w:rPr>
          <w:rFonts w:ascii="Times New Roman" w:eastAsia="楷体_GB2312"/>
          <w:b/>
          <w:color w:val="000000"/>
        </w:rPr>
        <w:t>能源设备制造业。</w:t>
      </w:r>
      <w:r>
        <w:rPr>
          <w:rFonts w:ascii="Times New Roman"/>
          <w:b/>
          <w:color w:val="000000"/>
          <w:sz w:val="32"/>
          <w:szCs w:val="32"/>
        </w:rPr>
        <w:t>以咸阳石油钢管钢绳厂等企业为龙头，重点发展煤矿井下成套设备、油气田用钢绳、钢管、深井钻头、自动控制设备、海上钻井平台、钻机监控系统等关键设备。以中船十二所等企业为主体，重点发展永磁直驱风电机组、大功率风电发电机、风力发展专用部件、风电制动器等关键零部件。</w:t>
      </w:r>
    </w:p>
    <w:p>
      <w:pPr>
        <w:pBdr>
          <w:bottom w:val="single" w:color="FFFFFF" w:sz="4" w:space="31"/>
        </w:pBdr>
        <w:spacing w:line="600" w:lineRule="exact"/>
        <w:ind w:firstLine="602"/>
        <w:rPr>
          <w:rFonts w:ascii="Times New Roman"/>
          <w:b/>
          <w:color w:val="000000"/>
          <w:sz w:val="32"/>
          <w:szCs w:val="32"/>
        </w:rPr>
      </w:pPr>
      <w:r>
        <w:rPr>
          <w:rFonts w:ascii="Times New Roman" w:eastAsia="楷体_GB2312"/>
          <w:b/>
          <w:color w:val="000000"/>
        </w:rPr>
        <w:t>建筑机械制造业。</w:t>
      </w:r>
      <w:r>
        <w:rPr>
          <w:rFonts w:ascii="Times New Roman"/>
          <w:b/>
          <w:color w:val="000000"/>
          <w:sz w:val="32"/>
          <w:szCs w:val="32"/>
        </w:rPr>
        <w:t>大力推动行业整合，积极开发建筑、基础设施建设用高技术含量的全自动铺路机、挂槽机等新产品。重点发展大型工程用起重设备、筑路机械设备。</w:t>
      </w:r>
    </w:p>
    <w:p>
      <w:pPr>
        <w:pBdr>
          <w:bottom w:val="single" w:color="FFFFFF" w:sz="4" w:space="31"/>
        </w:pBdr>
        <w:spacing w:line="600" w:lineRule="exact"/>
        <w:ind w:firstLine="602"/>
        <w:rPr>
          <w:rFonts w:ascii="Times New Roman"/>
          <w:b/>
          <w:color w:val="000000"/>
          <w:sz w:val="32"/>
          <w:szCs w:val="32"/>
        </w:rPr>
      </w:pPr>
      <w:r>
        <w:rPr>
          <w:rFonts w:ascii="Times New Roman" w:eastAsia="楷体_GB2312"/>
          <w:b/>
          <w:color w:val="000000"/>
        </w:rPr>
        <w:t>农机装备制造业。</w:t>
      </w:r>
      <w:r>
        <w:rPr>
          <w:rFonts w:ascii="Times New Roman"/>
          <w:b/>
          <w:color w:val="000000"/>
          <w:sz w:val="32"/>
          <w:szCs w:val="32"/>
        </w:rPr>
        <w:t>加强与西农大、西工大等科研院所合作，积极引进国内外知名农机装备制造企业，加快高端农业机械的设计研发和生产制造。</w:t>
      </w:r>
    </w:p>
    <w:p>
      <w:pPr>
        <w:pBdr>
          <w:bottom w:val="single" w:color="FFFFFF" w:sz="4" w:space="31"/>
        </w:pBdr>
        <w:spacing w:line="600" w:lineRule="exact"/>
        <w:ind w:firstLine="643"/>
        <w:rPr>
          <w:rFonts w:ascii="Times New Roman"/>
          <w:b/>
          <w:color w:val="000000"/>
          <w:sz w:val="32"/>
          <w:szCs w:val="32"/>
        </w:rPr>
      </w:pPr>
      <w:r>
        <w:rPr>
          <w:rFonts w:ascii="Times New Roman" w:eastAsia="楷体_GB2312"/>
          <w:b/>
          <w:color w:val="000000"/>
          <w:sz w:val="32"/>
          <w:szCs w:val="32"/>
        </w:rPr>
        <w:t>智能制造装备和产品。</w:t>
      </w:r>
      <w:r>
        <w:rPr>
          <w:rFonts w:ascii="Times New Roman"/>
          <w:b/>
          <w:color w:val="000000"/>
          <w:sz w:val="32"/>
          <w:szCs w:val="32"/>
        </w:rPr>
        <w:t>大力引进高档数控机床、工业机器人、3D打印等智能制造装备以及智能化生产线，突破新型传感器、智能测量仪表、工业控制系统、伺服电机及驱动器和减速器等智能核心装置，推进工程化和产业化。积极推进智能交通工具、智能工程机械、服务机器人、智能家电、智能照明电器、可穿戴设备等产品研发和产业化。</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0" w:hRule="atLeast"/>
          <w:jc w:val="center"/>
        </w:trPr>
        <w:tc>
          <w:tcPr>
            <w:tcW w:w="8787" w:type="dxa"/>
            <w:noWrap w:val="0"/>
            <w:vAlign w:val="top"/>
          </w:tcPr>
          <w:p>
            <w:pPr>
              <w:adjustRightInd w:val="0"/>
              <w:snapToGrid w:val="0"/>
              <w:spacing w:line="560" w:lineRule="exact"/>
              <w:ind w:firstLine="0" w:firstLineChars="0"/>
              <w:jc w:val="center"/>
              <w:rPr>
                <w:rFonts w:ascii="Times New Roman" w:eastAsia="黑体"/>
                <w:b/>
                <w:color w:val="000000"/>
                <w:sz w:val="28"/>
                <w:szCs w:val="28"/>
              </w:rPr>
            </w:pPr>
          </w:p>
          <w:p>
            <w:pPr>
              <w:adjustRightInd w:val="0"/>
              <w:snapToGrid w:val="0"/>
              <w:spacing w:line="560" w:lineRule="exact"/>
              <w:ind w:firstLine="0" w:firstLineChars="0"/>
              <w:jc w:val="center"/>
              <w:rPr>
                <w:rFonts w:ascii="Times New Roman" w:eastAsia="黑体"/>
                <w:b/>
                <w:color w:val="000000"/>
                <w:sz w:val="32"/>
                <w:szCs w:val="32"/>
              </w:rPr>
            </w:pPr>
            <w:r>
              <w:rPr>
                <w:rFonts w:ascii="Times New Roman" w:eastAsia="黑体"/>
                <w:b/>
                <w:color w:val="000000"/>
                <w:sz w:val="32"/>
                <w:szCs w:val="32"/>
              </w:rPr>
              <w:t>专栏2-2  装备制造业重点项目</w:t>
            </w:r>
          </w:p>
          <w:p>
            <w:pPr>
              <w:adjustRightInd w:val="0"/>
              <w:snapToGrid w:val="0"/>
              <w:spacing w:line="560" w:lineRule="exact"/>
              <w:ind w:firstLine="0" w:firstLineChars="0"/>
              <w:jc w:val="center"/>
              <w:rPr>
                <w:rFonts w:ascii="Times New Roman" w:eastAsia="黑体"/>
                <w:b/>
                <w:color w:val="000000"/>
                <w:sz w:val="28"/>
                <w:szCs w:val="28"/>
              </w:rPr>
            </w:pPr>
          </w:p>
          <w:p>
            <w:pPr>
              <w:adjustRightInd w:val="0"/>
              <w:snapToGrid w:val="0"/>
              <w:spacing w:line="560" w:lineRule="exact"/>
              <w:ind w:firstLine="562"/>
              <w:rPr>
                <w:rFonts w:ascii="Times New Roman" w:eastAsia="宋体-PUA"/>
                <w:b/>
                <w:color w:val="000000"/>
                <w:sz w:val="28"/>
                <w:szCs w:val="28"/>
              </w:rPr>
            </w:pPr>
            <w:r>
              <w:rPr>
                <w:rFonts w:ascii="Times New Roman" w:eastAsia="宋体-PUA"/>
                <w:b/>
                <w:color w:val="000000"/>
                <w:sz w:val="28"/>
                <w:szCs w:val="28"/>
              </w:rPr>
              <w:t>华晨汽车产业园。投资130亿元，建设生产专用车及相关零部件生产线，行政中心、汽车研发中心及汽车销售中心。</w:t>
            </w:r>
          </w:p>
          <w:p>
            <w:pPr>
              <w:adjustRightInd w:val="0"/>
              <w:snapToGrid w:val="0"/>
              <w:spacing w:line="560" w:lineRule="exact"/>
              <w:ind w:firstLine="562"/>
              <w:rPr>
                <w:rFonts w:ascii="Times New Roman" w:eastAsia="宋体-PUA"/>
                <w:b/>
                <w:color w:val="000000"/>
                <w:sz w:val="28"/>
                <w:szCs w:val="28"/>
              </w:rPr>
            </w:pPr>
            <w:r>
              <w:rPr>
                <w:rFonts w:ascii="Times New Roman" w:eastAsia="宋体-PUA"/>
                <w:b/>
                <w:color w:val="000000"/>
                <w:sz w:val="28"/>
                <w:szCs w:val="28"/>
              </w:rPr>
              <w:t>临空产业基地。投资130亿元，建设包含航空公司综合营运、航空维修、航空制造、航空培训、公务机运输、民航保税、金融服务等在内的临空产业基地。</w:t>
            </w:r>
          </w:p>
          <w:p>
            <w:pPr>
              <w:adjustRightInd w:val="0"/>
              <w:snapToGrid w:val="0"/>
              <w:spacing w:line="560" w:lineRule="exact"/>
              <w:ind w:firstLine="562"/>
              <w:rPr>
                <w:rFonts w:ascii="Times New Roman" w:eastAsia="宋体-PUA"/>
                <w:b/>
                <w:color w:val="000000"/>
                <w:sz w:val="28"/>
                <w:szCs w:val="28"/>
              </w:rPr>
            </w:pPr>
            <w:r>
              <w:rPr>
                <w:rFonts w:ascii="Times New Roman" w:eastAsia="宋体-PUA"/>
                <w:b/>
                <w:color w:val="000000"/>
                <w:sz w:val="28"/>
                <w:szCs w:val="28"/>
              </w:rPr>
              <w:t>秦都区正泰智能电气西北产业园。投资100亿元，建设生产车间、研发中心、库房、行政办公用房及其生产配套辅助设施，主要生产中低压智能电力成套设备，各类变压器，集成及智能变电站等产品。</w:t>
            </w:r>
          </w:p>
          <w:p>
            <w:pPr>
              <w:adjustRightInd w:val="0"/>
              <w:snapToGrid w:val="0"/>
              <w:spacing w:line="560" w:lineRule="exact"/>
              <w:ind w:firstLine="562"/>
              <w:rPr>
                <w:rFonts w:ascii="Times New Roman" w:eastAsia="宋体-PUA"/>
                <w:b/>
                <w:color w:val="000000"/>
                <w:sz w:val="28"/>
                <w:szCs w:val="28"/>
              </w:rPr>
            </w:pPr>
            <w:r>
              <w:rPr>
                <w:rFonts w:ascii="Times New Roman" w:eastAsia="宋体-PUA"/>
                <w:b/>
                <w:color w:val="000000"/>
                <w:sz w:val="28"/>
                <w:szCs w:val="28"/>
              </w:rPr>
              <w:t>三原航空配套产业园。投资100亿元，依托中航重机宏远公司，重点围绕阎良飞机制造产业，发展航空装备相关配套产业。</w:t>
            </w:r>
          </w:p>
          <w:p>
            <w:pPr>
              <w:adjustRightInd w:val="0"/>
              <w:snapToGrid w:val="0"/>
              <w:spacing w:line="560" w:lineRule="exact"/>
              <w:ind w:firstLine="562"/>
              <w:rPr>
                <w:rFonts w:ascii="Times New Roman" w:eastAsia="宋体-PUA"/>
                <w:b/>
                <w:color w:val="000000"/>
                <w:sz w:val="28"/>
                <w:szCs w:val="28"/>
              </w:rPr>
            </w:pPr>
            <w:r>
              <w:rPr>
                <w:rFonts w:ascii="Times New Roman" w:eastAsia="宋体-PUA"/>
                <w:b/>
                <w:color w:val="000000"/>
                <w:sz w:val="28"/>
                <w:szCs w:val="28"/>
              </w:rPr>
              <w:t>乾县天津王派新能源电动车科技园。投资60亿元，主要建设集电动车整车加工生产、科技研发、电子商务、现代物流、金融服务于一体的电动车产业科技园。</w:t>
            </w:r>
          </w:p>
          <w:p>
            <w:pPr>
              <w:adjustRightInd w:val="0"/>
              <w:snapToGrid w:val="0"/>
              <w:spacing w:line="560" w:lineRule="exact"/>
              <w:ind w:firstLine="562"/>
              <w:rPr>
                <w:rFonts w:ascii="Times New Roman" w:eastAsia="宋体-PUA"/>
                <w:b/>
                <w:color w:val="000000"/>
                <w:sz w:val="28"/>
                <w:szCs w:val="28"/>
              </w:rPr>
            </w:pPr>
            <w:r>
              <w:rPr>
                <w:rFonts w:ascii="Times New Roman" w:eastAsia="宋体-PUA"/>
                <w:b/>
                <w:color w:val="000000"/>
                <w:sz w:val="28"/>
                <w:szCs w:val="28"/>
              </w:rPr>
              <w:t>中国西部现代农机装备制造物流产业园。投资50亿元，建设集农机研发、生产制造、展览销售、技术培训、检验检测、配件供应、维修服务、以旧换新、物流配送、配套服务和农用车辆、环保设备等产品研发、装备、制造、销售为一体的农机装备制造物流产业园。</w:t>
            </w:r>
          </w:p>
          <w:p>
            <w:pPr>
              <w:adjustRightInd w:val="0"/>
              <w:snapToGrid w:val="0"/>
              <w:spacing w:line="560" w:lineRule="exact"/>
              <w:ind w:firstLine="562"/>
              <w:rPr>
                <w:rFonts w:ascii="Times New Roman" w:eastAsia="宋体-PUA"/>
                <w:b/>
                <w:color w:val="000000"/>
                <w:sz w:val="28"/>
                <w:szCs w:val="28"/>
              </w:rPr>
            </w:pPr>
            <w:r>
              <w:rPr>
                <w:rFonts w:ascii="Times New Roman" w:eastAsia="宋体-PUA"/>
                <w:b/>
                <w:color w:val="000000"/>
                <w:sz w:val="28"/>
                <w:szCs w:val="28"/>
              </w:rPr>
              <w:t>西安正麒新能源汽车电机驱动装置项目。投资43亿元，形成年产各类新能源汽车驱动系统36万套和特种电机3000台生产能力。</w:t>
            </w:r>
          </w:p>
          <w:p>
            <w:pPr>
              <w:adjustRightInd w:val="0"/>
              <w:snapToGrid w:val="0"/>
              <w:spacing w:line="560" w:lineRule="exact"/>
              <w:ind w:firstLine="562"/>
              <w:rPr>
                <w:rFonts w:ascii="Times New Roman" w:eastAsia="宋体-PUA"/>
                <w:b/>
                <w:color w:val="000000"/>
                <w:sz w:val="28"/>
                <w:szCs w:val="28"/>
              </w:rPr>
            </w:pPr>
            <w:r>
              <w:rPr>
                <w:rFonts w:ascii="Times New Roman" w:eastAsia="宋体-PUA"/>
                <w:b/>
                <w:color w:val="000000"/>
                <w:sz w:val="28"/>
                <w:szCs w:val="28"/>
              </w:rPr>
              <w:t>三原鑫源装备制造基地。投资30亿元，建设年产五轴联动精密加工中心设备及立式、卧式设备等，同时建设研发、仓储和物流为一体的装备制造基地。</w:t>
            </w:r>
          </w:p>
          <w:p>
            <w:pPr>
              <w:adjustRightInd w:val="0"/>
              <w:snapToGrid w:val="0"/>
              <w:spacing w:line="560" w:lineRule="exact"/>
              <w:ind w:firstLine="562"/>
              <w:jc w:val="left"/>
              <w:rPr>
                <w:rFonts w:ascii="Times New Roman" w:eastAsia="宋体-PUA"/>
                <w:b/>
                <w:color w:val="000000"/>
                <w:sz w:val="28"/>
                <w:szCs w:val="28"/>
              </w:rPr>
            </w:pPr>
            <w:r>
              <w:rPr>
                <w:rFonts w:ascii="Times New Roman" w:eastAsia="宋体-PUA"/>
                <w:b/>
                <w:color w:val="000000"/>
                <w:sz w:val="28"/>
                <w:szCs w:val="28"/>
              </w:rPr>
              <w:t>泾阳县雷达精确制导全天候巡检仪项目。投资28亿元</w:t>
            </w:r>
            <w:r>
              <w:rPr>
                <w:rFonts w:hint="eastAsia" w:ascii="Times New Roman" w:eastAsia="宋体-PUA"/>
                <w:b/>
                <w:color w:val="000000"/>
                <w:sz w:val="28"/>
                <w:szCs w:val="28"/>
              </w:rPr>
              <w:t>，</w:t>
            </w:r>
            <w:r>
              <w:rPr>
                <w:rFonts w:ascii="Times New Roman" w:eastAsia="宋体-PUA"/>
                <w:b/>
                <w:color w:val="000000"/>
                <w:sz w:val="28"/>
                <w:szCs w:val="28"/>
              </w:rPr>
              <w:t>主要生产探测设备（由定位雷达、球型巡检仪、重载云台等组成）、链路传输设备、显控设备（由LED显示屏、监视器、计算机、监控服务器和存储设备等组成）、软件系统等。</w:t>
            </w:r>
          </w:p>
          <w:p>
            <w:pPr>
              <w:adjustRightInd w:val="0"/>
              <w:snapToGrid w:val="0"/>
              <w:spacing w:line="560" w:lineRule="exact"/>
              <w:ind w:firstLine="562"/>
              <w:jc w:val="left"/>
              <w:rPr>
                <w:rFonts w:ascii="Times New Roman" w:eastAsia="宋体-PUA"/>
                <w:b/>
                <w:color w:val="000000"/>
                <w:sz w:val="28"/>
                <w:szCs w:val="28"/>
              </w:rPr>
            </w:pPr>
            <w:r>
              <w:rPr>
                <w:rFonts w:ascii="Times New Roman" w:eastAsia="宋体-PUA"/>
                <w:b/>
                <w:color w:val="000000"/>
                <w:sz w:val="28"/>
                <w:szCs w:val="28"/>
              </w:rPr>
              <w:t>乾县泰汽新能源电动车辆及关键零部件生产线。投资26亿元，建设形成年产锂电池10亿安时、电控系统10万台套、电机等关键零部件10万台套、电动经济型电动轿车10万辆、商用车5万辆、防爆车2万辆的生产能力。</w:t>
            </w:r>
          </w:p>
          <w:p>
            <w:pPr>
              <w:adjustRightInd w:val="0"/>
              <w:snapToGrid w:val="0"/>
              <w:spacing w:line="560" w:lineRule="exact"/>
              <w:ind w:firstLine="562"/>
              <w:rPr>
                <w:rFonts w:ascii="Times New Roman" w:eastAsia="宋体-PUA"/>
                <w:b/>
                <w:color w:val="000000"/>
                <w:sz w:val="28"/>
                <w:szCs w:val="28"/>
              </w:rPr>
            </w:pPr>
            <w:r>
              <w:rPr>
                <w:rFonts w:ascii="Times New Roman" w:eastAsia="宋体-PUA"/>
                <w:b/>
                <w:color w:val="000000"/>
                <w:sz w:val="28"/>
                <w:szCs w:val="28"/>
              </w:rPr>
              <w:t>西北特种电缆生产项目。投资11亿元，主要建设环保电缆生产线6条，新型铝合金电缆生产线2条，矿物质绝缘电缆生产线2条。</w:t>
            </w:r>
          </w:p>
          <w:p>
            <w:pPr>
              <w:adjustRightInd w:val="0"/>
              <w:snapToGrid w:val="0"/>
              <w:spacing w:line="560" w:lineRule="exact"/>
              <w:ind w:firstLine="562"/>
              <w:jc w:val="left"/>
              <w:rPr>
                <w:rFonts w:ascii="Times New Roman" w:eastAsia="宋体-PUA"/>
                <w:b/>
                <w:color w:val="000000"/>
                <w:sz w:val="28"/>
                <w:szCs w:val="28"/>
              </w:rPr>
            </w:pPr>
            <w:r>
              <w:rPr>
                <w:rFonts w:ascii="Times New Roman" w:eastAsia="宋体-PUA"/>
                <w:b/>
                <w:color w:val="000000"/>
                <w:sz w:val="28"/>
                <w:szCs w:val="28"/>
              </w:rPr>
              <w:t>四方华能高端电器开关制造及新能源示范项目。投资10亿元。建设高端电器开关制造及新能源发电。</w:t>
            </w:r>
          </w:p>
          <w:p>
            <w:pPr>
              <w:adjustRightInd w:val="0"/>
              <w:snapToGrid w:val="0"/>
              <w:spacing w:line="560" w:lineRule="exact"/>
              <w:ind w:firstLine="562"/>
              <w:jc w:val="left"/>
              <w:rPr>
                <w:rFonts w:ascii="Times New Roman" w:eastAsia="宋体-PUA"/>
                <w:b/>
                <w:color w:val="000000"/>
                <w:sz w:val="28"/>
                <w:szCs w:val="28"/>
              </w:rPr>
            </w:pPr>
            <w:r>
              <w:rPr>
                <w:rFonts w:ascii="Times New Roman" w:eastAsia="宋体-PUA"/>
                <w:b/>
                <w:color w:val="000000"/>
                <w:sz w:val="28"/>
                <w:szCs w:val="28"/>
              </w:rPr>
              <w:t>专用螺杆空压机成套设备生产线项目。投资3亿元，主要建设生产车间、库房、综合楼、宿舍及其他配套辅助设施。</w:t>
            </w:r>
          </w:p>
          <w:p>
            <w:pPr>
              <w:adjustRightInd w:val="0"/>
              <w:snapToGrid w:val="0"/>
              <w:spacing w:line="560" w:lineRule="exact"/>
              <w:ind w:firstLine="562"/>
              <w:jc w:val="left"/>
              <w:rPr>
                <w:rFonts w:ascii="Times New Roman"/>
                <w:b/>
                <w:color w:val="000000"/>
                <w:sz w:val="28"/>
                <w:szCs w:val="28"/>
              </w:rPr>
            </w:pPr>
            <w:r>
              <w:rPr>
                <w:rFonts w:ascii="Times New Roman" w:eastAsia="宋体-PUA"/>
                <w:b/>
                <w:color w:val="000000"/>
                <w:sz w:val="28"/>
                <w:szCs w:val="28"/>
              </w:rPr>
              <w:t>宏远公司锻造产能升级。投资3亿元，建设80MN等温锻油压机生产线及动力配套。</w:t>
            </w:r>
          </w:p>
        </w:tc>
      </w:tr>
    </w:tbl>
    <w:p>
      <w:pPr>
        <w:spacing w:line="300" w:lineRule="exact"/>
        <w:ind w:firstLine="0" w:firstLineChars="0"/>
        <w:jc w:val="center"/>
        <w:rPr>
          <w:rFonts w:ascii="Times New Roman" w:eastAsia="宋体-PUA"/>
          <w:b/>
          <w:color w:val="000000"/>
          <w:sz w:val="32"/>
          <w:szCs w:val="32"/>
        </w:rPr>
      </w:pPr>
    </w:p>
    <w:p>
      <w:pPr>
        <w:spacing w:line="600" w:lineRule="exact"/>
        <w:ind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第三节  发展面向未来的战略性新兴产业</w:t>
      </w:r>
    </w:p>
    <w:p>
      <w:pPr>
        <w:spacing w:line="300" w:lineRule="exact"/>
        <w:ind w:firstLine="0" w:firstLineChars="0"/>
        <w:jc w:val="center"/>
        <w:rPr>
          <w:rFonts w:ascii="Times New Roman" w:eastAsia="宋体-PUA"/>
          <w:b/>
          <w:color w:val="000000"/>
          <w:sz w:val="32"/>
          <w:szCs w:val="32"/>
        </w:rPr>
      </w:pPr>
    </w:p>
    <w:p>
      <w:pPr>
        <w:pBdr>
          <w:bottom w:val="single" w:color="FFFFFF" w:sz="4" w:space="31"/>
        </w:pBdr>
        <w:spacing w:line="600" w:lineRule="exact"/>
        <w:ind w:firstLine="634"/>
        <w:rPr>
          <w:rFonts w:ascii="Times New Roman"/>
          <w:b/>
          <w:color w:val="000000"/>
          <w:spacing w:val="-2"/>
          <w:sz w:val="32"/>
          <w:szCs w:val="32"/>
        </w:rPr>
      </w:pPr>
      <w:r>
        <w:rPr>
          <w:rFonts w:ascii="Times New Roman"/>
          <w:b/>
          <w:color w:val="000000"/>
          <w:spacing w:val="-2"/>
          <w:sz w:val="32"/>
          <w:szCs w:val="32"/>
        </w:rPr>
        <w:t>坚持科技创新引领、重大项目支撑、特色基地承载，立足我市实际，重点发展新能源、新材料、节能环保、信息服务等产业，推动战略性新兴产业发展规模化、高端化、集聚化，形成新的经济增长极，打造全省战略性新兴产业发展的重要策源地和高端产业集聚地。到2020年，战略性新兴产业产值达到480亿元，年均增长15%以上。</w:t>
      </w:r>
    </w:p>
    <w:p>
      <w:pPr>
        <w:pBdr>
          <w:bottom w:val="single" w:color="FFFFFF" w:sz="4" w:space="31"/>
        </w:pBdr>
        <w:spacing w:line="600" w:lineRule="exact"/>
        <w:ind w:firstLine="643"/>
        <w:rPr>
          <w:rFonts w:ascii="Times New Roman"/>
          <w:b/>
          <w:color w:val="000000"/>
          <w:spacing w:val="-2"/>
          <w:sz w:val="32"/>
          <w:szCs w:val="32"/>
        </w:rPr>
      </w:pPr>
      <w:r>
        <w:rPr>
          <w:rFonts w:ascii="Times New Roman" w:eastAsia="楷体_GB2312"/>
          <w:b/>
          <w:color w:val="000000"/>
          <w:sz w:val="32"/>
          <w:szCs w:val="32"/>
        </w:rPr>
        <w:t>新能源产业。</w:t>
      </w:r>
      <w:r>
        <w:rPr>
          <w:rFonts w:ascii="Times New Roman"/>
          <w:b/>
          <w:color w:val="000000"/>
          <w:sz w:val="32"/>
          <w:szCs w:val="32"/>
        </w:rPr>
        <w:t>依托陕西有色光电新能源、天宏多晶硅</w:t>
      </w:r>
      <w:r>
        <w:rPr>
          <w:rFonts w:ascii="Times New Roman"/>
          <w:b/>
          <w:color w:val="000000"/>
          <w:spacing w:val="-2"/>
          <w:sz w:val="32"/>
          <w:szCs w:val="32"/>
        </w:rPr>
        <w:t>等企业，重点研发第三代高效太阳能电池（非晶硅、化合物和纳米太阳能电池）、光电容器和液流储能系统，发展太阳能光伏电池及组件、太阳能光伏发电设备等相关产业。加强LED芯片、外延片、半导体材料技术的研发和引进，积极开发LED照明系统和相关器件产品，形成以LED产品为主的新型节能电光源产业集群。</w:t>
      </w:r>
    </w:p>
    <w:p>
      <w:pPr>
        <w:pBdr>
          <w:bottom w:val="single" w:color="FFFFFF" w:sz="4" w:space="31"/>
        </w:pBdr>
        <w:spacing w:line="600" w:lineRule="exact"/>
        <w:ind w:firstLine="634"/>
        <w:rPr>
          <w:rFonts w:ascii="Times New Roman"/>
          <w:b/>
          <w:color w:val="000000"/>
          <w:spacing w:val="-2"/>
          <w:sz w:val="32"/>
          <w:szCs w:val="32"/>
        </w:rPr>
      </w:pPr>
      <w:r>
        <w:rPr>
          <w:rFonts w:ascii="Times New Roman"/>
          <w:b/>
          <w:color w:val="000000"/>
          <w:spacing w:val="-2"/>
          <w:sz w:val="32"/>
          <w:szCs w:val="32"/>
        </w:rPr>
        <w:t>创新发展光伏发电应用模式。充分利用接入条件好、电力负荷大、建筑面积充裕的工业园区，以及工矿、商业、公共建筑等建设太阳能光伏系统，推进光伏建筑一体化应用。重点实施彬长地区煤炭采空区分布式发电项目、旬邑土桥20万千瓦风力发电项目、礼泉五凤山10万千瓦风力发电项目、永寿10万千瓦风力发电项目、长武彬县150兆瓦太阳能光伏发电项目、纺织工业园屋面分布式光伏发电示范项目。</w:t>
      </w:r>
    </w:p>
    <w:p>
      <w:pPr>
        <w:pBdr>
          <w:bottom w:val="single" w:color="FFFFFF" w:sz="4" w:space="31"/>
        </w:pBdr>
        <w:spacing w:line="600" w:lineRule="exact"/>
        <w:ind w:firstLine="643"/>
        <w:rPr>
          <w:rFonts w:ascii="Times New Roman"/>
          <w:b/>
          <w:color w:val="000000"/>
          <w:kern w:val="0"/>
          <w:sz w:val="32"/>
          <w:szCs w:val="32"/>
        </w:rPr>
      </w:pPr>
      <w:r>
        <w:rPr>
          <w:rFonts w:ascii="Times New Roman"/>
          <w:b/>
          <w:color w:val="000000"/>
          <w:sz w:val="32"/>
          <w:szCs w:val="32"/>
        </w:rPr>
        <w:t>积极推进地热资源开发利用。加大地热尾水</w:t>
      </w:r>
      <w:r>
        <w:rPr>
          <w:rFonts w:ascii="Times New Roman"/>
          <w:b/>
          <w:color w:val="000000"/>
          <w:kern w:val="0"/>
          <w:sz w:val="32"/>
          <w:szCs w:val="32"/>
        </w:rPr>
        <w:t>回灌技术、低热能梯级开发利用技术研发应用投入，提高</w:t>
      </w:r>
      <w:r>
        <w:rPr>
          <w:rFonts w:ascii="Times New Roman"/>
          <w:b/>
          <w:color w:val="000000"/>
          <w:sz w:val="32"/>
          <w:szCs w:val="32"/>
        </w:rPr>
        <w:t>尾水</w:t>
      </w:r>
      <w:r>
        <w:rPr>
          <w:rFonts w:ascii="Times New Roman"/>
          <w:b/>
          <w:color w:val="000000"/>
          <w:kern w:val="0"/>
          <w:sz w:val="32"/>
          <w:szCs w:val="32"/>
        </w:rPr>
        <w:t>回灌率，扩大利用范围，提高能源利用效率。重点实施大西安（咸阳）文体功能区地热综合利用示范项目，建设国家级“地热城”。争取到2020年，实现新增供热面积700万平方米，年控制开采地热水量2240万立方米。</w:t>
      </w:r>
    </w:p>
    <w:p>
      <w:pPr>
        <w:pBdr>
          <w:bottom w:val="single" w:color="FFFFFF" w:sz="4" w:space="31"/>
        </w:pBdr>
        <w:spacing w:line="600" w:lineRule="exact"/>
        <w:ind w:firstLine="643"/>
        <w:rPr>
          <w:rFonts w:ascii="Times New Roman"/>
          <w:b/>
          <w:color w:val="000000"/>
          <w:sz w:val="32"/>
          <w:szCs w:val="32"/>
        </w:rPr>
      </w:pPr>
      <w:r>
        <w:rPr>
          <w:rFonts w:ascii="Times New Roman" w:eastAsia="楷体_GB2312"/>
          <w:b/>
          <w:color w:val="000000"/>
          <w:sz w:val="32"/>
          <w:szCs w:val="32"/>
        </w:rPr>
        <w:t>新材料产业。</w:t>
      </w:r>
      <w:r>
        <w:rPr>
          <w:rFonts w:ascii="Times New Roman"/>
          <w:b/>
          <w:color w:val="000000"/>
          <w:sz w:val="32"/>
          <w:szCs w:val="32"/>
        </w:rPr>
        <w:t>发挥西北橡胶塑料研究院、非金属矿研究院、陶瓷研究院等部省级科研院所的科研优势，重点发展化工新材料、非金属材料、复合材料。大力发展航空航天特种材料、汽车和建筑用新型材料、特种化学品材料和新型金属材料等产业。</w:t>
      </w:r>
    </w:p>
    <w:p>
      <w:pPr>
        <w:pBdr>
          <w:bottom w:val="single" w:color="FFFFFF" w:sz="4" w:space="31"/>
        </w:pBdr>
        <w:spacing w:line="600" w:lineRule="exact"/>
        <w:ind w:firstLine="643"/>
        <w:rPr>
          <w:rFonts w:ascii="Times New Roman"/>
          <w:b/>
          <w:color w:val="000000"/>
          <w:sz w:val="32"/>
          <w:szCs w:val="32"/>
        </w:rPr>
      </w:pPr>
      <w:r>
        <w:rPr>
          <w:rFonts w:ascii="Times New Roman" w:eastAsia="楷体_GB2312"/>
          <w:b/>
          <w:color w:val="000000"/>
          <w:sz w:val="32"/>
          <w:szCs w:val="32"/>
        </w:rPr>
        <w:t>节能环保产业。</w:t>
      </w:r>
      <w:r>
        <w:rPr>
          <w:rFonts w:ascii="Times New Roman"/>
          <w:b/>
          <w:color w:val="000000"/>
          <w:sz w:val="32"/>
          <w:szCs w:val="32"/>
        </w:rPr>
        <w:t>依托陕西再生资源产业园、陕西东方朝辉循环经济产业园、浩泽环保科技园、中节能（陕西）环保装备研发生产基地、延长碳氢高效利用技术研究中心试验示范基地等项目建设，重点发展节能产品与装备、再生资源综合利用，大力发展降霾除尘风机、节能电机、高效锅炉等环保设备，研发生产膜材料、高性能防渗材料、脱硝催化剂、固废处理固化剂和稳定剂、持久性有机污染物替代产品等环保产品。</w:t>
      </w:r>
    </w:p>
    <w:p>
      <w:pPr>
        <w:pBdr>
          <w:bottom w:val="single" w:color="FFFFFF" w:sz="4" w:space="31"/>
        </w:pBdr>
        <w:spacing w:line="600" w:lineRule="exact"/>
        <w:ind w:firstLine="643"/>
        <w:rPr>
          <w:rFonts w:ascii="Times New Roman"/>
          <w:b/>
          <w:color w:val="000000"/>
          <w:sz w:val="32"/>
          <w:szCs w:val="32"/>
        </w:rPr>
      </w:pPr>
      <w:r>
        <w:rPr>
          <w:rFonts w:ascii="Times New Roman" w:eastAsia="楷体_GB2312"/>
          <w:b/>
          <w:color w:val="000000"/>
          <w:sz w:val="32"/>
          <w:szCs w:val="32"/>
        </w:rPr>
        <w:t>信息服务。</w:t>
      </w:r>
      <w:r>
        <w:rPr>
          <w:rFonts w:ascii="Times New Roman"/>
          <w:b/>
          <w:color w:val="000000"/>
          <w:sz w:val="32"/>
          <w:szCs w:val="32"/>
        </w:rPr>
        <w:t>依托西咸新区基础电信运营商互联网数据中心（IDC）、呼叫中心、数据灾备中心、未来大数据产业基地、中国虚拟现实创意基地等项目，完善综合信息基础设施，大力发展云计算、大数据产业。引导企业积极承接呼叫中心、软件开发、研发设计、电信网络服务、人力资源系统开发管理、金融分析、结算中心、交易处理、采购等外包业务的发展，打造西部地区重要的国际化信息服务外包基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2" w:hRule="atLeast"/>
          <w:jc w:val="center"/>
        </w:trPr>
        <w:tc>
          <w:tcPr>
            <w:tcW w:w="8844" w:type="dxa"/>
            <w:noWrap w:val="0"/>
            <w:vAlign w:val="top"/>
          </w:tcPr>
          <w:p>
            <w:pPr>
              <w:spacing w:line="560" w:lineRule="exact"/>
              <w:ind w:firstLine="0" w:firstLineChars="0"/>
              <w:jc w:val="center"/>
              <w:rPr>
                <w:rFonts w:ascii="Times New Roman" w:eastAsia="黑体"/>
                <w:b/>
                <w:color w:val="000000"/>
                <w:sz w:val="32"/>
                <w:szCs w:val="32"/>
              </w:rPr>
            </w:pPr>
          </w:p>
          <w:p>
            <w:pPr>
              <w:spacing w:line="560" w:lineRule="exact"/>
              <w:ind w:firstLine="0" w:firstLineChars="0"/>
              <w:jc w:val="center"/>
              <w:rPr>
                <w:rFonts w:ascii="Times New Roman" w:eastAsia="黑体"/>
                <w:b/>
                <w:color w:val="000000"/>
                <w:sz w:val="32"/>
                <w:szCs w:val="32"/>
              </w:rPr>
            </w:pPr>
            <w:r>
              <w:rPr>
                <w:rFonts w:ascii="Times New Roman" w:eastAsia="黑体"/>
                <w:b/>
                <w:color w:val="000000"/>
                <w:sz w:val="32"/>
                <w:szCs w:val="32"/>
              </w:rPr>
              <w:t>专栏2-3  战略性新兴产业重点项目</w:t>
            </w:r>
          </w:p>
          <w:p>
            <w:pPr>
              <w:spacing w:line="560" w:lineRule="exact"/>
              <w:ind w:firstLine="0" w:firstLineChars="0"/>
              <w:jc w:val="center"/>
              <w:rPr>
                <w:rFonts w:ascii="Times New Roman" w:eastAsia="黑体"/>
                <w:b/>
                <w:color w:val="000000"/>
                <w:sz w:val="32"/>
                <w:szCs w:val="32"/>
              </w:rPr>
            </w:pPr>
          </w:p>
          <w:p>
            <w:pPr>
              <w:adjustRightInd w:val="0"/>
              <w:snapToGrid w:val="0"/>
              <w:spacing w:line="560" w:lineRule="exact"/>
              <w:ind w:firstLine="586"/>
              <w:jc w:val="left"/>
              <w:rPr>
                <w:rFonts w:ascii="Times New Roman" w:eastAsia="宋体-PUA"/>
                <w:b/>
                <w:color w:val="000000"/>
                <w:spacing w:val="6"/>
                <w:sz w:val="28"/>
                <w:szCs w:val="28"/>
              </w:rPr>
            </w:pPr>
            <w:r>
              <w:rPr>
                <w:rFonts w:ascii="Times New Roman" w:eastAsia="宋体-PUA"/>
                <w:b/>
                <w:color w:val="000000"/>
                <w:spacing w:val="6"/>
                <w:sz w:val="28"/>
                <w:szCs w:val="28"/>
              </w:rPr>
              <w:t>渭城区陕西有色光电新能源产业化项目。投资100亿元，建设1000兆瓦/年光伏电池组件生产线和200吨/年电子级单晶硅生产线及配套设施。</w:t>
            </w:r>
          </w:p>
          <w:p>
            <w:pPr>
              <w:spacing w:line="560" w:lineRule="exact"/>
              <w:ind w:firstLine="562"/>
              <w:rPr>
                <w:rFonts w:ascii="Times New Roman" w:eastAsia="宋体-PUA"/>
                <w:b/>
                <w:color w:val="000000"/>
                <w:sz w:val="28"/>
                <w:szCs w:val="28"/>
              </w:rPr>
            </w:pPr>
            <w:r>
              <w:rPr>
                <w:rFonts w:ascii="Times New Roman" w:eastAsia="宋体-PUA"/>
                <w:b/>
                <w:color w:val="000000"/>
                <w:sz w:val="28"/>
                <w:szCs w:val="28"/>
              </w:rPr>
              <w:t>永寿综合生物质能源利用项目。投资37亿元，建设2×30MW生物</w:t>
            </w:r>
            <w:r>
              <w:rPr>
                <w:rFonts w:ascii="Times New Roman" w:eastAsia="宋体-PUA"/>
                <w:b/>
                <w:color w:val="000000"/>
                <w:spacing w:val="-8"/>
                <w:sz w:val="28"/>
                <w:szCs w:val="28"/>
              </w:rPr>
              <w:t>质发电厂及100万亩能源林、20万亩有机林、柴油加工厂、有机肥厂等。</w:t>
            </w:r>
          </w:p>
          <w:p>
            <w:pPr>
              <w:adjustRightInd w:val="0"/>
              <w:snapToGrid w:val="0"/>
              <w:spacing w:line="560" w:lineRule="exact"/>
              <w:ind w:firstLine="562"/>
              <w:jc w:val="left"/>
              <w:rPr>
                <w:rFonts w:ascii="Times New Roman" w:eastAsia="宋体-PUA"/>
                <w:b/>
                <w:color w:val="000000"/>
                <w:sz w:val="28"/>
                <w:szCs w:val="28"/>
              </w:rPr>
            </w:pPr>
            <w:r>
              <w:rPr>
                <w:rFonts w:ascii="Times New Roman" w:eastAsia="宋体-PUA"/>
                <w:b/>
                <w:color w:val="000000"/>
                <w:sz w:val="28"/>
                <w:szCs w:val="28"/>
              </w:rPr>
              <w:t>陕西东方朝辉循环经济产业园。投资35亿元，建设再生资源加工利用，仓储物流、科技创新孵化、综合服务四个功能区。</w:t>
            </w:r>
          </w:p>
          <w:p>
            <w:pPr>
              <w:adjustRightInd w:val="0"/>
              <w:snapToGrid w:val="0"/>
              <w:spacing w:line="560" w:lineRule="exact"/>
              <w:ind w:firstLine="562"/>
              <w:jc w:val="left"/>
              <w:rPr>
                <w:rFonts w:ascii="Times New Roman" w:eastAsia="宋体-PUA"/>
                <w:b/>
                <w:color w:val="000000"/>
                <w:sz w:val="28"/>
                <w:szCs w:val="28"/>
              </w:rPr>
            </w:pPr>
            <w:r>
              <w:rPr>
                <w:rFonts w:ascii="Times New Roman" w:eastAsia="宋体-PUA"/>
                <w:b/>
                <w:color w:val="000000"/>
                <w:sz w:val="28"/>
                <w:szCs w:val="28"/>
              </w:rPr>
              <w:t>乾县浩泽环保科技产业园。投资22亿元，主要建设年产100万台高标准浩润直饮水机生产线、污水处理设备、空气净化设备生产线及配套设施等。</w:t>
            </w:r>
          </w:p>
          <w:p>
            <w:pPr>
              <w:adjustRightInd w:val="0"/>
              <w:snapToGrid w:val="0"/>
              <w:spacing w:line="560" w:lineRule="exact"/>
              <w:ind w:firstLine="562"/>
              <w:jc w:val="left"/>
              <w:rPr>
                <w:rFonts w:ascii="Times New Roman" w:eastAsia="宋体-PUA"/>
                <w:b/>
                <w:color w:val="000000"/>
                <w:sz w:val="28"/>
                <w:szCs w:val="28"/>
              </w:rPr>
            </w:pPr>
            <w:r>
              <w:rPr>
                <w:rFonts w:ascii="Times New Roman" w:eastAsia="宋体-PUA"/>
                <w:b/>
                <w:color w:val="000000"/>
                <w:sz w:val="28"/>
                <w:szCs w:val="28"/>
              </w:rPr>
              <w:t>未来大数据产业基地。投资16.8亿元，占地200亩，总建筑面积21.2万平方米，主要建设核心数据机房、动力中心、办公楼、研发中心及其他配套设施。</w:t>
            </w:r>
          </w:p>
          <w:p>
            <w:pPr>
              <w:adjustRightInd w:val="0"/>
              <w:snapToGrid w:val="0"/>
              <w:spacing w:line="560" w:lineRule="exact"/>
              <w:ind w:firstLine="562"/>
              <w:jc w:val="left"/>
              <w:rPr>
                <w:rFonts w:ascii="Times New Roman" w:eastAsia="宋体-PUA"/>
                <w:b/>
                <w:color w:val="000000"/>
                <w:sz w:val="28"/>
                <w:szCs w:val="28"/>
              </w:rPr>
            </w:pPr>
            <w:r>
              <w:rPr>
                <w:rFonts w:ascii="Times New Roman" w:eastAsia="宋体-PUA"/>
                <w:b/>
                <w:color w:val="000000"/>
                <w:sz w:val="28"/>
                <w:szCs w:val="28"/>
              </w:rPr>
              <w:t>陕西源杰半导体技术项目。投资10.5亿元，项目总规划装机容量为100MW，总投资约10亿元人民币，一期建设规模为50MW。</w:t>
            </w:r>
          </w:p>
          <w:p>
            <w:pPr>
              <w:spacing w:line="560" w:lineRule="exact"/>
              <w:ind w:firstLine="562"/>
              <w:rPr>
                <w:rFonts w:ascii="Times New Roman" w:eastAsia="宋体-PUA"/>
                <w:b/>
                <w:color w:val="000000"/>
                <w:sz w:val="28"/>
                <w:szCs w:val="28"/>
              </w:rPr>
            </w:pPr>
            <w:r>
              <w:rPr>
                <w:rFonts w:ascii="Times New Roman" w:eastAsia="宋体-PUA"/>
                <w:b/>
                <w:color w:val="000000"/>
                <w:sz w:val="28"/>
                <w:szCs w:val="28"/>
              </w:rPr>
              <w:t>中国虚拟现实创意基地。投资6亿元，建筑面积3500平方米，建设中国3D-VR产业专业孵化器、建设3D Lad产业链公共检测平台、建设基于3D-VR技术的新型主题公园、搭建3D、3D-VR产业交流平台。</w:t>
            </w:r>
          </w:p>
          <w:p>
            <w:pPr>
              <w:spacing w:line="560" w:lineRule="exact"/>
              <w:ind w:firstLine="562"/>
              <w:rPr>
                <w:rFonts w:ascii="Times New Roman"/>
                <w:b/>
                <w:color w:val="000000"/>
                <w:sz w:val="28"/>
                <w:szCs w:val="28"/>
              </w:rPr>
            </w:pPr>
            <w:r>
              <w:rPr>
                <w:rFonts w:ascii="Times New Roman" w:eastAsia="宋体-PUA"/>
                <w:b/>
                <w:color w:val="000000"/>
                <w:sz w:val="28"/>
                <w:szCs w:val="28"/>
              </w:rPr>
              <w:t xml:space="preserve"> 风电抽动系统研发生产中心项目。投资3.5亿元，主要从事重型制动器、离合器、减速机的设计、生产、销售与服务。</w:t>
            </w:r>
          </w:p>
        </w:tc>
      </w:tr>
    </w:tbl>
    <w:p>
      <w:pPr>
        <w:spacing w:line="300" w:lineRule="exact"/>
        <w:ind w:firstLine="0" w:firstLineChars="0"/>
        <w:jc w:val="center"/>
        <w:rPr>
          <w:rFonts w:ascii="Times New Roman" w:eastAsia="宋体-PUA"/>
          <w:b/>
          <w:color w:val="000000"/>
          <w:sz w:val="32"/>
          <w:szCs w:val="32"/>
        </w:rPr>
      </w:pPr>
    </w:p>
    <w:p>
      <w:pPr>
        <w:spacing w:line="600" w:lineRule="exact"/>
        <w:ind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第四节  推动能源化工产业中高端发展</w:t>
      </w:r>
    </w:p>
    <w:p>
      <w:pPr>
        <w:spacing w:line="300" w:lineRule="exact"/>
        <w:ind w:firstLine="0" w:firstLineChars="0"/>
        <w:jc w:val="center"/>
        <w:rPr>
          <w:rFonts w:ascii="Times New Roman" w:eastAsia="宋体-PUA"/>
          <w:b/>
          <w:color w:val="000000"/>
          <w:sz w:val="32"/>
          <w:szCs w:val="32"/>
        </w:rPr>
      </w:pPr>
    </w:p>
    <w:p>
      <w:pPr>
        <w:spacing w:line="600" w:lineRule="exact"/>
        <w:ind w:firstLine="643"/>
        <w:rPr>
          <w:rFonts w:ascii="Times New Roman" w:eastAsia="楷体_GB2312"/>
          <w:b/>
          <w:color w:val="000000"/>
          <w:sz w:val="32"/>
          <w:szCs w:val="32"/>
        </w:rPr>
      </w:pPr>
      <w:r>
        <w:rPr>
          <w:rFonts w:ascii="Times New Roman" w:eastAsia="楷体_GB2312"/>
          <w:b/>
          <w:color w:val="000000"/>
          <w:sz w:val="32"/>
          <w:szCs w:val="32"/>
        </w:rPr>
        <w:t>优化调整煤炭产能。</w:t>
      </w:r>
      <w:r>
        <w:rPr>
          <w:rFonts w:ascii="Times New Roman"/>
          <w:b/>
          <w:color w:val="000000"/>
          <w:sz w:val="32"/>
          <w:szCs w:val="32"/>
        </w:rPr>
        <w:t>以建设本质安全型、资源节约型、环境友好型现代化高产、高效矿井为重点，有序推进彬长矿区重点煤矿项目建设进度，建成大佛寺二期等高效现代化煤矿项目。根据市场变化，适时推进旬邑职田等矿井前期工作。坚决淘汰落后生产技术装备和产能，积极采用先进技术装备和工艺，实现矿井生产和管理现代化、标准化。到2020年，全市原煤产量达到8000万吨以上，煤矿采煤机械化程度达到90%以上，煤炭洗选率达到70%以上。</w:t>
      </w:r>
    </w:p>
    <w:p>
      <w:pPr>
        <w:spacing w:line="600" w:lineRule="exact"/>
        <w:ind w:firstLine="643"/>
        <w:rPr>
          <w:rFonts w:ascii="Times New Roman" w:eastAsia="楷体_GB2312"/>
          <w:b/>
          <w:color w:val="000000"/>
          <w:sz w:val="32"/>
          <w:szCs w:val="32"/>
        </w:rPr>
      </w:pPr>
      <w:r>
        <w:rPr>
          <w:rFonts w:ascii="Times New Roman" w:eastAsia="楷体_GB2312"/>
          <w:b/>
          <w:color w:val="000000"/>
          <w:sz w:val="32"/>
          <w:szCs w:val="32"/>
        </w:rPr>
        <w:t>全面推进能源资源深度转化。</w:t>
      </w:r>
      <w:r>
        <w:rPr>
          <w:rFonts w:ascii="Times New Roman"/>
          <w:b/>
          <w:color w:val="000000"/>
          <w:sz w:val="32"/>
          <w:szCs w:val="32"/>
        </w:rPr>
        <w:t>积极推进煤炭清洁高效利用，促进煤电一体化、煤化一体化和油炼化一体化发展，建成大唐彬长电厂二期、神华新民塬CFB示范项目、国电咸阳西郊热电联产项目。积极推进彬长外送通道建设，启动实施彬长-徐州特高压外送输电工程。规划建设神华新民塬电厂一期、华电长武电厂一期、中电投旬邑电厂一期等电源项目，建设彬长“西电东送”煤电基地。谋划建设2×20亿方煤制天然气等一批高端现代煤化工重大项目。支持长庆石化、兴化、咸阳化工等大型能化企业进行技改扩能，实现安全生产、持续发展。</w:t>
      </w:r>
    </w:p>
    <w:p>
      <w:pPr>
        <w:spacing w:line="600" w:lineRule="exact"/>
        <w:ind w:firstLine="643"/>
        <w:rPr>
          <w:rFonts w:ascii="Times New Roman"/>
          <w:b/>
          <w:color w:val="000000"/>
          <w:sz w:val="32"/>
          <w:szCs w:val="32"/>
        </w:rPr>
      </w:pPr>
      <w:r>
        <w:rPr>
          <w:rFonts w:ascii="Times New Roman" w:eastAsia="楷体_GB2312"/>
          <w:b/>
          <w:color w:val="000000"/>
          <w:sz w:val="32"/>
          <w:szCs w:val="32"/>
        </w:rPr>
        <w:t>加快油气资源勘探开发。</w:t>
      </w:r>
      <w:r>
        <w:rPr>
          <w:rFonts w:ascii="Times New Roman"/>
          <w:b/>
          <w:color w:val="000000"/>
          <w:sz w:val="32"/>
          <w:szCs w:val="32"/>
        </w:rPr>
        <w:t>立足长武、彬县、旬邑境内油气资源特征，采用新技术、新方法逐步扩大含油面积和勘探成果，增加油气储量，加快油页岩的开发利用，逐步实现油气资源规模开采。重点推进旬邑县石门－马栏区块石油开采、长武区块石油精细勘探，旬邑和长武区块天然气开采等项目建设。力争到2020年，建成年产10万吨左右的石油矿区，新增1000万立方米天然气产能。</w:t>
      </w:r>
    </w:p>
    <w:p>
      <w:pPr>
        <w:adjustRightInd w:val="0"/>
        <w:snapToGrid w:val="0"/>
        <w:spacing w:line="600" w:lineRule="exact"/>
        <w:ind w:firstLine="643"/>
        <w:rPr>
          <w:rFonts w:ascii="Times New Roman"/>
          <w:b/>
          <w:color w:val="000000"/>
          <w:spacing w:val="-6"/>
          <w:sz w:val="32"/>
          <w:szCs w:val="32"/>
        </w:rPr>
      </w:pPr>
      <w:r>
        <w:rPr>
          <w:rFonts w:ascii="Times New Roman" w:eastAsia="楷体_GB2312"/>
          <w:b/>
          <w:color w:val="000000"/>
          <w:sz w:val="32"/>
          <w:szCs w:val="32"/>
        </w:rPr>
        <w:t>加快彬长旬高端能源化工基地建设。</w:t>
      </w:r>
      <w:r>
        <w:rPr>
          <w:rFonts w:ascii="Times New Roman"/>
          <w:b/>
          <w:color w:val="000000"/>
          <w:sz w:val="32"/>
          <w:szCs w:val="32"/>
        </w:rPr>
        <w:t>坚持以煤为主、量水而行、深度转</w:t>
      </w:r>
      <w:r>
        <w:rPr>
          <w:rFonts w:ascii="Times New Roman"/>
          <w:b/>
          <w:color w:val="000000"/>
          <w:spacing w:val="-6"/>
          <w:sz w:val="32"/>
          <w:szCs w:val="32"/>
        </w:rPr>
        <w:t>化、多元发展的原则，按照“一基地三大园区六项工程”发展规划，做大做强煤电、煤化工、石油化工、橡胶化工等产业，打造西部重要的高端能源化工基地。到2020年，能源化工产业产值达到2200亿元，年均增长10%左右。</w:t>
      </w:r>
    </w:p>
    <w:p>
      <w:pPr>
        <w:adjustRightInd w:val="0"/>
        <w:snapToGrid w:val="0"/>
        <w:spacing w:line="600" w:lineRule="exact"/>
        <w:ind w:firstLine="618"/>
        <w:rPr>
          <w:rFonts w:ascii="Times New Roman"/>
          <w:b/>
          <w:color w:val="000000"/>
          <w:spacing w:val="-6"/>
          <w:sz w:val="32"/>
          <w:szCs w:val="32"/>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4" w:hRule="atLeast"/>
          <w:jc w:val="center"/>
        </w:trPr>
        <w:tc>
          <w:tcPr>
            <w:tcW w:w="8844" w:type="dxa"/>
            <w:noWrap w:val="0"/>
            <w:vAlign w:val="top"/>
          </w:tcPr>
          <w:p>
            <w:pPr>
              <w:spacing w:line="560" w:lineRule="exact"/>
              <w:ind w:firstLine="0" w:firstLineChars="0"/>
              <w:jc w:val="center"/>
              <w:rPr>
                <w:rFonts w:ascii="Times New Roman" w:eastAsia="黑体"/>
                <w:b/>
                <w:color w:val="000000"/>
                <w:sz w:val="28"/>
                <w:szCs w:val="28"/>
              </w:rPr>
            </w:pPr>
          </w:p>
          <w:p>
            <w:pPr>
              <w:spacing w:line="560" w:lineRule="exact"/>
              <w:ind w:firstLine="0" w:firstLineChars="0"/>
              <w:jc w:val="center"/>
              <w:rPr>
                <w:rFonts w:ascii="Times New Roman" w:eastAsia="黑体"/>
                <w:b/>
                <w:color w:val="000000"/>
                <w:sz w:val="32"/>
                <w:szCs w:val="32"/>
              </w:rPr>
            </w:pPr>
            <w:r>
              <w:rPr>
                <w:rFonts w:ascii="Times New Roman" w:eastAsia="黑体"/>
                <w:b/>
                <w:color w:val="000000"/>
                <w:sz w:val="32"/>
                <w:szCs w:val="32"/>
              </w:rPr>
              <w:t>专栏2-4  能源化工产业重点项目</w:t>
            </w:r>
          </w:p>
          <w:p>
            <w:pPr>
              <w:spacing w:line="560" w:lineRule="exact"/>
              <w:ind w:firstLine="0" w:firstLineChars="0"/>
              <w:jc w:val="center"/>
              <w:rPr>
                <w:rFonts w:ascii="Times New Roman" w:eastAsia="黑体"/>
                <w:b/>
                <w:color w:val="000000"/>
                <w:sz w:val="32"/>
                <w:szCs w:val="32"/>
              </w:rPr>
            </w:pPr>
          </w:p>
          <w:p>
            <w:pPr>
              <w:adjustRightInd w:val="0"/>
              <w:snapToGrid w:val="0"/>
              <w:spacing w:line="560" w:lineRule="exact"/>
              <w:ind w:firstLine="562"/>
              <w:rPr>
                <w:rFonts w:ascii="Times New Roman" w:eastAsia="宋体-PUA"/>
                <w:b/>
                <w:color w:val="000000"/>
                <w:sz w:val="28"/>
                <w:szCs w:val="28"/>
              </w:rPr>
            </w:pPr>
            <w:r>
              <w:rPr>
                <w:rFonts w:ascii="Times New Roman" w:eastAsia="宋体-PUA"/>
                <w:b/>
                <w:color w:val="000000"/>
                <w:sz w:val="28"/>
                <w:szCs w:val="28"/>
              </w:rPr>
              <w:t>煤炭。建成大佛寺二期、小庄、孟村、文家坡、杨家坪、雅店、碾子沟煤矿等大型高产高效现代化煤矿项目建设；加快推进彬东、职田、转角、乔儿沟等矿井前期工作。</w:t>
            </w:r>
          </w:p>
          <w:p>
            <w:pPr>
              <w:adjustRightInd w:val="0"/>
              <w:snapToGrid w:val="0"/>
              <w:spacing w:line="560" w:lineRule="exact"/>
              <w:ind w:firstLine="562"/>
              <w:rPr>
                <w:rFonts w:ascii="Times New Roman" w:eastAsia="宋体-PUA"/>
                <w:b/>
                <w:color w:val="000000"/>
                <w:sz w:val="28"/>
                <w:szCs w:val="28"/>
              </w:rPr>
            </w:pPr>
            <w:r>
              <w:rPr>
                <w:rFonts w:ascii="Times New Roman" w:eastAsia="宋体-PUA"/>
                <w:b/>
                <w:color w:val="000000"/>
                <w:sz w:val="28"/>
                <w:szCs w:val="28"/>
              </w:rPr>
              <w:t>电源。建设彬长-徐州特高压外送输电工程，建成大唐彬长电厂二期、神华新民塬CFB示范项目、国电咸阳西郊热电联产项目。规划建设神华新民塬电厂一期、华电长武电厂一期、中电投旬邑电厂一期等电源项目、彬长集团2×100万千瓦发电项目、彬县神华国能集团2×100万千瓦发电项目、国电永寿2×100万千瓦发电项目。</w:t>
            </w:r>
          </w:p>
          <w:p>
            <w:pPr>
              <w:adjustRightInd w:val="0"/>
              <w:snapToGrid w:val="0"/>
              <w:spacing w:line="560" w:lineRule="exact"/>
              <w:ind w:firstLine="538"/>
              <w:rPr>
                <w:rFonts w:ascii="Times New Roman"/>
                <w:b/>
                <w:color w:val="000000"/>
                <w:sz w:val="24"/>
                <w:szCs w:val="24"/>
              </w:rPr>
            </w:pPr>
            <w:r>
              <w:rPr>
                <w:rFonts w:ascii="Times New Roman" w:eastAsia="宋体-PUA"/>
                <w:b/>
                <w:color w:val="000000"/>
                <w:spacing w:val="-6"/>
                <w:sz w:val="28"/>
                <w:szCs w:val="28"/>
              </w:rPr>
              <w:t xml:space="preserve">煤化工。长武200万吨煤制油、68万吨煤制烯烃、粉煤灰综合利用、二甲醚项目二期、100万吨水煤浆项目、旬邑2×20亿立方煤制天然气的装置及配套工程、彬县30万吨/年煤制乙二醇项目、煤制聚酯项目、68万吨煤制烯烃项目、180万吨煤制甲醇项目、兴平年产10万吨合成气制乙醇科技示范项目、50万吨合成气制乙醇项目。    </w:t>
            </w:r>
          </w:p>
        </w:tc>
      </w:tr>
    </w:tbl>
    <w:p>
      <w:pPr>
        <w:spacing w:line="300" w:lineRule="exact"/>
        <w:ind w:firstLine="0" w:firstLineChars="0"/>
        <w:jc w:val="center"/>
        <w:rPr>
          <w:rFonts w:ascii="Times New Roman" w:eastAsia="宋体-PUA"/>
          <w:b/>
          <w:color w:val="000000"/>
          <w:sz w:val="32"/>
          <w:szCs w:val="32"/>
        </w:rPr>
      </w:pPr>
    </w:p>
    <w:p>
      <w:pPr>
        <w:numPr>
          <w:ilvl w:val="0"/>
          <w:numId w:val="4"/>
        </w:numPr>
        <w:spacing w:line="600" w:lineRule="exact"/>
        <w:ind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 xml:space="preserve"> 大力发展绿色食品产业</w:t>
      </w:r>
    </w:p>
    <w:p>
      <w:pPr>
        <w:spacing w:line="300" w:lineRule="exact"/>
        <w:ind w:firstLine="0" w:firstLineChars="0"/>
        <w:jc w:val="center"/>
        <w:rPr>
          <w:rFonts w:ascii="Times New Roman" w:eastAsia="宋体-PUA"/>
          <w:b/>
          <w:color w:val="000000"/>
          <w:sz w:val="32"/>
          <w:szCs w:val="32"/>
        </w:rPr>
      </w:pPr>
    </w:p>
    <w:p>
      <w:pPr>
        <w:pBdr>
          <w:bottom w:val="single" w:color="FFFFFF" w:sz="4" w:space="31"/>
        </w:pBdr>
        <w:spacing w:line="600" w:lineRule="exact"/>
        <w:ind w:firstLine="601" w:firstLineChars="187"/>
        <w:rPr>
          <w:rFonts w:ascii="Times New Roman"/>
          <w:b/>
          <w:color w:val="000000"/>
          <w:sz w:val="32"/>
          <w:szCs w:val="32"/>
        </w:rPr>
      </w:pPr>
      <w:r>
        <w:rPr>
          <w:rFonts w:ascii="Times New Roman"/>
          <w:b/>
          <w:color w:val="000000"/>
          <w:sz w:val="32"/>
          <w:szCs w:val="32"/>
        </w:rPr>
        <w:t>依托我市农业资源禀赋，发挥外来品牌和地方传统品牌优势，培育和引进食品知名品牌企业，重点发展精品粮油、乳制品、肉制品、果蔬饮品等产业。大力发展清真食品。加快泾阳县茯茶产业园二期建设，推进茯茶产业规模化、集约化、规范化发展，打造中国茯茶之都。强化食品质量安全，推进原料保障、食品加工、物流营销全产业链一体化发展，建立质量安全、绿色生态的现代特色食品产业体系。到2020年，食品产业产值达到1300亿以上，年均增长17%左右。</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8787" w:type="dxa"/>
            <w:noWrap w:val="0"/>
            <w:vAlign w:val="top"/>
          </w:tcPr>
          <w:p>
            <w:pPr>
              <w:adjustRightInd w:val="0"/>
              <w:snapToGrid w:val="0"/>
              <w:spacing w:line="560" w:lineRule="exact"/>
              <w:ind w:firstLine="0" w:firstLineChars="0"/>
              <w:jc w:val="left"/>
              <w:rPr>
                <w:rFonts w:ascii="Times New Roman" w:eastAsia="黑体"/>
                <w:b/>
                <w:color w:val="000000"/>
                <w:sz w:val="28"/>
                <w:szCs w:val="28"/>
              </w:rPr>
            </w:pPr>
          </w:p>
          <w:p>
            <w:pPr>
              <w:adjustRightInd w:val="0"/>
              <w:snapToGrid w:val="0"/>
              <w:spacing w:line="560" w:lineRule="exact"/>
              <w:ind w:firstLine="0" w:firstLineChars="0"/>
              <w:jc w:val="center"/>
              <w:rPr>
                <w:rFonts w:ascii="Times New Roman" w:eastAsia="黑体"/>
                <w:b/>
                <w:color w:val="000000"/>
                <w:sz w:val="32"/>
                <w:szCs w:val="32"/>
              </w:rPr>
            </w:pPr>
            <w:r>
              <w:rPr>
                <w:rFonts w:ascii="Times New Roman" w:eastAsia="黑体"/>
                <w:b/>
                <w:color w:val="000000"/>
                <w:sz w:val="32"/>
                <w:szCs w:val="32"/>
              </w:rPr>
              <w:t>专栏2-5  食品产业重点项目</w:t>
            </w:r>
          </w:p>
          <w:p>
            <w:pPr>
              <w:adjustRightInd w:val="0"/>
              <w:snapToGrid w:val="0"/>
              <w:spacing w:line="560" w:lineRule="exact"/>
              <w:ind w:firstLine="0" w:firstLineChars="0"/>
              <w:jc w:val="left"/>
              <w:rPr>
                <w:rFonts w:ascii="Times New Roman" w:eastAsia="黑体"/>
                <w:b/>
                <w:color w:val="000000"/>
                <w:sz w:val="28"/>
                <w:szCs w:val="28"/>
              </w:rPr>
            </w:pPr>
          </w:p>
          <w:p>
            <w:pPr>
              <w:adjustRightInd w:val="0"/>
              <w:snapToGrid w:val="0"/>
              <w:spacing w:line="560" w:lineRule="exact"/>
              <w:ind w:firstLine="562"/>
              <w:jc w:val="left"/>
              <w:rPr>
                <w:rFonts w:ascii="Times New Roman" w:eastAsia="宋体"/>
                <w:b/>
                <w:color w:val="000000"/>
                <w:sz w:val="28"/>
                <w:szCs w:val="28"/>
              </w:rPr>
            </w:pPr>
            <w:r>
              <w:rPr>
                <w:rFonts w:ascii="Times New Roman" w:eastAsia="宋体"/>
                <w:b/>
                <w:color w:val="000000"/>
                <w:sz w:val="28"/>
                <w:szCs w:val="28"/>
              </w:rPr>
              <w:t xml:space="preserve">兴平双汇集团生猪屠宰及肉制品深加工项目。投资36亿元，年屠宰分割168万头生猪的生产车间、日产200吨高温肉制品加工车间一座，日产100吨低温肉制品加工车间一座，日产120吨低温肉制品加工车间一座。 </w:t>
            </w:r>
          </w:p>
          <w:p>
            <w:pPr>
              <w:adjustRightInd w:val="0"/>
              <w:snapToGrid w:val="0"/>
              <w:spacing w:line="560" w:lineRule="exact"/>
              <w:ind w:firstLine="562"/>
              <w:jc w:val="left"/>
              <w:rPr>
                <w:rFonts w:ascii="Times New Roman" w:eastAsia="宋体"/>
                <w:b/>
                <w:color w:val="000000"/>
                <w:sz w:val="28"/>
                <w:szCs w:val="28"/>
              </w:rPr>
            </w:pPr>
            <w:r>
              <w:rPr>
                <w:rFonts w:ascii="Times New Roman" w:eastAsia="宋体"/>
                <w:b/>
                <w:color w:val="000000"/>
                <w:sz w:val="28"/>
                <w:szCs w:val="28"/>
              </w:rPr>
              <w:t>健康功能食品研发、生产和市场营销产业园项目。投资26亿元，拟建设健康功能食品研发、生产和市场营销产业园。</w:t>
            </w:r>
          </w:p>
          <w:p>
            <w:pPr>
              <w:adjustRightInd w:val="0"/>
              <w:snapToGrid w:val="0"/>
              <w:spacing w:line="560" w:lineRule="exact"/>
              <w:ind w:firstLine="562"/>
              <w:jc w:val="left"/>
              <w:rPr>
                <w:rFonts w:ascii="Times New Roman" w:eastAsia="宋体"/>
                <w:b/>
                <w:color w:val="000000"/>
                <w:sz w:val="28"/>
                <w:szCs w:val="28"/>
              </w:rPr>
            </w:pPr>
            <w:r>
              <w:rPr>
                <w:rFonts w:ascii="Times New Roman" w:eastAsia="宋体"/>
                <w:b/>
                <w:color w:val="000000"/>
                <w:sz w:val="28"/>
                <w:szCs w:val="28"/>
              </w:rPr>
              <w:t>乾县特色果蔬深加工及节能示范建设项目。投资20亿元，建设特色多品类果蔬深加工生产线及配套设备设施。</w:t>
            </w:r>
          </w:p>
          <w:p>
            <w:pPr>
              <w:spacing w:line="560" w:lineRule="exact"/>
              <w:ind w:firstLine="562"/>
              <w:rPr>
                <w:rFonts w:ascii="Times New Roman" w:eastAsia="宋体"/>
                <w:b/>
                <w:color w:val="000000"/>
                <w:sz w:val="28"/>
                <w:szCs w:val="28"/>
              </w:rPr>
            </w:pPr>
            <w:r>
              <w:rPr>
                <w:rFonts w:ascii="Times New Roman" w:eastAsia="宋体"/>
                <w:b/>
                <w:color w:val="000000"/>
                <w:sz w:val="28"/>
                <w:szCs w:val="28"/>
              </w:rPr>
              <w:t>远方食品加工、保鲜物流基地项目。投资15亿元，建设农产品仓储、加工、物流及相关配套设施。</w:t>
            </w:r>
          </w:p>
          <w:p>
            <w:pPr>
              <w:adjustRightInd w:val="0"/>
              <w:snapToGrid w:val="0"/>
              <w:spacing w:line="560" w:lineRule="exact"/>
              <w:ind w:firstLine="562"/>
              <w:jc w:val="left"/>
              <w:rPr>
                <w:rFonts w:ascii="Times New Roman" w:eastAsia="宋体"/>
                <w:b/>
                <w:color w:val="000000"/>
                <w:sz w:val="28"/>
                <w:szCs w:val="28"/>
              </w:rPr>
            </w:pPr>
            <w:r>
              <w:rPr>
                <w:rFonts w:ascii="Times New Roman" w:eastAsia="宋体"/>
                <w:b/>
                <w:color w:val="000000"/>
                <w:sz w:val="28"/>
                <w:szCs w:val="28"/>
              </w:rPr>
              <w:t>伊利乳业加工项目。投资12亿元，主要生产酸奶、乳酸菌饮料产品，产能200吨/日。</w:t>
            </w:r>
          </w:p>
          <w:p>
            <w:pPr>
              <w:adjustRightInd w:val="0"/>
              <w:snapToGrid w:val="0"/>
              <w:spacing w:line="560" w:lineRule="exact"/>
              <w:ind w:firstLine="562"/>
              <w:jc w:val="left"/>
              <w:rPr>
                <w:rFonts w:ascii="Times New Roman" w:eastAsia="宋体"/>
                <w:b/>
                <w:color w:val="000000"/>
                <w:sz w:val="28"/>
                <w:szCs w:val="28"/>
              </w:rPr>
            </w:pPr>
            <w:r>
              <w:rPr>
                <w:rFonts w:ascii="Times New Roman" w:eastAsia="宋体"/>
                <w:b/>
                <w:color w:val="000000"/>
                <w:sz w:val="28"/>
                <w:szCs w:val="28"/>
              </w:rPr>
              <w:t>三原小磨香油产业园项目。投资10亿元，园区建成后，入驻企业达到200户，从业人员2万人，实现营业收入20亿</w:t>
            </w:r>
            <w:r>
              <w:rPr>
                <w:rFonts w:hint="eastAsia" w:ascii="Times New Roman" w:eastAsia="宋体"/>
                <w:b/>
                <w:color w:val="000000"/>
                <w:sz w:val="28"/>
                <w:szCs w:val="28"/>
              </w:rPr>
              <w:t>元</w:t>
            </w:r>
            <w:r>
              <w:rPr>
                <w:rFonts w:ascii="Times New Roman" w:eastAsia="宋体"/>
                <w:b/>
                <w:color w:val="000000"/>
                <w:sz w:val="28"/>
                <w:szCs w:val="28"/>
              </w:rPr>
              <w:t>。</w:t>
            </w:r>
          </w:p>
          <w:p>
            <w:pPr>
              <w:adjustRightInd w:val="0"/>
              <w:snapToGrid w:val="0"/>
              <w:spacing w:line="560" w:lineRule="exact"/>
              <w:ind w:firstLine="562"/>
              <w:jc w:val="left"/>
              <w:rPr>
                <w:rFonts w:ascii="Times New Roman" w:eastAsia="宋体"/>
                <w:b/>
                <w:color w:val="000000"/>
                <w:sz w:val="28"/>
                <w:szCs w:val="28"/>
              </w:rPr>
            </w:pPr>
            <w:r>
              <w:rPr>
                <w:rFonts w:ascii="Times New Roman" w:eastAsia="宋体"/>
                <w:b/>
                <w:color w:val="000000"/>
                <w:sz w:val="28"/>
                <w:szCs w:val="28"/>
              </w:rPr>
              <w:t>礼泉县正邦乳制品加工项目。投资10亿元，年加工乳制品10万吨。</w:t>
            </w:r>
          </w:p>
          <w:p>
            <w:pPr>
              <w:adjustRightInd w:val="0"/>
              <w:snapToGrid w:val="0"/>
              <w:spacing w:line="560" w:lineRule="exact"/>
              <w:ind w:firstLine="562"/>
              <w:jc w:val="left"/>
              <w:rPr>
                <w:rFonts w:ascii="Times New Roman" w:eastAsia="宋体"/>
                <w:b/>
                <w:color w:val="000000"/>
                <w:sz w:val="28"/>
                <w:szCs w:val="28"/>
              </w:rPr>
            </w:pPr>
            <w:r>
              <w:rPr>
                <w:rFonts w:ascii="Times New Roman" w:eastAsia="宋体"/>
                <w:b/>
                <w:color w:val="000000"/>
                <w:sz w:val="28"/>
                <w:szCs w:val="28"/>
              </w:rPr>
              <w:t>乾县2万吨配方羊奶粉和3万吨液态奶扩建项目。投资3.76亿元，形成日处理羊奶300吨，年处理羊奶10万吨生产能力。</w:t>
            </w:r>
          </w:p>
          <w:p>
            <w:pPr>
              <w:spacing w:line="560" w:lineRule="exact"/>
              <w:ind w:firstLine="562"/>
              <w:rPr>
                <w:rFonts w:ascii="Times New Roman"/>
                <w:b/>
                <w:color w:val="000000"/>
                <w:sz w:val="28"/>
                <w:szCs w:val="28"/>
              </w:rPr>
            </w:pPr>
            <w:r>
              <w:rPr>
                <w:rFonts w:ascii="Times New Roman" w:eastAsia="宋体"/>
                <w:b/>
                <w:color w:val="000000"/>
                <w:sz w:val="28"/>
                <w:szCs w:val="28"/>
              </w:rPr>
              <w:t>旬邑县沙棘系列产品深加工项目。投资2亿元，建设沙棘系列产品加工厂、苗木种植基地及培育示范基地。</w:t>
            </w:r>
          </w:p>
        </w:tc>
      </w:tr>
    </w:tbl>
    <w:p>
      <w:pPr>
        <w:spacing w:line="300" w:lineRule="exact"/>
        <w:ind w:firstLine="0" w:firstLineChars="0"/>
        <w:jc w:val="center"/>
        <w:rPr>
          <w:rFonts w:ascii="Times New Roman" w:eastAsia="宋体-PUA"/>
          <w:b/>
          <w:color w:val="000000"/>
          <w:sz w:val="32"/>
          <w:szCs w:val="32"/>
        </w:rPr>
      </w:pPr>
    </w:p>
    <w:p>
      <w:pPr>
        <w:spacing w:line="600" w:lineRule="exact"/>
        <w:ind w:firstLine="0" w:firstLineChars="0"/>
        <w:jc w:val="center"/>
        <w:rPr>
          <w:rFonts w:ascii="Times New Roman" w:eastAsia="宋体-PUA"/>
          <w:b/>
          <w:color w:val="000000"/>
          <w:sz w:val="32"/>
          <w:szCs w:val="32"/>
        </w:rPr>
      </w:pPr>
      <w:r>
        <w:rPr>
          <w:rFonts w:ascii="Times New Roman" w:eastAsia="宋体-PUA"/>
          <w:b/>
          <w:color w:val="000000"/>
          <w:sz w:val="32"/>
          <w:szCs w:val="32"/>
        </w:rPr>
        <w:t>第六节  发展医药健康产业</w:t>
      </w:r>
    </w:p>
    <w:p>
      <w:pPr>
        <w:spacing w:line="300" w:lineRule="exact"/>
        <w:ind w:firstLine="0" w:firstLineChars="0"/>
        <w:jc w:val="center"/>
        <w:rPr>
          <w:rFonts w:ascii="Times New Roman" w:eastAsia="宋体-PUA"/>
          <w:b/>
          <w:color w:val="000000"/>
          <w:sz w:val="32"/>
          <w:szCs w:val="32"/>
        </w:rPr>
      </w:pPr>
    </w:p>
    <w:p>
      <w:pPr>
        <w:pBdr>
          <w:bottom w:val="single" w:color="FFFFFF" w:sz="4" w:space="31"/>
        </w:pBdr>
        <w:spacing w:line="600" w:lineRule="exact"/>
        <w:ind w:firstLine="643"/>
        <w:rPr>
          <w:rFonts w:ascii="Times New Roman"/>
          <w:b/>
          <w:color w:val="000000"/>
          <w:sz w:val="32"/>
          <w:szCs w:val="32"/>
        </w:rPr>
      </w:pPr>
      <w:r>
        <w:rPr>
          <w:rFonts w:ascii="Times New Roman"/>
          <w:b/>
          <w:color w:val="000000"/>
          <w:sz w:val="32"/>
          <w:szCs w:val="32"/>
        </w:rPr>
        <w:t>以高新区医药产业园为重点，支持骨干制药企业进行新品研发及大品种培育，引进国内外大型知名制药企业，壮大医药产业产值规模。鼓励企业大力推进新产品研发和产业化，重点发展现代新型中药，扩大化学制药规模，培育发展生物医药、医疗器械和特色医药健康产业。打造集医药种植养殖、药品研制、医疗器械、保健食品、健康服务于一体的大健康产业链。到2020年，医药产业产值达到260亿元，年均增长12%以上。</w:t>
      </w:r>
    </w:p>
    <w:p>
      <w:pPr>
        <w:pBdr>
          <w:bottom w:val="single" w:color="FFFFFF" w:sz="4" w:space="31"/>
        </w:pBdr>
        <w:spacing w:line="300" w:lineRule="exact"/>
        <w:ind w:firstLine="643"/>
        <w:rPr>
          <w:rFonts w:ascii="Times New Roman"/>
          <w:b/>
          <w:color w:val="000000"/>
          <w:sz w:val="32"/>
          <w:szCs w:val="32"/>
        </w:rPr>
      </w:pPr>
    </w:p>
    <w:p>
      <w:pPr>
        <w:pBdr>
          <w:bottom w:val="single" w:color="FFFFFF" w:sz="4" w:space="31"/>
        </w:pBdr>
        <w:spacing w:line="600" w:lineRule="exact"/>
        <w:ind w:firstLine="0" w:firstLineChars="0"/>
        <w:jc w:val="center"/>
        <w:rPr>
          <w:rFonts w:ascii="Times New Roman" w:eastAsia="宋体-PUA"/>
          <w:b/>
          <w:color w:val="000000"/>
          <w:sz w:val="32"/>
          <w:szCs w:val="32"/>
        </w:rPr>
      </w:pPr>
      <w:r>
        <w:rPr>
          <w:rFonts w:ascii="Times New Roman" w:eastAsia="宋体-PUA"/>
          <w:b/>
          <w:color w:val="000000"/>
          <w:sz w:val="32"/>
          <w:szCs w:val="32"/>
        </w:rPr>
        <w:t>第七节  提升纺织产业层次</w:t>
      </w:r>
    </w:p>
    <w:p>
      <w:pPr>
        <w:pBdr>
          <w:bottom w:val="single" w:color="FFFFFF" w:sz="4" w:space="31"/>
        </w:pBdr>
        <w:spacing w:line="300" w:lineRule="exact"/>
        <w:ind w:firstLine="643"/>
        <w:rPr>
          <w:rFonts w:ascii="Times New Roman"/>
          <w:b/>
          <w:color w:val="000000"/>
          <w:sz w:val="32"/>
          <w:szCs w:val="32"/>
        </w:rPr>
      </w:pPr>
    </w:p>
    <w:p>
      <w:pPr>
        <w:pBdr>
          <w:bottom w:val="single" w:color="FFFFFF" w:sz="4" w:space="31"/>
        </w:pBdr>
        <w:spacing w:line="600" w:lineRule="exact"/>
        <w:ind w:firstLine="643"/>
        <w:rPr>
          <w:rFonts w:ascii="Times New Roman"/>
          <w:b/>
          <w:color w:val="000000"/>
          <w:sz w:val="32"/>
          <w:szCs w:val="32"/>
        </w:rPr>
      </w:pPr>
      <w:r>
        <w:rPr>
          <w:rFonts w:ascii="Times New Roman"/>
          <w:b/>
          <w:color w:val="000000"/>
          <w:sz w:val="32"/>
          <w:szCs w:val="32"/>
        </w:rPr>
        <w:t>依托咸阳新兴纺织工业园和乾县纺织工业园，积极承接东部纺织产业转移。鼓励企业加大技术改造力度，全面提升纺织产品档次和科技含量。加快调整纺织产品结构，大力发展色纺纱、色织面料等高附加值品种，提高功能性染整配套能力。积极发展服装家纺、产业用纺织品，地方特色文化纺织品，打造纺织、印染、设计、服装一体化生产体系，推进纺织产业向规模优势、品牌优势跨进，建成西部地区重要的中高档纺织产品制造基地，国家产业用纺织品生产出口基地。到2020年，规模以上工业总产值达到240亿元以上，年均增长10%以上。</w:t>
      </w:r>
    </w:p>
    <w:p>
      <w:pPr>
        <w:pBdr>
          <w:bottom w:val="single" w:color="FFFFFF" w:sz="4" w:space="31"/>
        </w:pBdr>
        <w:spacing w:line="300" w:lineRule="exact"/>
        <w:ind w:firstLine="643"/>
        <w:rPr>
          <w:rFonts w:ascii="Times New Roman"/>
          <w:b/>
          <w:color w:val="000000"/>
          <w:sz w:val="32"/>
          <w:szCs w:val="32"/>
        </w:rPr>
      </w:pPr>
    </w:p>
    <w:p>
      <w:pPr>
        <w:pBdr>
          <w:bottom w:val="single" w:color="FFFFFF" w:sz="4" w:space="31"/>
        </w:pBdr>
        <w:spacing w:line="600" w:lineRule="exact"/>
        <w:ind w:firstLine="0" w:firstLineChars="0"/>
        <w:jc w:val="center"/>
        <w:rPr>
          <w:rFonts w:ascii="Times New Roman" w:eastAsia="宋体-PUA"/>
          <w:b/>
          <w:color w:val="000000"/>
          <w:sz w:val="32"/>
          <w:szCs w:val="32"/>
        </w:rPr>
      </w:pPr>
      <w:r>
        <w:rPr>
          <w:rFonts w:ascii="Times New Roman" w:eastAsia="宋体-PUA"/>
          <w:b/>
          <w:color w:val="000000"/>
          <w:sz w:val="32"/>
          <w:szCs w:val="32"/>
        </w:rPr>
        <w:t>第八节  稳步发展建材产业</w:t>
      </w:r>
    </w:p>
    <w:p>
      <w:pPr>
        <w:pBdr>
          <w:bottom w:val="single" w:color="FFFFFF" w:sz="4" w:space="31"/>
        </w:pBdr>
        <w:spacing w:line="300" w:lineRule="exact"/>
        <w:ind w:firstLine="562"/>
        <w:rPr>
          <w:rFonts w:ascii="Times New Roman" w:eastAsia="宋体-PUA"/>
          <w:b/>
          <w:color w:val="000000"/>
          <w:sz w:val="28"/>
          <w:szCs w:val="32"/>
        </w:rPr>
      </w:pPr>
    </w:p>
    <w:p>
      <w:pPr>
        <w:pBdr>
          <w:bottom w:val="single" w:color="FFFFFF" w:sz="4" w:space="31"/>
        </w:pBdr>
        <w:spacing w:line="600" w:lineRule="exact"/>
        <w:ind w:firstLine="643"/>
        <w:rPr>
          <w:rFonts w:ascii="Times New Roman"/>
          <w:b/>
          <w:color w:val="000000"/>
          <w:sz w:val="32"/>
          <w:szCs w:val="32"/>
        </w:rPr>
      </w:pPr>
      <w:r>
        <w:rPr>
          <w:rFonts w:ascii="Times New Roman"/>
          <w:b/>
          <w:color w:val="000000"/>
          <w:sz w:val="32"/>
          <w:szCs w:val="32"/>
        </w:rPr>
        <w:t>加快发展新型绿色环保建筑材料，推进建材产业向全产业链转型。积极发展优质高标号水泥、特种水泥，鼓励发展散装水泥，引导企业发展预拌砂浆、预拌混凝土、水泥制品、建筑成型材料等下游产品。加快发展浮法玻璃、中空玻璃、钢化玻璃等深加工产品，大力引进车用及光学用玻璃深加工项目，不断提高玻璃生产工艺技术水平。大力发展立体停车设备、设备钢结构、建筑重钢结构、建筑轻钢结构、桥梁钢结构和空间钢结构产业。加大建材新材料、新产品的研发和推广，积极开发防水环保材料、新型建筑保温材料和新型墙体屋面材料。促进建材产业由以原材料生产为主向以加工制品为主转变，打造西部重要的绿色建材产业基地。到2020年，建材产业产值达到360亿元以上，年均增长8%左右。</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0" w:hRule="atLeast"/>
          <w:jc w:val="center"/>
        </w:trPr>
        <w:tc>
          <w:tcPr>
            <w:tcW w:w="8787" w:type="dxa"/>
            <w:noWrap w:val="0"/>
            <w:vAlign w:val="top"/>
          </w:tcPr>
          <w:p>
            <w:pPr>
              <w:adjustRightInd w:val="0"/>
              <w:snapToGrid w:val="0"/>
              <w:spacing w:line="560" w:lineRule="exact"/>
              <w:ind w:firstLine="0" w:firstLineChars="0"/>
              <w:jc w:val="left"/>
              <w:rPr>
                <w:rFonts w:ascii="Times New Roman" w:eastAsia="黑体"/>
                <w:b/>
                <w:color w:val="000000"/>
                <w:sz w:val="28"/>
                <w:szCs w:val="28"/>
              </w:rPr>
            </w:pPr>
          </w:p>
          <w:p>
            <w:pPr>
              <w:spacing w:line="560" w:lineRule="exact"/>
              <w:ind w:firstLine="0" w:firstLineChars="0"/>
              <w:jc w:val="center"/>
              <w:rPr>
                <w:rFonts w:ascii="Times New Roman" w:eastAsia="黑体"/>
                <w:b/>
                <w:color w:val="000000"/>
                <w:sz w:val="32"/>
                <w:szCs w:val="32"/>
              </w:rPr>
            </w:pPr>
            <w:r>
              <w:rPr>
                <w:rFonts w:ascii="Times New Roman" w:eastAsia="黑体"/>
                <w:b/>
                <w:color w:val="000000"/>
                <w:sz w:val="32"/>
                <w:szCs w:val="32"/>
              </w:rPr>
              <w:t>专栏2-6  医药、纺织、建材产业重点项目</w:t>
            </w:r>
          </w:p>
          <w:p>
            <w:pPr>
              <w:spacing w:line="560" w:lineRule="exact"/>
              <w:ind w:firstLine="0" w:firstLineChars="0"/>
              <w:jc w:val="center"/>
              <w:rPr>
                <w:rFonts w:ascii="Times New Roman" w:eastAsia="黑体"/>
                <w:b/>
                <w:color w:val="000000"/>
                <w:sz w:val="28"/>
                <w:szCs w:val="28"/>
              </w:rPr>
            </w:pPr>
          </w:p>
          <w:p>
            <w:pPr>
              <w:adjustRightInd w:val="0"/>
              <w:snapToGrid w:val="0"/>
              <w:spacing w:line="560" w:lineRule="exact"/>
              <w:ind w:firstLine="562"/>
              <w:jc w:val="left"/>
              <w:rPr>
                <w:rFonts w:ascii="Times New Roman" w:eastAsia="宋体-PUA"/>
                <w:b/>
                <w:color w:val="000000"/>
                <w:sz w:val="28"/>
                <w:szCs w:val="28"/>
              </w:rPr>
            </w:pPr>
            <w:r>
              <w:rPr>
                <w:rFonts w:ascii="Times New Roman" w:eastAsia="宋体-PUA"/>
                <w:b/>
                <w:color w:val="000000"/>
                <w:sz w:val="28"/>
                <w:szCs w:val="28"/>
              </w:rPr>
              <w:t>渭城新兴产业园项目。投资70亿元，包括新竹防灾救生设备、华星片式陶瓷、华秦迪泰克新能源、亚华机车元器件、陕西电缆厂、赛沃金属、庆咸输油调控基地等22个项目。</w:t>
            </w:r>
          </w:p>
          <w:p>
            <w:pPr>
              <w:adjustRightInd w:val="0"/>
              <w:snapToGrid w:val="0"/>
              <w:spacing w:line="560" w:lineRule="exact"/>
              <w:ind w:firstLine="562"/>
              <w:jc w:val="left"/>
              <w:rPr>
                <w:rFonts w:ascii="Times New Roman" w:eastAsia="宋体-PUA"/>
                <w:b/>
                <w:color w:val="000000"/>
                <w:sz w:val="28"/>
                <w:szCs w:val="28"/>
              </w:rPr>
            </w:pPr>
            <w:r>
              <w:rPr>
                <w:rFonts w:ascii="Times New Roman" w:eastAsia="宋体-PUA"/>
                <w:b/>
                <w:color w:val="000000"/>
                <w:sz w:val="28"/>
                <w:szCs w:val="28"/>
              </w:rPr>
              <w:t>咸阳修正药业生产基地。投资50亿元，建设修正药业西北总部基地、修正医药生产基地、修正堂药品连锁店及电子商务平台。</w:t>
            </w:r>
          </w:p>
          <w:p>
            <w:pPr>
              <w:adjustRightInd w:val="0"/>
              <w:snapToGrid w:val="0"/>
              <w:spacing w:line="560" w:lineRule="exact"/>
              <w:ind w:firstLine="562"/>
              <w:jc w:val="left"/>
              <w:rPr>
                <w:rFonts w:ascii="Times New Roman" w:eastAsia="宋体-PUA"/>
                <w:b/>
                <w:color w:val="000000"/>
                <w:sz w:val="28"/>
                <w:szCs w:val="28"/>
              </w:rPr>
            </w:pPr>
            <w:r>
              <w:rPr>
                <w:rFonts w:ascii="Times New Roman" w:eastAsia="宋体-PUA"/>
                <w:b/>
                <w:color w:val="000000"/>
                <w:sz w:val="28"/>
                <w:szCs w:val="28"/>
              </w:rPr>
              <w:t>陕建工集团总部基地及配套产业项目。投资40亿元,建设集团总部、设计院、研发公司和建筑产业化生产基地及相关配套设施。</w:t>
            </w:r>
          </w:p>
          <w:p>
            <w:pPr>
              <w:adjustRightInd w:val="0"/>
              <w:snapToGrid w:val="0"/>
              <w:spacing w:line="560" w:lineRule="exact"/>
              <w:ind w:firstLine="562"/>
              <w:jc w:val="left"/>
              <w:rPr>
                <w:rFonts w:ascii="Times New Roman" w:eastAsia="宋体-PUA"/>
                <w:b/>
                <w:color w:val="000000"/>
                <w:sz w:val="28"/>
                <w:szCs w:val="28"/>
              </w:rPr>
            </w:pPr>
            <w:r>
              <w:rPr>
                <w:rFonts w:ascii="Times New Roman" w:eastAsia="宋体-PUA"/>
                <w:b/>
                <w:color w:val="000000"/>
                <w:sz w:val="28"/>
                <w:szCs w:val="28"/>
              </w:rPr>
              <w:t>中民筑友绿色建筑（陕西）产业园暨陕西区域总部项目。投资25亿元，建设陕西区域总部制造基地。包括：绿色建筑制造工厂、绿色建筑展示中心、成套住宅部品部件制造中心、装备制造中心、数字化物流中心。</w:t>
            </w:r>
          </w:p>
          <w:p>
            <w:pPr>
              <w:spacing w:line="560" w:lineRule="exact"/>
              <w:ind w:firstLine="562"/>
              <w:rPr>
                <w:rFonts w:ascii="Times New Roman" w:eastAsia="宋体-PUA"/>
                <w:b/>
                <w:color w:val="000000"/>
                <w:sz w:val="28"/>
                <w:szCs w:val="28"/>
              </w:rPr>
            </w:pPr>
            <w:r>
              <w:rPr>
                <w:rFonts w:ascii="Times New Roman" w:eastAsia="宋体-PUA"/>
                <w:b/>
                <w:color w:val="000000"/>
                <w:sz w:val="28"/>
                <w:szCs w:val="28"/>
              </w:rPr>
              <w:t>步长医药工业园。投资20亿元，建设综合固定制剂、抗生素车间以及激素、抗癌药物、中成药、保健品及注射剂等生产线，形成年产片剂200亿片、胶囊400亿粒、注射剂5亿支的产能。</w:t>
            </w:r>
          </w:p>
          <w:p>
            <w:pPr>
              <w:adjustRightInd w:val="0"/>
              <w:snapToGrid w:val="0"/>
              <w:spacing w:line="560" w:lineRule="exact"/>
              <w:ind w:firstLine="562"/>
              <w:jc w:val="left"/>
              <w:rPr>
                <w:rFonts w:ascii="Times New Roman" w:eastAsia="宋体-PUA"/>
                <w:b/>
                <w:color w:val="000000"/>
                <w:sz w:val="28"/>
                <w:szCs w:val="28"/>
              </w:rPr>
            </w:pPr>
            <w:r>
              <w:rPr>
                <w:rFonts w:ascii="Times New Roman" w:eastAsia="宋体-PUA"/>
                <w:b/>
                <w:color w:val="000000"/>
                <w:sz w:val="28"/>
                <w:szCs w:val="28"/>
              </w:rPr>
              <w:t>乾县中瑞织造服装生产线建设项目。投资11.6亿元，建成年产200万套功能性服装的生产能力。</w:t>
            </w:r>
          </w:p>
          <w:p>
            <w:pPr>
              <w:adjustRightInd w:val="0"/>
              <w:snapToGrid w:val="0"/>
              <w:spacing w:line="560" w:lineRule="exact"/>
              <w:ind w:firstLine="586"/>
              <w:jc w:val="left"/>
              <w:rPr>
                <w:rFonts w:ascii="Times New Roman" w:eastAsia="宋体-PUA"/>
                <w:b/>
                <w:color w:val="000000"/>
                <w:spacing w:val="6"/>
                <w:sz w:val="28"/>
                <w:szCs w:val="28"/>
              </w:rPr>
            </w:pPr>
            <w:r>
              <w:rPr>
                <w:rFonts w:ascii="Times New Roman" w:eastAsia="宋体-PUA"/>
                <w:b/>
                <w:color w:val="000000"/>
                <w:spacing w:val="6"/>
                <w:sz w:val="28"/>
                <w:szCs w:val="28"/>
              </w:rPr>
              <w:t>秦都区迪赛生物药业公司搬迁扩产改造项目。投资11亿元，实施搬迁扩产改造。</w:t>
            </w:r>
          </w:p>
          <w:p>
            <w:pPr>
              <w:adjustRightInd w:val="0"/>
              <w:snapToGrid w:val="0"/>
              <w:spacing w:line="560" w:lineRule="exact"/>
              <w:ind w:firstLine="562"/>
              <w:jc w:val="left"/>
              <w:rPr>
                <w:rFonts w:ascii="Times New Roman" w:eastAsia="宋体-PUA"/>
                <w:b/>
                <w:color w:val="000000"/>
                <w:sz w:val="28"/>
                <w:szCs w:val="28"/>
              </w:rPr>
            </w:pPr>
            <w:r>
              <w:rPr>
                <w:rFonts w:ascii="Times New Roman" w:eastAsia="宋体-PUA"/>
                <w:b/>
                <w:color w:val="000000"/>
                <w:sz w:val="28"/>
                <w:szCs w:val="28"/>
              </w:rPr>
              <w:t>陕西恒康生物科技研究中心。投资10亿元，新建研究中心。</w:t>
            </w:r>
          </w:p>
          <w:p>
            <w:pPr>
              <w:adjustRightInd w:val="0"/>
              <w:snapToGrid w:val="0"/>
              <w:spacing w:line="560" w:lineRule="exact"/>
              <w:ind w:firstLine="562"/>
              <w:jc w:val="left"/>
              <w:rPr>
                <w:rFonts w:ascii="Times New Roman" w:eastAsia="宋体-PUA"/>
                <w:b/>
                <w:color w:val="000000"/>
                <w:sz w:val="28"/>
                <w:szCs w:val="28"/>
              </w:rPr>
            </w:pPr>
            <w:r>
              <w:rPr>
                <w:rFonts w:ascii="Times New Roman" w:eastAsia="宋体-PUA"/>
                <w:b/>
                <w:color w:val="000000"/>
                <w:sz w:val="28"/>
                <w:szCs w:val="28"/>
              </w:rPr>
              <w:t>京都防水材料生产项目。投资8亿元，建设一座集生产、科研为一体的现代化生产厂:其中科研楼一座、办公楼一座、职工宿舍楼一座、6条生产线车间、储备罐4栋、绿化3000平方米。</w:t>
            </w:r>
          </w:p>
          <w:p>
            <w:pPr>
              <w:spacing w:line="560" w:lineRule="exact"/>
              <w:ind w:firstLine="562"/>
              <w:rPr>
                <w:rFonts w:ascii="Times New Roman"/>
                <w:b/>
                <w:color w:val="000000"/>
                <w:sz w:val="28"/>
                <w:szCs w:val="28"/>
              </w:rPr>
            </w:pPr>
            <w:r>
              <w:rPr>
                <w:rFonts w:ascii="Times New Roman" w:eastAsia="宋体-PUA"/>
                <w:b/>
                <w:color w:val="000000"/>
                <w:sz w:val="28"/>
                <w:szCs w:val="28"/>
              </w:rPr>
              <w:t>艾尔菲再生医学创新产业园项目。投资7亿元，主要建设细胞培养厂房，生物活性化妆品原料生产厂房，生物活性化妆品成品生产厂房，化妆品研发基地，生物技术学院等。</w:t>
            </w:r>
          </w:p>
        </w:tc>
      </w:tr>
    </w:tbl>
    <w:p>
      <w:pPr>
        <w:spacing w:line="300" w:lineRule="exact"/>
        <w:ind w:firstLine="0" w:firstLineChars="0"/>
        <w:jc w:val="center"/>
        <w:rPr>
          <w:rFonts w:ascii="Times New Roman" w:eastAsia="宋体-PUA"/>
          <w:b/>
          <w:color w:val="000000"/>
          <w:sz w:val="32"/>
          <w:szCs w:val="32"/>
        </w:rPr>
      </w:pPr>
    </w:p>
    <w:p>
      <w:pPr>
        <w:spacing w:line="600" w:lineRule="exact"/>
        <w:ind w:firstLine="0" w:firstLineChars="0"/>
        <w:jc w:val="center"/>
        <w:rPr>
          <w:rFonts w:ascii="Times New Roman" w:eastAsia="宋体-PUA"/>
          <w:b/>
          <w:color w:val="000000"/>
          <w:sz w:val="32"/>
          <w:szCs w:val="32"/>
        </w:rPr>
      </w:pPr>
      <w:r>
        <w:rPr>
          <w:rFonts w:ascii="Times New Roman" w:eastAsia="宋体-PUA"/>
          <w:b/>
          <w:color w:val="000000"/>
          <w:sz w:val="32"/>
          <w:szCs w:val="32"/>
        </w:rPr>
        <w:t>第九节  建设质量强市和品牌强市</w:t>
      </w:r>
    </w:p>
    <w:p>
      <w:pPr>
        <w:pBdr>
          <w:bottom w:val="single" w:color="FFFFFF" w:sz="4" w:space="31"/>
        </w:pBdr>
        <w:spacing w:line="300" w:lineRule="exact"/>
        <w:ind w:firstLine="0" w:firstLineChars="0"/>
        <w:jc w:val="center"/>
        <w:rPr>
          <w:rFonts w:ascii="Times New Roman" w:eastAsia="黑体"/>
          <w:b/>
          <w:color w:val="000000"/>
          <w:sz w:val="32"/>
          <w:szCs w:val="32"/>
        </w:rPr>
      </w:pPr>
    </w:p>
    <w:p>
      <w:pPr>
        <w:pBdr>
          <w:bottom w:val="single" w:color="FFFFFF" w:sz="4" w:space="31"/>
        </w:pBdr>
        <w:spacing w:line="600" w:lineRule="exact"/>
        <w:ind w:firstLine="643"/>
        <w:rPr>
          <w:rFonts w:ascii="Times New Roman"/>
          <w:b/>
          <w:color w:val="000000"/>
          <w:sz w:val="32"/>
          <w:szCs w:val="32"/>
        </w:rPr>
      </w:pPr>
      <w:r>
        <w:rPr>
          <w:rFonts w:ascii="Times New Roman" w:eastAsia="楷体_GB2312"/>
          <w:b/>
          <w:color w:val="000000"/>
          <w:sz w:val="32"/>
          <w:szCs w:val="32"/>
        </w:rPr>
        <w:t>推广先进质量管理技术和方法。</w:t>
      </w:r>
      <w:r>
        <w:rPr>
          <w:rFonts w:ascii="Times New Roman"/>
          <w:b/>
          <w:color w:val="000000"/>
          <w:sz w:val="32"/>
          <w:szCs w:val="32"/>
        </w:rPr>
        <w:t>实施技术标准战略，开展质量标杆和领先企业示范活动，普及先进生产管理模式和方法。鼓励企业积极参与承担制定国家标准。</w:t>
      </w:r>
      <w:r>
        <w:rPr>
          <w:rFonts w:ascii="Times New Roman"/>
          <w:b/>
          <w:color w:val="000000"/>
          <w:spacing w:val="-8"/>
          <w:sz w:val="32"/>
          <w:szCs w:val="32"/>
        </w:rPr>
        <w:t>组织开展重点行业工艺优化行动，提升关键工艺过程控制水平。</w:t>
      </w:r>
    </w:p>
    <w:p>
      <w:pPr>
        <w:pBdr>
          <w:bottom w:val="single" w:color="FFFFFF" w:sz="4" w:space="31"/>
        </w:pBdr>
        <w:spacing w:line="600" w:lineRule="exact"/>
        <w:ind w:firstLine="643"/>
        <w:rPr>
          <w:rFonts w:ascii="Times New Roman"/>
          <w:b/>
          <w:color w:val="000000"/>
          <w:sz w:val="32"/>
          <w:szCs w:val="32"/>
        </w:rPr>
      </w:pPr>
      <w:r>
        <w:rPr>
          <w:rFonts w:ascii="Times New Roman" w:eastAsia="楷体_GB2312"/>
          <w:b/>
          <w:color w:val="000000"/>
          <w:sz w:val="32"/>
          <w:szCs w:val="32"/>
        </w:rPr>
        <w:t>加快提升产品质量。</w:t>
      </w:r>
      <w:r>
        <w:rPr>
          <w:rFonts w:ascii="Times New Roman"/>
          <w:b/>
          <w:color w:val="000000"/>
          <w:sz w:val="32"/>
          <w:szCs w:val="32"/>
        </w:rPr>
        <w:t>围绕全市产业发展重点领域，组织攻克一批长期困扰产品质量提升的关键共性质量技术，加强可靠性设计、试验与验证技术开发应用，推广采用先进成型和加工方法、在线检测装置、智能化生产和物流系统及检测设备等，使重点实物产品的性能稳定性、质量可靠性、环境适应性、使用寿命等指标达到国内同类产品先进水平。</w:t>
      </w:r>
    </w:p>
    <w:p>
      <w:pPr>
        <w:pBdr>
          <w:bottom w:val="single" w:color="FFFFFF" w:sz="4" w:space="31"/>
        </w:pBdr>
        <w:spacing w:line="600" w:lineRule="exact"/>
        <w:ind w:firstLine="643"/>
        <w:rPr>
          <w:rFonts w:ascii="Times New Roman"/>
          <w:b/>
          <w:color w:val="000000"/>
          <w:sz w:val="32"/>
          <w:szCs w:val="32"/>
        </w:rPr>
      </w:pPr>
      <w:r>
        <w:rPr>
          <w:rFonts w:ascii="Times New Roman" w:eastAsia="楷体_GB2312"/>
          <w:b/>
          <w:color w:val="000000"/>
          <w:sz w:val="32"/>
          <w:szCs w:val="32"/>
        </w:rPr>
        <w:t>实施品牌发展战略。</w:t>
      </w:r>
      <w:r>
        <w:rPr>
          <w:rFonts w:ascii="Times New Roman"/>
          <w:b/>
          <w:color w:val="000000"/>
          <w:sz w:val="32"/>
          <w:szCs w:val="32"/>
        </w:rPr>
        <w:t>支持企业制定品牌管理体系，围绕研发创新、工业设计、生产制造、质量管理和营销服务全过程，提升内在素质，夯实品牌发展基础。建设品牌文化，引导企业增强以质量和信誉为核心的品牌意识，着力打造一批代表咸阳形象、市场知名度高、竞争力强的名牌产品。</w:t>
      </w:r>
    </w:p>
    <w:p>
      <w:pPr>
        <w:pBdr>
          <w:bottom w:val="single" w:color="FFFFFF" w:sz="4" w:space="31"/>
        </w:pBdr>
        <w:spacing w:line="300" w:lineRule="exact"/>
        <w:ind w:firstLine="643"/>
        <w:rPr>
          <w:rFonts w:ascii="Times New Roman"/>
          <w:b/>
          <w:color w:val="000000"/>
          <w:sz w:val="32"/>
          <w:szCs w:val="32"/>
        </w:rPr>
      </w:pPr>
    </w:p>
    <w:p>
      <w:pPr>
        <w:pBdr>
          <w:bottom w:val="single" w:color="FFFFFF" w:sz="4" w:space="31"/>
        </w:pBdr>
        <w:spacing w:line="600" w:lineRule="exact"/>
        <w:ind w:firstLine="0" w:firstLineChars="0"/>
        <w:jc w:val="center"/>
        <w:rPr>
          <w:rFonts w:ascii="Times New Roman" w:eastAsia="宋体-PUA"/>
          <w:b/>
          <w:color w:val="000000"/>
          <w:sz w:val="32"/>
          <w:szCs w:val="32"/>
        </w:rPr>
      </w:pPr>
      <w:r>
        <w:rPr>
          <w:rFonts w:ascii="Times New Roman" w:eastAsia="宋体-PUA"/>
          <w:b/>
          <w:color w:val="000000"/>
          <w:sz w:val="32"/>
          <w:szCs w:val="32"/>
        </w:rPr>
        <w:t>第十节  促进大中小企业协调发展</w:t>
      </w:r>
    </w:p>
    <w:p>
      <w:pPr>
        <w:pBdr>
          <w:bottom w:val="single" w:color="FFFFFF" w:sz="4" w:space="31"/>
        </w:pBdr>
        <w:spacing w:line="300" w:lineRule="exact"/>
        <w:ind w:firstLine="643"/>
        <w:rPr>
          <w:rFonts w:ascii="Times New Roman" w:eastAsia="黑体"/>
          <w:b/>
          <w:color w:val="000000"/>
          <w:sz w:val="32"/>
          <w:szCs w:val="32"/>
        </w:rPr>
      </w:pPr>
      <w:r>
        <w:rPr>
          <w:rFonts w:ascii="Times New Roman" w:eastAsia="黑体"/>
          <w:b/>
          <w:color w:val="000000"/>
          <w:sz w:val="32"/>
          <w:szCs w:val="32"/>
        </w:rPr>
        <w:t xml:space="preserve"> </w:t>
      </w:r>
    </w:p>
    <w:p>
      <w:pPr>
        <w:pBdr>
          <w:bottom w:val="single" w:color="FFFFFF" w:sz="4" w:space="31"/>
        </w:pBdr>
        <w:spacing w:line="600" w:lineRule="exact"/>
        <w:ind w:firstLine="618"/>
        <w:rPr>
          <w:rFonts w:ascii="Times New Roman"/>
          <w:b/>
          <w:color w:val="000000"/>
          <w:sz w:val="32"/>
          <w:szCs w:val="32"/>
        </w:rPr>
      </w:pPr>
      <w:r>
        <w:rPr>
          <w:rFonts w:ascii="Times New Roman"/>
          <w:b/>
          <w:color w:val="000000"/>
          <w:spacing w:val="-6"/>
          <w:sz w:val="32"/>
          <w:szCs w:val="32"/>
        </w:rPr>
        <w:t>建</w:t>
      </w:r>
      <w:r>
        <w:rPr>
          <w:rFonts w:ascii="Times New Roman"/>
          <w:b/>
          <w:color w:val="000000"/>
          <w:sz w:val="32"/>
          <w:szCs w:val="32"/>
        </w:rPr>
        <w:t>立市域内企业协调发展机制体制，强化企业市场主体地位，支持企业间战略合作和跨行业、跨区域兼并重组，提高规模化、集约化经营水平，培育一批核心竞争力强的企业集团。激发中小企业创业创新活力，发展一批主营业务突出、竞争力强、成长性好、专注于细分市场的专业化“小巨人”企业。引导大企业与中小企业通过专业分工、服务外包、订单生产等多种方式，建立协同创新、合作共赢的协作关系。推动建设一批高水平的中小企业集群。</w:t>
      </w:r>
      <w:bookmarkStart w:id="10" w:name="_Toc439878077"/>
    </w:p>
    <w:p>
      <w:pPr>
        <w:pBdr>
          <w:bottom w:val="single" w:color="FFFFFF" w:sz="4" w:space="31"/>
        </w:pBdr>
        <w:spacing w:line="300" w:lineRule="exact"/>
        <w:ind w:firstLine="643"/>
        <w:rPr>
          <w:rFonts w:ascii="Times New Roman"/>
          <w:b/>
          <w:color w:val="000000"/>
          <w:sz w:val="32"/>
          <w:szCs w:val="32"/>
        </w:rPr>
      </w:pPr>
    </w:p>
    <w:p>
      <w:pPr>
        <w:pBdr>
          <w:bottom w:val="single" w:color="FFFFFF" w:sz="4" w:space="31"/>
        </w:pBdr>
        <w:spacing w:line="600" w:lineRule="exact"/>
        <w:ind w:firstLine="0" w:firstLineChars="0"/>
        <w:jc w:val="center"/>
        <w:rPr>
          <w:rFonts w:ascii="Times New Roman" w:eastAsia="黑体"/>
          <w:b/>
          <w:color w:val="000000"/>
          <w:kern w:val="0"/>
          <w:sz w:val="32"/>
          <w:szCs w:val="32"/>
        </w:rPr>
      </w:pPr>
      <w:r>
        <w:rPr>
          <w:rFonts w:ascii="Times New Roman" w:eastAsia="黑体"/>
          <w:b/>
          <w:color w:val="000000"/>
          <w:kern w:val="0"/>
          <w:sz w:val="32"/>
          <w:szCs w:val="32"/>
        </w:rPr>
        <w:t>第七章  培育现代服务业态</w:t>
      </w:r>
      <w:bookmarkEnd w:id="10"/>
    </w:p>
    <w:p>
      <w:pPr>
        <w:pBdr>
          <w:bottom w:val="single" w:color="FFFFFF" w:sz="4" w:space="31"/>
        </w:pBdr>
        <w:spacing w:line="300" w:lineRule="exact"/>
        <w:ind w:firstLine="643"/>
        <w:rPr>
          <w:rFonts w:ascii="Times New Roman"/>
          <w:b/>
          <w:color w:val="000000"/>
          <w:sz w:val="32"/>
          <w:szCs w:val="32"/>
        </w:rPr>
      </w:pPr>
    </w:p>
    <w:p>
      <w:pPr>
        <w:pBdr>
          <w:bottom w:val="single" w:color="FFFFFF" w:sz="4" w:space="31"/>
        </w:pBdr>
        <w:spacing w:line="600" w:lineRule="exact"/>
        <w:ind w:firstLine="643"/>
        <w:rPr>
          <w:rFonts w:ascii="Times New Roman"/>
          <w:b/>
          <w:color w:val="000000"/>
          <w:kern w:val="0"/>
          <w:sz w:val="32"/>
          <w:szCs w:val="32"/>
        </w:rPr>
      </w:pPr>
      <w:r>
        <w:rPr>
          <w:rFonts w:ascii="Times New Roman"/>
          <w:b/>
          <w:color w:val="000000"/>
          <w:kern w:val="0"/>
          <w:sz w:val="32"/>
          <w:szCs w:val="32"/>
        </w:rPr>
        <w:t>立足于咸阳优势特色，突出重点领域，以市场化、产业化、社会化、国际化为方向，推动生产性服务业向专业化和价值链高端延伸、生活性服务业向精细和高品质转变。到2020年，服务业占比达到35%以上，将咸阳打造成为大西安的商贸副中心、大西北物流中转枢纽。</w:t>
      </w:r>
    </w:p>
    <w:p>
      <w:pPr>
        <w:pBdr>
          <w:bottom w:val="single" w:color="FFFFFF" w:sz="4" w:space="31"/>
        </w:pBdr>
        <w:spacing w:line="300" w:lineRule="exact"/>
        <w:ind w:firstLine="643"/>
        <w:rPr>
          <w:rFonts w:ascii="Times New Roman"/>
          <w:b/>
          <w:color w:val="000000"/>
          <w:kern w:val="0"/>
          <w:sz w:val="32"/>
          <w:szCs w:val="32"/>
        </w:rPr>
      </w:pPr>
    </w:p>
    <w:p>
      <w:pPr>
        <w:numPr>
          <w:ilvl w:val="0"/>
          <w:numId w:val="5"/>
        </w:numPr>
        <w:pBdr>
          <w:bottom w:val="single" w:color="FFFFFF" w:sz="4" w:space="31"/>
        </w:pBdr>
        <w:spacing w:line="600" w:lineRule="exact"/>
        <w:ind w:firstLine="0" w:firstLineChars="0"/>
        <w:jc w:val="center"/>
        <w:rPr>
          <w:rFonts w:ascii="Times New Roman" w:eastAsia="宋体-PUA"/>
          <w:b/>
          <w:color w:val="000000"/>
          <w:sz w:val="32"/>
          <w:szCs w:val="32"/>
        </w:rPr>
      </w:pPr>
      <w:r>
        <w:rPr>
          <w:rFonts w:ascii="Times New Roman" w:eastAsia="宋体-PUA"/>
          <w:b/>
          <w:color w:val="000000"/>
          <w:sz w:val="32"/>
          <w:szCs w:val="32"/>
        </w:rPr>
        <w:t xml:space="preserve"> 旅游业</w:t>
      </w:r>
    </w:p>
    <w:p>
      <w:pPr>
        <w:pBdr>
          <w:bottom w:val="single" w:color="FFFFFF" w:sz="4" w:space="31"/>
        </w:pBdr>
        <w:spacing w:line="300" w:lineRule="exact"/>
        <w:ind w:firstLine="667"/>
        <w:rPr>
          <w:rFonts w:ascii="Times New Roman"/>
          <w:b/>
          <w:color w:val="000000"/>
          <w:spacing w:val="6"/>
          <w:sz w:val="32"/>
          <w:szCs w:val="32"/>
        </w:rPr>
      </w:pPr>
    </w:p>
    <w:p>
      <w:pPr>
        <w:pBdr>
          <w:bottom w:val="single" w:color="FFFFFF" w:sz="4" w:space="31"/>
        </w:pBdr>
        <w:spacing w:line="600" w:lineRule="exact"/>
        <w:ind w:firstLine="667"/>
        <w:rPr>
          <w:rFonts w:ascii="Times New Roman"/>
          <w:b/>
          <w:color w:val="000000"/>
          <w:spacing w:val="6"/>
          <w:sz w:val="32"/>
          <w:szCs w:val="32"/>
        </w:rPr>
      </w:pPr>
      <w:r>
        <w:rPr>
          <w:rFonts w:ascii="Times New Roman"/>
          <w:b/>
          <w:color w:val="000000"/>
          <w:spacing w:val="6"/>
          <w:sz w:val="32"/>
          <w:szCs w:val="32"/>
        </w:rPr>
        <w:t>挖掘咸阳历史文化、民俗文化、红色文化的特色和内涵，按照“一环两带三线”发展格局，加快文化与旅游的深度融合，加强旅游公共服务设施建设，推动旅游产品向观光、休闲、度假并重转变，将咸阳建成世界知名、国内一流、历史文化与现代文明交相辉映的文化旅游目的地。</w:t>
      </w:r>
    </w:p>
    <w:p>
      <w:pPr>
        <w:pBdr>
          <w:bottom w:val="single" w:color="FFFFFF" w:sz="4" w:space="31"/>
        </w:pBdr>
        <w:spacing w:line="600" w:lineRule="exact"/>
        <w:ind w:firstLine="667"/>
        <w:rPr>
          <w:rFonts w:ascii="Times New Roman"/>
          <w:b/>
          <w:color w:val="000000"/>
          <w:spacing w:val="6"/>
          <w:sz w:val="32"/>
          <w:szCs w:val="32"/>
        </w:rPr>
      </w:pPr>
      <w:r>
        <w:rPr>
          <w:rFonts w:ascii="Times New Roman"/>
          <w:b/>
          <w:color w:val="000000"/>
          <w:spacing w:val="6"/>
          <w:sz w:val="32"/>
          <w:szCs w:val="32"/>
        </w:rPr>
        <w:t>依托帝陵遗址、地热、生态、民俗资源，发展休闲度假旅游、乡村旅游、红色旅游、研学旅游等。依托丝绸之路历史文化资源，发展丝绸之路文化景观带，推动茂陵、平陵、昭陵、乾陵、大佛寺等景区建设，规划建设丝绸之路国际文化城、郑国渠水文化旅游产业园等项目。搭建咸阳旅游信息服务平台，健全“吃住行游购娱”产业链，创新旅游宣传和营销方式，建设“智慧旅游城市”。</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8844" w:type="dxa"/>
            <w:noWrap w:val="0"/>
            <w:vAlign w:val="top"/>
          </w:tcPr>
          <w:p>
            <w:pPr>
              <w:adjustRightInd w:val="0"/>
              <w:snapToGrid w:val="0"/>
              <w:spacing w:line="560" w:lineRule="exact"/>
              <w:ind w:firstLine="0" w:firstLineChars="0"/>
              <w:jc w:val="center"/>
              <w:rPr>
                <w:rFonts w:ascii="Times New Roman" w:eastAsia="黑体"/>
                <w:b/>
                <w:color w:val="000000"/>
                <w:sz w:val="28"/>
                <w:szCs w:val="28"/>
              </w:rPr>
            </w:pPr>
          </w:p>
          <w:p>
            <w:pPr>
              <w:spacing w:line="560" w:lineRule="exact"/>
              <w:ind w:firstLine="0" w:firstLineChars="0"/>
              <w:jc w:val="center"/>
              <w:rPr>
                <w:rFonts w:ascii="Times New Roman" w:eastAsia="黑体"/>
                <w:b/>
                <w:color w:val="000000"/>
                <w:sz w:val="32"/>
                <w:szCs w:val="32"/>
              </w:rPr>
            </w:pPr>
            <w:r>
              <w:rPr>
                <w:rFonts w:ascii="Times New Roman" w:eastAsia="黑体"/>
                <w:b/>
                <w:color w:val="000000"/>
                <w:sz w:val="32"/>
                <w:szCs w:val="32"/>
              </w:rPr>
              <w:t>专栏2-7  文化旅游业重点项目</w:t>
            </w:r>
          </w:p>
          <w:p>
            <w:pPr>
              <w:spacing w:line="560" w:lineRule="exact"/>
              <w:ind w:firstLine="0" w:firstLineChars="0"/>
              <w:jc w:val="center"/>
              <w:rPr>
                <w:rFonts w:ascii="Times New Roman" w:eastAsia="黑体"/>
                <w:b/>
                <w:color w:val="000000"/>
                <w:sz w:val="28"/>
                <w:szCs w:val="28"/>
              </w:rPr>
            </w:pPr>
          </w:p>
          <w:p>
            <w:pPr>
              <w:spacing w:line="520" w:lineRule="exact"/>
              <w:ind w:firstLine="562"/>
              <w:rPr>
                <w:rFonts w:ascii="Times New Roman" w:eastAsia="宋体-PUA"/>
                <w:b/>
                <w:color w:val="000000"/>
                <w:sz w:val="28"/>
                <w:szCs w:val="28"/>
              </w:rPr>
            </w:pPr>
            <w:r>
              <w:rPr>
                <w:rFonts w:ascii="Times New Roman" w:eastAsia="宋体-PUA"/>
                <w:b/>
                <w:color w:val="000000"/>
                <w:sz w:val="28"/>
                <w:szCs w:val="28"/>
              </w:rPr>
              <w:t>历史文化旅游。依托历史文化资源，综合开发集文化遗产观光、休闲、体验为一体的旅游产品，重点建设汉唐帝陵旅游景区、乾陵大景区、彬县大佛寺景区、马嵬驿景区、安吴红色园区、昭陵—袁家景区、长武县昭仁寺景区项目、礼泉县烽火红色旅游景区</w:t>
            </w:r>
            <w:r>
              <w:rPr>
                <w:rFonts w:hint="eastAsia" w:ascii="Times New Roman" w:eastAsia="宋体-PUA"/>
                <w:b/>
                <w:color w:val="000000"/>
                <w:sz w:val="28"/>
                <w:szCs w:val="28"/>
              </w:rPr>
              <w:t>、</w:t>
            </w:r>
            <w:r>
              <w:rPr>
                <w:rFonts w:ascii="Times New Roman" w:eastAsia="宋体-PUA"/>
                <w:b/>
                <w:color w:val="000000"/>
                <w:sz w:val="28"/>
                <w:szCs w:val="28"/>
              </w:rPr>
              <w:t>郑国渠国家水利风景区、丝绸之路葡萄酒博物馆、房玄龄等王侯将相文化旅游等项目。</w:t>
            </w:r>
          </w:p>
          <w:p>
            <w:pPr>
              <w:spacing w:line="520" w:lineRule="exact"/>
              <w:ind w:firstLine="562"/>
              <w:rPr>
                <w:rFonts w:ascii="Times New Roman" w:eastAsia="宋体-PUA"/>
                <w:b/>
                <w:color w:val="000000"/>
                <w:sz w:val="28"/>
                <w:szCs w:val="28"/>
              </w:rPr>
            </w:pPr>
            <w:r>
              <w:rPr>
                <w:rFonts w:ascii="Times New Roman" w:eastAsia="宋体-PUA"/>
                <w:b/>
                <w:color w:val="000000"/>
                <w:sz w:val="28"/>
                <w:szCs w:val="28"/>
              </w:rPr>
              <w:t>乡村民俗旅游。依托区位条件、资源特色和市场需求，挖掘文化内涵，发挥生态优势，突出乡村特点，开发一批形式多样、特点鲜明的乡村旅游产品，积极发展民俗旅游。重点提升袁家村、马嵬驿、龙泉山庄发展档次，发展乡村度假，建设东仪农庄、云集生态园、张家窑生态园、柏社地窑开发项目、爷台山庄、东黄小镇、泥河谷博物馆小镇、黄土地二期工程、长武县丝路驿站文化旅游区、中华好玩城等。</w:t>
            </w:r>
          </w:p>
          <w:p>
            <w:pPr>
              <w:spacing w:line="520" w:lineRule="exact"/>
              <w:ind w:firstLine="562"/>
              <w:rPr>
                <w:rFonts w:ascii="Times New Roman" w:eastAsia="宋体-PUA"/>
                <w:b/>
                <w:color w:val="000000"/>
                <w:sz w:val="28"/>
                <w:szCs w:val="28"/>
              </w:rPr>
            </w:pPr>
            <w:r>
              <w:rPr>
                <w:rFonts w:ascii="Times New Roman" w:eastAsia="宋体-PUA"/>
                <w:b/>
                <w:color w:val="000000"/>
                <w:sz w:val="28"/>
                <w:szCs w:val="28"/>
              </w:rPr>
              <w:t>休闲度假旅游。进一步丰富侍郎湖、石门山森林公园等景区游览内容，提高景区吸引力。利用地热资源、生态资源，发挥中医药优势，打造健康旅游产品，重点实施咸阳地热城提升改造、永寿颐和生态园、三原嵯峨山森林公园（天齐葡萄酒庄）、长武县公刘湖古优风情体验园、淳化太极养生文化园等项目。</w:t>
            </w:r>
          </w:p>
          <w:p>
            <w:pPr>
              <w:spacing w:line="520" w:lineRule="exact"/>
              <w:ind w:firstLine="562"/>
              <w:rPr>
                <w:rFonts w:ascii="Times New Roman" w:eastAsia="宋体-PUA"/>
                <w:b/>
                <w:color w:val="000000"/>
                <w:sz w:val="28"/>
                <w:szCs w:val="28"/>
              </w:rPr>
            </w:pPr>
            <w:r>
              <w:rPr>
                <w:rFonts w:ascii="Times New Roman" w:eastAsia="宋体-PUA"/>
                <w:b/>
                <w:color w:val="000000"/>
                <w:sz w:val="28"/>
                <w:szCs w:val="28"/>
              </w:rPr>
              <w:t>旅游小镇建设。结合新型城镇化建设，打造以武功县武功镇、永寿县永平镇、淳化葡萄风情小镇、乾县大唐丝绸之路风情小镇、长武县亭口古镇、大佛寺特色小镇、泾阳茯茶镇、礼泉县烽火镇、旬邑马栏红色小镇、旬邑绿野古镇、永寿丝路风情古镇、新兴纺织工业园丝路之源小镇为代表的旅游基础设施完善、服务功能齐全、生态环境优美、文化特色鲜明的旅游名镇。</w:t>
            </w:r>
          </w:p>
          <w:p>
            <w:pPr>
              <w:spacing w:line="520" w:lineRule="exact"/>
              <w:ind w:firstLine="562"/>
              <w:rPr>
                <w:rFonts w:ascii="Times New Roman"/>
                <w:b/>
                <w:color w:val="000000"/>
                <w:sz w:val="28"/>
                <w:szCs w:val="28"/>
              </w:rPr>
            </w:pPr>
            <w:r>
              <w:rPr>
                <w:rFonts w:ascii="Times New Roman" w:eastAsia="宋体-PUA"/>
                <w:b/>
                <w:color w:val="000000"/>
                <w:sz w:val="28"/>
                <w:szCs w:val="28"/>
              </w:rPr>
              <w:t>标准化建设。培育一批旅游经济大县，力争旬邑县、泾阳县进入陕西省旅游示范县行列。重点提升现有景区等级，乾陵景区创建为国家5A级景区，昭陵——袁家大景区启动创建国家5A级景区工作。石门山森林公园、大佛寺景区、郑国渠水利风景区、侍郎湖景区、乐华城、咸阳博物院创建为国家4A级景区。</w:t>
            </w:r>
          </w:p>
        </w:tc>
      </w:tr>
    </w:tbl>
    <w:p>
      <w:pPr>
        <w:pBdr>
          <w:bottom w:val="single" w:color="FFFFFF" w:sz="4" w:space="31"/>
        </w:pBdr>
        <w:spacing w:line="300" w:lineRule="exact"/>
        <w:ind w:firstLine="667"/>
        <w:rPr>
          <w:rFonts w:ascii="Times New Roman"/>
          <w:b/>
          <w:color w:val="000000"/>
          <w:spacing w:val="6"/>
          <w:sz w:val="32"/>
          <w:szCs w:val="32"/>
        </w:rPr>
      </w:pPr>
      <w:r>
        <w:rPr>
          <w:rFonts w:ascii="Times New Roman"/>
          <w:b/>
          <w:color w:val="000000"/>
          <w:spacing w:val="6"/>
          <w:sz w:val="32"/>
          <w:szCs w:val="32"/>
        </w:rPr>
        <w:br w:type="page"/>
      </w:r>
    </w:p>
    <w:p>
      <w:pPr>
        <w:pBdr>
          <w:bottom w:val="single" w:color="FFFFFF" w:sz="4" w:space="31"/>
        </w:pBdr>
        <w:spacing w:line="600" w:lineRule="exact"/>
        <w:ind w:firstLine="0" w:firstLineChars="0"/>
        <w:jc w:val="center"/>
        <w:rPr>
          <w:rFonts w:ascii="Times New Roman" w:eastAsia="宋体-PUA"/>
          <w:b/>
          <w:color w:val="000000"/>
          <w:sz w:val="32"/>
          <w:szCs w:val="32"/>
        </w:rPr>
      </w:pPr>
      <w:r>
        <w:rPr>
          <w:rFonts w:ascii="Times New Roman" w:eastAsia="宋体-PUA"/>
          <w:b/>
          <w:color w:val="000000"/>
          <w:sz w:val="32"/>
          <w:szCs w:val="32"/>
        </w:rPr>
        <w:t>第二节  现代物流业</w:t>
      </w:r>
    </w:p>
    <w:p>
      <w:pPr>
        <w:pBdr>
          <w:bottom w:val="single" w:color="FFFFFF" w:sz="4" w:space="31"/>
        </w:pBdr>
        <w:spacing w:line="300" w:lineRule="exact"/>
        <w:ind w:firstLine="643"/>
        <w:rPr>
          <w:rFonts w:ascii="Times New Roman"/>
          <w:b/>
          <w:color w:val="000000"/>
          <w:sz w:val="32"/>
          <w:szCs w:val="32"/>
        </w:rPr>
      </w:pPr>
    </w:p>
    <w:p>
      <w:pPr>
        <w:pBdr>
          <w:bottom w:val="single" w:color="FFFFFF" w:sz="4" w:space="31"/>
        </w:pBdr>
        <w:spacing w:line="600" w:lineRule="exact"/>
        <w:ind w:firstLine="643"/>
        <w:rPr>
          <w:rFonts w:ascii="Times New Roman"/>
          <w:b/>
          <w:color w:val="000000"/>
          <w:sz w:val="32"/>
          <w:szCs w:val="32"/>
        </w:rPr>
      </w:pPr>
      <w:r>
        <w:rPr>
          <w:rFonts w:ascii="Times New Roman"/>
          <w:b/>
          <w:color w:val="000000"/>
          <w:sz w:val="32"/>
          <w:szCs w:val="32"/>
        </w:rPr>
        <w:t>充分发挥咸阳交通节点优势和集聚辐射功能，着力推进咸阳现代物流业一体化、融合化、信息化、标准化发展。</w:t>
      </w:r>
    </w:p>
    <w:p>
      <w:pPr>
        <w:pBdr>
          <w:bottom w:val="single" w:color="FFFFFF" w:sz="4" w:space="31"/>
        </w:pBdr>
        <w:spacing w:line="600" w:lineRule="exact"/>
        <w:ind w:firstLine="640"/>
        <w:rPr>
          <w:rFonts w:ascii="Times New Roman"/>
          <w:b/>
          <w:color w:val="000000"/>
          <w:spacing w:val="-7"/>
          <w:sz w:val="32"/>
          <w:szCs w:val="32"/>
        </w:rPr>
      </w:pPr>
      <w:r>
        <w:rPr>
          <w:rFonts w:ascii="Times New Roman" w:eastAsia="楷体"/>
          <w:b/>
          <w:color w:val="000000"/>
          <w:sz w:val="32"/>
          <w:szCs w:val="32"/>
        </w:rPr>
        <w:t>形成合理的物流业发展格局。</w:t>
      </w:r>
      <w:r>
        <w:rPr>
          <w:rFonts w:ascii="Times New Roman"/>
          <w:b/>
          <w:color w:val="000000"/>
          <w:sz w:val="32"/>
          <w:szCs w:val="32"/>
        </w:rPr>
        <w:t>到2020年，建成“一个核心、三个节点、五大园区、七大中心”。一个核心，即将我市打造成国家级物流节点城市，建立铁路、公路、航空与信息化相结合的立体物流网络核心基地。三个节点，即以彬县、三原县、乾县为市级区域节点的扇形产业物流布局，形成三个特色现代物流业集聚区。五个园区，即陕西省电子商务示范园、高新产业物流园（高新区）、大西安国际商贸物流园（三原县）、西咸综合物流园（乾县）、咸阳国际果品物流商贸园（礼泉县），实现市域、县域物流资源的聚集。七个中心，即包括装备制造业物流中心、纺织服装物流中心、医药物流中心、食品加工物流中心、电</w:t>
      </w:r>
      <w:r>
        <w:rPr>
          <w:rFonts w:ascii="Times New Roman"/>
          <w:b/>
          <w:color w:val="000000"/>
          <w:spacing w:val="-7"/>
          <w:sz w:val="32"/>
          <w:szCs w:val="32"/>
        </w:rPr>
        <w:t>子信息物流中心、电子商务物流中心、临空产业物流中心。</w:t>
      </w:r>
    </w:p>
    <w:p>
      <w:pPr>
        <w:pBdr>
          <w:bottom w:val="single" w:color="FFFFFF" w:sz="4" w:space="31"/>
        </w:pBdr>
        <w:spacing w:line="600" w:lineRule="exact"/>
        <w:ind w:firstLine="640"/>
        <w:rPr>
          <w:rFonts w:ascii="Times New Roman"/>
          <w:b/>
          <w:color w:val="000000"/>
          <w:sz w:val="32"/>
          <w:szCs w:val="32"/>
        </w:rPr>
      </w:pPr>
      <w:r>
        <w:rPr>
          <w:rFonts w:ascii="Times New Roman" w:eastAsia="楷体"/>
          <w:b/>
          <w:color w:val="000000"/>
          <w:sz w:val="32"/>
          <w:szCs w:val="32"/>
        </w:rPr>
        <w:t>谋划实施物流重点项目。</w:t>
      </w:r>
      <w:r>
        <w:rPr>
          <w:rFonts w:ascii="Times New Roman"/>
          <w:b/>
          <w:color w:val="000000"/>
          <w:sz w:val="32"/>
          <w:szCs w:val="32"/>
        </w:rPr>
        <w:t>围绕支撑产业和城市发展，在物流通道建设、综合物流园区、新兴业态发展等领域，建设一批具有引领作用、完善产业服务体系的重大项目。重点实施大西安（咸阳）文体功能区丝绸之路公路港、咸阳汽车商贸物流园、咸阳宝湾国际物流等一批重大物流项目。</w:t>
      </w:r>
    </w:p>
    <w:p>
      <w:pPr>
        <w:pBdr>
          <w:bottom w:val="single" w:color="FFFFFF" w:sz="4" w:space="31"/>
        </w:pBdr>
        <w:spacing w:line="600" w:lineRule="exact"/>
        <w:ind w:firstLine="640"/>
        <w:rPr>
          <w:rFonts w:ascii="Times New Roman"/>
          <w:b/>
          <w:color w:val="000000"/>
          <w:sz w:val="32"/>
          <w:szCs w:val="32"/>
        </w:rPr>
      </w:pPr>
      <w:r>
        <w:rPr>
          <w:rFonts w:ascii="Times New Roman" w:eastAsia="楷体"/>
          <w:b/>
          <w:color w:val="000000"/>
          <w:sz w:val="32"/>
          <w:szCs w:val="32"/>
        </w:rPr>
        <w:t>加快培育壮大物流企业。</w:t>
      </w:r>
      <w:r>
        <w:rPr>
          <w:rFonts w:ascii="Times New Roman"/>
          <w:b/>
          <w:color w:val="000000"/>
          <w:sz w:val="32"/>
          <w:szCs w:val="32"/>
        </w:rPr>
        <w:t>积极吸引国际、国内龙头物流、快递企业在我市设立西北总部或者中心机构，鼓励我市物流企业通过参股控股、兼并重组、协作联盟等方式做大做强，加快形成一批管理先进、具有市场竞争力的现代物流企业。</w:t>
      </w:r>
    </w:p>
    <w:p>
      <w:pPr>
        <w:pBdr>
          <w:bottom w:val="single" w:color="FFFFFF" w:sz="4" w:space="31"/>
        </w:pBdr>
        <w:spacing w:line="600" w:lineRule="exact"/>
        <w:ind w:firstLine="614"/>
        <w:rPr>
          <w:rFonts w:ascii="Times New Roman"/>
          <w:b/>
          <w:color w:val="000000"/>
          <w:spacing w:val="-7"/>
          <w:sz w:val="32"/>
          <w:szCs w:val="32"/>
        </w:rPr>
      </w:pPr>
      <w:r>
        <w:rPr>
          <w:rFonts w:ascii="Times New Roman"/>
          <w:b/>
          <w:color w:val="000000"/>
          <w:spacing w:val="-7"/>
          <w:sz w:val="32"/>
          <w:szCs w:val="32"/>
        </w:rPr>
        <w:t>到2020年，全市基本建立体系完整、布局合理、技术先进、绿色环保、安全高效的现代物流服务网络体系，形成国际国内物流同步、实体虚拟物流融合、制造物流联动发展的新格局。</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1" w:hRule="atLeast"/>
          <w:jc w:val="center"/>
        </w:trPr>
        <w:tc>
          <w:tcPr>
            <w:tcW w:w="8844" w:type="dxa"/>
            <w:noWrap w:val="0"/>
            <w:vAlign w:val="top"/>
          </w:tcPr>
          <w:p>
            <w:pPr>
              <w:tabs>
                <w:tab w:val="left" w:pos="1020"/>
              </w:tabs>
              <w:spacing w:line="560" w:lineRule="exact"/>
              <w:ind w:firstLine="0" w:firstLineChars="0"/>
              <w:jc w:val="center"/>
              <w:rPr>
                <w:rFonts w:ascii="Times New Roman" w:eastAsia="黑体"/>
                <w:b/>
                <w:color w:val="000000"/>
                <w:kern w:val="0"/>
                <w:sz w:val="28"/>
                <w:szCs w:val="28"/>
              </w:rPr>
            </w:pPr>
          </w:p>
          <w:p>
            <w:pPr>
              <w:tabs>
                <w:tab w:val="left" w:pos="1020"/>
              </w:tabs>
              <w:spacing w:line="560" w:lineRule="exact"/>
              <w:ind w:firstLine="0" w:firstLineChars="0"/>
              <w:jc w:val="center"/>
              <w:rPr>
                <w:rFonts w:ascii="Times New Roman" w:eastAsia="黑体"/>
                <w:b/>
                <w:color w:val="000000"/>
                <w:kern w:val="0"/>
                <w:sz w:val="32"/>
                <w:szCs w:val="32"/>
              </w:rPr>
            </w:pPr>
            <w:r>
              <w:rPr>
                <w:rFonts w:ascii="Times New Roman" w:eastAsia="黑体"/>
                <w:b/>
                <w:color w:val="000000"/>
                <w:kern w:val="0"/>
                <w:sz w:val="32"/>
                <w:szCs w:val="32"/>
              </w:rPr>
              <w:t>专栏2-8  物流业重点项目</w:t>
            </w:r>
          </w:p>
          <w:p>
            <w:pPr>
              <w:tabs>
                <w:tab w:val="left" w:pos="1020"/>
              </w:tabs>
              <w:spacing w:line="560" w:lineRule="exact"/>
              <w:ind w:firstLine="0" w:firstLineChars="0"/>
              <w:jc w:val="center"/>
              <w:rPr>
                <w:rFonts w:ascii="Times New Roman" w:eastAsia="黑体"/>
                <w:b/>
                <w:color w:val="000000"/>
                <w:kern w:val="0"/>
                <w:sz w:val="28"/>
                <w:szCs w:val="28"/>
              </w:rPr>
            </w:pPr>
          </w:p>
          <w:p>
            <w:pPr>
              <w:adjustRightInd w:val="0"/>
              <w:snapToGrid w:val="0"/>
              <w:spacing w:line="520" w:lineRule="exact"/>
              <w:ind w:firstLine="562"/>
              <w:jc w:val="left"/>
              <w:rPr>
                <w:rFonts w:ascii="Times New Roman" w:eastAsia="宋体-PUA"/>
                <w:b/>
                <w:color w:val="000000"/>
                <w:sz w:val="28"/>
                <w:szCs w:val="28"/>
              </w:rPr>
            </w:pPr>
            <w:r>
              <w:rPr>
                <w:rFonts w:ascii="Times New Roman" w:eastAsia="宋体-PUA"/>
                <w:b/>
                <w:color w:val="000000"/>
                <w:sz w:val="28"/>
                <w:szCs w:val="28"/>
              </w:rPr>
              <w:t>咸阳航空物流基地。投资302.5亿元，在乾县、永寿县谋划建设航空货运机场，综合产值2000到3000亿元。</w:t>
            </w:r>
          </w:p>
          <w:p>
            <w:pPr>
              <w:adjustRightInd w:val="0"/>
              <w:snapToGrid w:val="0"/>
              <w:spacing w:line="520" w:lineRule="exact"/>
              <w:ind w:firstLine="562"/>
              <w:jc w:val="left"/>
              <w:rPr>
                <w:rFonts w:ascii="Times New Roman" w:eastAsia="宋体-PUA"/>
                <w:b/>
                <w:color w:val="000000"/>
                <w:sz w:val="28"/>
                <w:szCs w:val="28"/>
              </w:rPr>
            </w:pPr>
            <w:r>
              <w:rPr>
                <w:rFonts w:ascii="Times New Roman" w:eastAsia="宋体-PUA"/>
                <w:b/>
                <w:color w:val="000000"/>
                <w:sz w:val="28"/>
                <w:szCs w:val="28"/>
              </w:rPr>
              <w:t>秦都区马庄商贸物流园。投资220亿元，占地约1.65万亩，功能定位以商品转运、流通配送、商品加工为一体的综合贸易型物流园区。</w:t>
            </w:r>
          </w:p>
          <w:p>
            <w:pPr>
              <w:adjustRightInd w:val="0"/>
              <w:snapToGrid w:val="0"/>
              <w:spacing w:line="520" w:lineRule="exact"/>
              <w:ind w:firstLine="562"/>
              <w:jc w:val="left"/>
              <w:rPr>
                <w:rFonts w:ascii="Times New Roman" w:eastAsia="宋体-PUA"/>
                <w:b/>
                <w:color w:val="000000"/>
                <w:sz w:val="28"/>
                <w:szCs w:val="28"/>
              </w:rPr>
            </w:pPr>
            <w:r>
              <w:rPr>
                <w:rFonts w:ascii="Times New Roman" w:eastAsia="宋体-PUA"/>
                <w:b/>
                <w:color w:val="000000"/>
                <w:sz w:val="28"/>
                <w:szCs w:val="28"/>
              </w:rPr>
              <w:t>咸阳汽车商贸物流园。投资205.5亿元，主要建设汽车物流配送、销售展示、商务会展、汽车4S店等。</w:t>
            </w:r>
          </w:p>
          <w:p>
            <w:pPr>
              <w:adjustRightInd w:val="0"/>
              <w:snapToGrid w:val="0"/>
              <w:spacing w:line="520" w:lineRule="exact"/>
              <w:ind w:firstLine="562"/>
              <w:jc w:val="left"/>
              <w:rPr>
                <w:rFonts w:ascii="Times New Roman" w:eastAsia="宋体-PUA"/>
                <w:b/>
                <w:color w:val="000000"/>
                <w:sz w:val="28"/>
                <w:szCs w:val="28"/>
              </w:rPr>
            </w:pPr>
            <w:r>
              <w:rPr>
                <w:rFonts w:ascii="Times New Roman" w:eastAsia="宋体-PUA"/>
                <w:b/>
                <w:color w:val="000000"/>
                <w:sz w:val="28"/>
                <w:szCs w:val="28"/>
              </w:rPr>
              <w:t>大西安（三原）国际商贸物流园。投资200亿元，规划在三原县清峪河南部建设，重点发展轻工产品商贸及承接东部轻工产业转移。</w:t>
            </w:r>
          </w:p>
          <w:p>
            <w:pPr>
              <w:adjustRightInd w:val="0"/>
              <w:snapToGrid w:val="0"/>
              <w:spacing w:line="520" w:lineRule="exact"/>
              <w:ind w:firstLine="562"/>
              <w:jc w:val="left"/>
              <w:rPr>
                <w:rFonts w:ascii="Times New Roman" w:eastAsia="宋体-PUA"/>
                <w:b/>
                <w:color w:val="000000"/>
                <w:sz w:val="28"/>
                <w:szCs w:val="28"/>
              </w:rPr>
            </w:pPr>
            <w:r>
              <w:rPr>
                <w:rFonts w:ascii="Times New Roman" w:eastAsia="宋体-PUA"/>
                <w:b/>
                <w:color w:val="000000"/>
                <w:sz w:val="28"/>
                <w:szCs w:val="28"/>
              </w:rPr>
              <w:t>陕西商储丝路物流园项目。陕西省商业储运总公司投资60亿元，项目总用地3000亩，主要建设内容为“一个服务总部，两个物流基地，三个交易中心”，即构建现代物流服务总部，现代综合冷链物流基地，公路港物流基地，农产品交易展示中心、现代医药物流采购交易中心和电子商务交易中心。</w:t>
            </w:r>
          </w:p>
          <w:p>
            <w:pPr>
              <w:adjustRightInd w:val="0"/>
              <w:snapToGrid w:val="0"/>
              <w:spacing w:line="520" w:lineRule="exact"/>
              <w:ind w:firstLine="562"/>
              <w:jc w:val="left"/>
              <w:rPr>
                <w:rFonts w:ascii="Times New Roman" w:eastAsia="宋体-PUA"/>
                <w:b/>
                <w:color w:val="000000"/>
                <w:sz w:val="28"/>
                <w:szCs w:val="28"/>
              </w:rPr>
            </w:pPr>
            <w:r>
              <w:rPr>
                <w:rFonts w:ascii="Times New Roman" w:eastAsia="宋体-PUA"/>
                <w:b/>
                <w:color w:val="000000"/>
                <w:sz w:val="28"/>
                <w:szCs w:val="28"/>
              </w:rPr>
              <w:t>西棉东调棉产品加工集散基地示范项目。投资35亿元，主要建设西部地区棉产品储备库、棉产品交易中心、纺织工业园区基础设施工程、功能、卫生、药用棉工业园区，棉花产品回收再利用研究中心等。</w:t>
            </w:r>
          </w:p>
          <w:p>
            <w:pPr>
              <w:adjustRightInd w:val="0"/>
              <w:snapToGrid w:val="0"/>
              <w:spacing w:line="520" w:lineRule="exact"/>
              <w:ind w:firstLine="562"/>
              <w:jc w:val="left"/>
              <w:rPr>
                <w:rFonts w:ascii="Times New Roman" w:eastAsia="宋体-PUA"/>
                <w:b/>
                <w:color w:val="000000"/>
                <w:sz w:val="28"/>
                <w:szCs w:val="28"/>
              </w:rPr>
            </w:pPr>
            <w:r>
              <w:rPr>
                <w:rFonts w:ascii="Times New Roman" w:eastAsia="宋体-PUA"/>
                <w:b/>
                <w:color w:val="000000"/>
                <w:sz w:val="28"/>
                <w:szCs w:val="28"/>
              </w:rPr>
              <w:t>中轻西北国际商贸物流城项目。投资30亿元，占地300亩。主要建设电子商务产业园的仓储物流配送中心、快递分拨中心、电商办公大厦及生活配套设施等。</w:t>
            </w:r>
          </w:p>
          <w:p>
            <w:pPr>
              <w:adjustRightInd w:val="0"/>
              <w:snapToGrid w:val="0"/>
              <w:spacing w:line="520" w:lineRule="exact"/>
              <w:ind w:firstLine="562"/>
              <w:jc w:val="left"/>
              <w:rPr>
                <w:rFonts w:ascii="Times New Roman" w:eastAsia="宋体-PUA"/>
                <w:b/>
                <w:color w:val="000000"/>
                <w:sz w:val="28"/>
                <w:szCs w:val="28"/>
              </w:rPr>
            </w:pPr>
            <w:r>
              <w:rPr>
                <w:rFonts w:ascii="Times New Roman" w:eastAsia="宋体-PUA"/>
                <w:b/>
                <w:color w:val="000000"/>
                <w:sz w:val="28"/>
                <w:szCs w:val="28"/>
              </w:rPr>
              <w:t>丝绸之路国际物流贸易中心。总投资30亿元，拟建商品物流、仓储、交易、结算及相关配套设施。</w:t>
            </w:r>
          </w:p>
          <w:p>
            <w:pPr>
              <w:adjustRightInd w:val="0"/>
              <w:snapToGrid w:val="0"/>
              <w:spacing w:line="520" w:lineRule="exact"/>
              <w:ind w:firstLine="562"/>
              <w:jc w:val="left"/>
              <w:rPr>
                <w:rFonts w:ascii="Times New Roman" w:eastAsia="宋体-PUA"/>
                <w:b/>
                <w:color w:val="000000"/>
                <w:sz w:val="28"/>
                <w:szCs w:val="28"/>
              </w:rPr>
            </w:pPr>
            <w:r>
              <w:rPr>
                <w:rFonts w:ascii="Times New Roman" w:eastAsia="宋体-PUA"/>
                <w:b/>
                <w:color w:val="000000"/>
                <w:sz w:val="28"/>
                <w:szCs w:val="28"/>
              </w:rPr>
              <w:t>西部核心物流基地。投资21亿元，建设各类专业市场、成品交易和半成品交易中心以及农副产品交易中心。</w:t>
            </w:r>
          </w:p>
          <w:p>
            <w:pPr>
              <w:adjustRightInd w:val="0"/>
              <w:snapToGrid w:val="0"/>
              <w:spacing w:line="520" w:lineRule="exact"/>
              <w:ind w:firstLine="562"/>
              <w:jc w:val="left"/>
              <w:rPr>
                <w:rFonts w:ascii="Times New Roman" w:eastAsia="宋体-PUA"/>
                <w:b/>
                <w:color w:val="000000"/>
                <w:sz w:val="28"/>
                <w:szCs w:val="28"/>
              </w:rPr>
            </w:pPr>
            <w:r>
              <w:rPr>
                <w:rFonts w:ascii="Times New Roman" w:eastAsia="宋体-PUA"/>
                <w:b/>
                <w:color w:val="000000"/>
                <w:sz w:val="28"/>
                <w:szCs w:val="28"/>
              </w:rPr>
              <w:t>长武义乌商贸物流城。投资16.78亿元，主要建设昭仁古镇文化旅游街、商贸展销城、物流配送中心、汽车客运服务中心和生活经营配套设施等，总建筑面积191020平方米。</w:t>
            </w:r>
          </w:p>
          <w:p>
            <w:pPr>
              <w:adjustRightInd w:val="0"/>
              <w:snapToGrid w:val="0"/>
              <w:spacing w:line="520" w:lineRule="exact"/>
              <w:ind w:firstLine="562"/>
              <w:jc w:val="left"/>
              <w:rPr>
                <w:rFonts w:ascii="Times New Roman" w:eastAsia="宋体-PUA"/>
                <w:b/>
                <w:color w:val="000000"/>
                <w:sz w:val="28"/>
                <w:szCs w:val="28"/>
              </w:rPr>
            </w:pPr>
            <w:r>
              <w:rPr>
                <w:rFonts w:ascii="Times New Roman" w:eastAsia="宋体-PUA"/>
                <w:b/>
                <w:color w:val="000000"/>
                <w:sz w:val="28"/>
                <w:szCs w:val="28"/>
              </w:rPr>
              <w:t>恒翔昌运物流园建设项目。投资10.5亿元，占地约200亩，总建筑面积105950平米，2栋6层办公大楼、多功能设施配套区；商铺300间及装卸区；2栋1层交易大棚、气调库、综合服务区；4栋2层配送仓库、物流仓库；以及停车场、绿化等辅助设施。</w:t>
            </w:r>
          </w:p>
          <w:p>
            <w:pPr>
              <w:adjustRightInd w:val="0"/>
              <w:snapToGrid w:val="0"/>
              <w:spacing w:line="520" w:lineRule="exact"/>
              <w:ind w:firstLine="562"/>
              <w:jc w:val="left"/>
              <w:rPr>
                <w:rFonts w:ascii="Times New Roman" w:eastAsia="宋体-PUA"/>
                <w:b/>
                <w:color w:val="000000"/>
                <w:sz w:val="28"/>
                <w:szCs w:val="28"/>
              </w:rPr>
            </w:pPr>
            <w:r>
              <w:rPr>
                <w:rFonts w:ascii="Times New Roman" w:eastAsia="宋体-PUA"/>
                <w:b/>
                <w:color w:val="000000"/>
                <w:sz w:val="28"/>
                <w:szCs w:val="28"/>
              </w:rPr>
              <w:t>罗格斯中国西北区电商物流中心项目。投资10亿元，主要建设5幢现代化电商自动分拣配送中心和电商大厦。该项目主要服务于数家知名电商公司，用于实现日用百货、服装、家电产品和手机类产品网上直销，利用咸阳国际机场的货运枢纽功能，服务中国西北各省份。</w:t>
            </w:r>
          </w:p>
          <w:p>
            <w:pPr>
              <w:adjustRightInd w:val="0"/>
              <w:snapToGrid w:val="0"/>
              <w:spacing w:line="520" w:lineRule="exact"/>
              <w:ind w:firstLine="562"/>
              <w:jc w:val="left"/>
              <w:rPr>
                <w:rFonts w:ascii="Times New Roman" w:eastAsia="宋体-PUA"/>
                <w:b/>
                <w:color w:val="000000"/>
                <w:sz w:val="28"/>
                <w:szCs w:val="28"/>
              </w:rPr>
            </w:pPr>
            <w:r>
              <w:rPr>
                <w:rFonts w:ascii="Times New Roman" w:eastAsia="宋体-PUA"/>
                <w:b/>
                <w:color w:val="000000"/>
                <w:sz w:val="28"/>
                <w:szCs w:val="28"/>
              </w:rPr>
              <w:t>北京百利威西北物流基地。投资10亿元，拟在大西安（咸阳）文体功能区建设西北电子商务物流配送基地。</w:t>
            </w:r>
          </w:p>
          <w:p>
            <w:pPr>
              <w:spacing w:line="520" w:lineRule="exact"/>
              <w:ind w:firstLine="562"/>
              <w:rPr>
                <w:rFonts w:ascii="Times New Roman"/>
                <w:b/>
                <w:color w:val="000000"/>
                <w:spacing w:val="-7"/>
                <w:sz w:val="28"/>
                <w:szCs w:val="28"/>
              </w:rPr>
            </w:pPr>
            <w:r>
              <w:rPr>
                <w:rFonts w:ascii="Times New Roman" w:eastAsia="宋体-PUA"/>
                <w:b/>
                <w:color w:val="000000"/>
                <w:sz w:val="28"/>
                <w:szCs w:val="28"/>
              </w:rPr>
              <w:t>京东农产品电子商贸物流项目。投资1.8亿元，项目主要设立服务中心、“京东帮服务店”、京东长武县特产馆，为县城及农村消费者提供一站式服务。</w:t>
            </w:r>
          </w:p>
        </w:tc>
      </w:tr>
    </w:tbl>
    <w:p>
      <w:pPr>
        <w:spacing w:line="300" w:lineRule="exact"/>
        <w:ind w:firstLine="0" w:firstLineChars="0"/>
        <w:jc w:val="center"/>
        <w:rPr>
          <w:rFonts w:ascii="Times New Roman" w:eastAsia="宋体-PUA"/>
          <w:b/>
          <w:color w:val="000000"/>
          <w:sz w:val="32"/>
          <w:szCs w:val="32"/>
        </w:rPr>
      </w:pPr>
    </w:p>
    <w:p>
      <w:pPr>
        <w:spacing w:line="600" w:lineRule="exact"/>
        <w:ind w:firstLine="0" w:firstLineChars="0"/>
        <w:jc w:val="center"/>
        <w:rPr>
          <w:rFonts w:ascii="Times New Roman" w:eastAsia="宋体-PUA"/>
          <w:b/>
          <w:color w:val="000000"/>
          <w:sz w:val="28"/>
          <w:szCs w:val="32"/>
        </w:rPr>
      </w:pPr>
      <w:r>
        <w:rPr>
          <w:rFonts w:ascii="Times New Roman" w:eastAsia="宋体-PUA"/>
          <w:b/>
          <w:color w:val="000000"/>
          <w:sz w:val="32"/>
          <w:szCs w:val="32"/>
        </w:rPr>
        <w:t>第三节  商贸服务业</w:t>
      </w:r>
    </w:p>
    <w:p>
      <w:pPr>
        <w:spacing w:line="300" w:lineRule="exact"/>
        <w:ind w:firstLine="643"/>
        <w:rPr>
          <w:rFonts w:ascii="Times New Roman"/>
          <w:b/>
          <w:color w:val="000000"/>
          <w:sz w:val="32"/>
          <w:szCs w:val="32"/>
        </w:rPr>
      </w:pPr>
    </w:p>
    <w:p>
      <w:pPr>
        <w:spacing w:line="600" w:lineRule="exact"/>
        <w:ind w:firstLine="667"/>
        <w:rPr>
          <w:rFonts w:ascii="Times New Roman"/>
          <w:b/>
          <w:color w:val="000000"/>
          <w:spacing w:val="6"/>
          <w:sz w:val="32"/>
          <w:szCs w:val="32"/>
        </w:rPr>
      </w:pPr>
      <w:r>
        <w:rPr>
          <w:rFonts w:ascii="Times New Roman"/>
          <w:b/>
          <w:color w:val="000000"/>
          <w:spacing w:val="6"/>
          <w:sz w:val="32"/>
          <w:szCs w:val="32"/>
        </w:rPr>
        <w:t>加快完善市、县、镇、村四级商贸体系，积极培育大型商贸企业集团，提升商贸服务业发展水平，建成关天商业功能区和大西安商贸副中心。</w:t>
      </w:r>
    </w:p>
    <w:p>
      <w:pPr>
        <w:spacing w:line="600" w:lineRule="exact"/>
        <w:ind w:firstLine="664"/>
        <w:rPr>
          <w:rFonts w:ascii="Times New Roman"/>
          <w:b/>
          <w:color w:val="000000"/>
          <w:spacing w:val="6"/>
          <w:sz w:val="32"/>
          <w:szCs w:val="32"/>
        </w:rPr>
      </w:pPr>
      <w:r>
        <w:rPr>
          <w:rFonts w:ascii="Times New Roman" w:eastAsia="楷体"/>
          <w:b/>
          <w:color w:val="000000"/>
          <w:spacing w:val="6"/>
          <w:sz w:val="32"/>
          <w:szCs w:val="32"/>
        </w:rPr>
        <w:t>提升传统商贸服务业发展水平。</w:t>
      </w:r>
      <w:r>
        <w:rPr>
          <w:rFonts w:ascii="Times New Roman"/>
          <w:b/>
          <w:color w:val="000000"/>
          <w:spacing w:val="6"/>
          <w:sz w:val="32"/>
          <w:szCs w:val="32"/>
        </w:rPr>
        <w:t>规划建设专业的农产品、农副产品、工业用料、建材轻纺等交易市场，打造一批综合性商贸集散中心。优化中心城区大型百货店、综合超市、购物中心、批发市场等商业网点布局，积极发展连锁经营和统一配送，鼓励发展专业店、专卖店、会员店，大力发展便利店、中小超市等社区商业。坚持高标准规划，专业化管理，推动</w:t>
      </w:r>
      <w:r>
        <w:rPr>
          <w:rFonts w:ascii="Times New Roman"/>
          <w:b/>
          <w:color w:val="000000"/>
          <w:spacing w:val="6"/>
          <w:sz w:val="32"/>
        </w:rPr>
        <w:t>团结路电子通讯商业街</w:t>
      </w:r>
      <w:r>
        <w:rPr>
          <w:rFonts w:ascii="Times New Roman"/>
          <w:b/>
          <w:color w:val="000000"/>
          <w:spacing w:val="6"/>
          <w:sz w:val="32"/>
          <w:szCs w:val="32"/>
        </w:rPr>
        <w:t>等特色商业街区提档升级。提升住宿餐饮业的服务功能和水平。积极发展绿色饭店、主题饭店、客栈民宿、特色餐饮、农家乐等多种业态。大力推进住宿餐饮业连锁化、品牌化发展。到2020年，全市社会消费品零售总额实现1050亿元，年均增速12%以上。</w:t>
      </w:r>
    </w:p>
    <w:p>
      <w:pPr>
        <w:spacing w:line="600" w:lineRule="exact"/>
        <w:ind w:firstLine="664"/>
        <w:rPr>
          <w:rFonts w:ascii="Times New Roman"/>
          <w:b/>
          <w:color w:val="000000"/>
          <w:spacing w:val="6"/>
          <w:sz w:val="32"/>
          <w:szCs w:val="32"/>
        </w:rPr>
      </w:pPr>
      <w:r>
        <w:rPr>
          <w:rFonts w:ascii="Times New Roman" w:eastAsia="楷体"/>
          <w:b/>
          <w:color w:val="000000"/>
          <w:spacing w:val="6"/>
          <w:sz w:val="32"/>
          <w:szCs w:val="32"/>
        </w:rPr>
        <w:t>扶持壮大电子商务业。</w:t>
      </w:r>
      <w:r>
        <w:rPr>
          <w:rFonts w:ascii="Times New Roman"/>
          <w:b/>
          <w:color w:val="000000"/>
          <w:spacing w:val="6"/>
          <w:sz w:val="32"/>
          <w:szCs w:val="32"/>
        </w:rPr>
        <w:t>坚持一手抓培育，一手抓引进，积极引进国内外知名的电子商务运营商在我市设立区域性总部或功能中心，大力支持本地中小电子商务经营企业的发展。依托大西安（咸阳）文体功能区电子商务产业园、咸阳市农产品电子商务产业园，构建以B2B、B2C、跨境电子商务为核心的交易平台。依托武功、</w:t>
      </w:r>
      <w:r>
        <w:rPr>
          <w:rFonts w:ascii="Times New Roman"/>
          <w:b/>
          <w:color w:val="000000"/>
          <w:spacing w:val="6"/>
          <w:kern w:val="0"/>
          <w:szCs w:val="32"/>
        </w:rPr>
        <w:t>彬县、泾阳</w:t>
      </w:r>
      <w:r>
        <w:rPr>
          <w:rFonts w:ascii="Times New Roman"/>
          <w:b/>
          <w:color w:val="000000"/>
          <w:spacing w:val="6"/>
          <w:sz w:val="32"/>
          <w:szCs w:val="32"/>
        </w:rPr>
        <w:t>农产品电子商务示范县建设，带动全市农村电子商务产业发展。依托大秦西市电子商务企业创业孵化基地，打造电子商务企业创业孵化平台。积极推进“淘宝特色中国·咸阳馆”、电子商务示范企业、“中国咸阳金果网”、电子商务服务惠民、“微咸阳”线上特色平台、 跨境电子商务平台等重点工程，打造国家电子商务示范城市和西部电子商务中心城市。到2020年，电子商务服务业收入和电子商务交易额突破500亿元。</w:t>
      </w:r>
    </w:p>
    <w:p>
      <w:pPr>
        <w:spacing w:line="600" w:lineRule="exact"/>
        <w:ind w:firstLine="667"/>
        <w:rPr>
          <w:rFonts w:ascii="Times New Roman"/>
          <w:b/>
          <w:color w:val="000000"/>
          <w:spacing w:val="6"/>
          <w:sz w:val="32"/>
          <w:szCs w:val="32"/>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3" w:hRule="atLeast"/>
          <w:jc w:val="center"/>
        </w:trPr>
        <w:tc>
          <w:tcPr>
            <w:tcW w:w="8844" w:type="dxa"/>
            <w:noWrap w:val="0"/>
            <w:vAlign w:val="top"/>
          </w:tcPr>
          <w:p>
            <w:pPr>
              <w:tabs>
                <w:tab w:val="left" w:pos="1020"/>
              </w:tabs>
              <w:spacing w:line="600" w:lineRule="exact"/>
              <w:ind w:firstLine="0" w:firstLineChars="0"/>
              <w:jc w:val="center"/>
              <w:rPr>
                <w:rFonts w:ascii="Times New Roman" w:eastAsia="黑体"/>
                <w:b/>
                <w:color w:val="000000"/>
                <w:kern w:val="0"/>
                <w:sz w:val="28"/>
                <w:szCs w:val="28"/>
              </w:rPr>
            </w:pPr>
          </w:p>
          <w:p>
            <w:pPr>
              <w:tabs>
                <w:tab w:val="left" w:pos="1020"/>
              </w:tabs>
              <w:spacing w:line="600" w:lineRule="exact"/>
              <w:ind w:firstLine="0" w:firstLineChars="0"/>
              <w:jc w:val="center"/>
              <w:rPr>
                <w:rFonts w:ascii="Times New Roman" w:eastAsia="黑体"/>
                <w:b/>
                <w:color w:val="000000"/>
                <w:kern w:val="0"/>
                <w:sz w:val="32"/>
                <w:szCs w:val="32"/>
              </w:rPr>
            </w:pPr>
            <w:r>
              <w:rPr>
                <w:rFonts w:ascii="Times New Roman" w:eastAsia="黑体"/>
                <w:b/>
                <w:color w:val="000000"/>
                <w:kern w:val="0"/>
                <w:sz w:val="32"/>
                <w:szCs w:val="32"/>
              </w:rPr>
              <w:t>专栏2-9  商贸服务业重点项目</w:t>
            </w:r>
          </w:p>
          <w:p>
            <w:pPr>
              <w:tabs>
                <w:tab w:val="left" w:pos="1020"/>
              </w:tabs>
              <w:spacing w:line="600" w:lineRule="exact"/>
              <w:ind w:firstLine="0" w:firstLineChars="0"/>
              <w:jc w:val="center"/>
              <w:rPr>
                <w:rFonts w:ascii="Times New Roman" w:eastAsia="黑体"/>
                <w:b/>
                <w:color w:val="000000"/>
                <w:kern w:val="0"/>
                <w:sz w:val="28"/>
                <w:szCs w:val="28"/>
              </w:rPr>
            </w:pPr>
          </w:p>
          <w:p>
            <w:pPr>
              <w:adjustRightInd w:val="0"/>
              <w:snapToGrid w:val="0"/>
              <w:spacing w:line="600" w:lineRule="exact"/>
              <w:ind w:firstLine="562"/>
              <w:rPr>
                <w:rFonts w:ascii="Times New Roman" w:eastAsia="宋体-PUA"/>
                <w:b/>
                <w:color w:val="000000"/>
                <w:sz w:val="28"/>
                <w:szCs w:val="28"/>
              </w:rPr>
            </w:pPr>
            <w:r>
              <w:rPr>
                <w:rFonts w:ascii="Times New Roman" w:eastAsia="宋体-PUA"/>
                <w:b/>
                <w:color w:val="000000"/>
                <w:sz w:val="28"/>
                <w:szCs w:val="28"/>
              </w:rPr>
              <w:t>海立方国际会展中心。 投资300亿元，拟在大西安（咸阳）文体功能区建设国际会展中心</w:t>
            </w:r>
            <w:r>
              <w:rPr>
                <w:rFonts w:hint="eastAsia" w:ascii="Times New Roman" w:eastAsia="宋体-PUA"/>
                <w:b/>
                <w:color w:val="000000"/>
                <w:sz w:val="28"/>
                <w:szCs w:val="28"/>
              </w:rPr>
              <w:t>。</w:t>
            </w:r>
          </w:p>
          <w:p>
            <w:pPr>
              <w:adjustRightInd w:val="0"/>
              <w:snapToGrid w:val="0"/>
              <w:spacing w:line="600" w:lineRule="exact"/>
              <w:ind w:firstLine="562"/>
              <w:rPr>
                <w:rFonts w:ascii="Times New Roman" w:eastAsia="宋体-PUA"/>
                <w:b/>
                <w:color w:val="000000"/>
                <w:sz w:val="28"/>
                <w:szCs w:val="28"/>
              </w:rPr>
            </w:pPr>
            <w:r>
              <w:rPr>
                <w:rFonts w:ascii="Times New Roman" w:eastAsia="宋体-PUA"/>
                <w:b/>
                <w:color w:val="000000"/>
                <w:sz w:val="28"/>
                <w:szCs w:val="28"/>
              </w:rPr>
              <w:t>渭</w:t>
            </w:r>
            <w:r>
              <w:rPr>
                <w:rFonts w:ascii="Times New Roman" w:eastAsia="宋体-PUA"/>
                <w:b/>
                <w:color w:val="000000"/>
                <w:spacing w:val="-6"/>
                <w:sz w:val="28"/>
                <w:szCs w:val="28"/>
              </w:rPr>
              <w:t>城区现代风情综合体。投资53亿元，建设以奥特莱斯商业为特色，集商务办公、购物、娱乐、旅游休闲与低碳居住于一体的复合型项目。</w:t>
            </w:r>
          </w:p>
          <w:p>
            <w:pPr>
              <w:adjustRightInd w:val="0"/>
              <w:snapToGrid w:val="0"/>
              <w:spacing w:line="600" w:lineRule="exact"/>
              <w:ind w:firstLine="562"/>
              <w:rPr>
                <w:rFonts w:ascii="Times New Roman" w:eastAsia="宋体-PUA"/>
                <w:b/>
                <w:color w:val="000000"/>
                <w:sz w:val="28"/>
                <w:szCs w:val="28"/>
              </w:rPr>
            </w:pPr>
            <w:r>
              <w:rPr>
                <w:rFonts w:ascii="Times New Roman" w:eastAsia="宋体-PUA"/>
                <w:b/>
                <w:color w:val="000000"/>
                <w:sz w:val="28"/>
                <w:szCs w:val="28"/>
              </w:rPr>
              <w:t>渭城区五洲国际西北商贸博览城。投资50亿元，建设以五金、机电、紧固件、模具等工业品原料、辅料、皮衣皮草、服装、百货商品、软饰等经营为主的商贸城。</w:t>
            </w:r>
          </w:p>
          <w:p>
            <w:pPr>
              <w:adjustRightInd w:val="0"/>
              <w:snapToGrid w:val="0"/>
              <w:spacing w:line="600" w:lineRule="exact"/>
              <w:ind w:firstLine="562"/>
              <w:rPr>
                <w:rFonts w:ascii="Times New Roman" w:eastAsia="宋体-PUA"/>
                <w:b/>
                <w:color w:val="000000"/>
                <w:sz w:val="28"/>
                <w:szCs w:val="28"/>
              </w:rPr>
            </w:pPr>
            <w:r>
              <w:rPr>
                <w:rFonts w:ascii="Times New Roman" w:eastAsia="宋体-PUA"/>
                <w:b/>
                <w:color w:val="000000"/>
                <w:sz w:val="28"/>
                <w:szCs w:val="28"/>
              </w:rPr>
              <w:t>咸阳电子商务产业园。总投资50亿元，一期投资15亿元。规划总建设面积131万平</w:t>
            </w:r>
            <w:r>
              <w:rPr>
                <w:rFonts w:hint="eastAsia" w:ascii="Times New Roman" w:eastAsia="宋体-PUA"/>
                <w:b/>
                <w:color w:val="000000"/>
                <w:sz w:val="28"/>
                <w:szCs w:val="28"/>
              </w:rPr>
              <w:t>方</w:t>
            </w:r>
            <w:r>
              <w:rPr>
                <w:rFonts w:ascii="Times New Roman" w:eastAsia="宋体-PUA"/>
                <w:b/>
                <w:color w:val="000000"/>
                <w:sz w:val="28"/>
                <w:szCs w:val="28"/>
              </w:rPr>
              <w:t>米。产业园内业态分为：产业平台集群、企业办公集群、特型商业集群、主题酒店集群、全效公寓集群、多元居住集群、仓储物流集群，容纳七种集群为一体的一站式业态联动示范区。</w:t>
            </w:r>
          </w:p>
          <w:p>
            <w:pPr>
              <w:adjustRightInd w:val="0"/>
              <w:snapToGrid w:val="0"/>
              <w:spacing w:line="600" w:lineRule="exact"/>
              <w:ind w:firstLine="562"/>
              <w:rPr>
                <w:rFonts w:ascii="Times New Roman" w:eastAsia="宋体-PUA"/>
                <w:b/>
                <w:color w:val="000000"/>
                <w:sz w:val="28"/>
                <w:szCs w:val="28"/>
              </w:rPr>
            </w:pPr>
            <w:r>
              <w:rPr>
                <w:rFonts w:ascii="Times New Roman" w:eastAsia="宋体-PUA"/>
                <w:b/>
                <w:color w:val="000000"/>
                <w:sz w:val="28"/>
                <w:szCs w:val="28"/>
              </w:rPr>
              <w:t>秦都区西部中轻国际建材、家居工贸城。投资30亿元，建设建材、家居产品的物流、仓储、生产加工、市场销售。</w:t>
            </w:r>
          </w:p>
          <w:p>
            <w:pPr>
              <w:spacing w:line="600" w:lineRule="exact"/>
              <w:ind w:firstLine="562"/>
              <w:rPr>
                <w:rFonts w:ascii="Times New Roman" w:eastAsia="宋体-PUA"/>
                <w:b/>
                <w:color w:val="000000"/>
                <w:sz w:val="28"/>
                <w:szCs w:val="28"/>
              </w:rPr>
            </w:pPr>
            <w:r>
              <w:rPr>
                <w:rFonts w:ascii="Times New Roman" w:eastAsia="宋体-PUA"/>
                <w:b/>
                <w:color w:val="000000"/>
                <w:sz w:val="28"/>
                <w:szCs w:val="28"/>
              </w:rPr>
              <w:t>义乌陕西购O2O国际商贸城项目。投资30亿元，建设商业品类齐全的集展示交易和电子商务为一体的大型O2O专业市场，也是集大型商贸批零、观光旅游、美食娱乐等多种现代服务功能于一体的现代智能商贸综合城。</w:t>
            </w:r>
          </w:p>
          <w:p>
            <w:pPr>
              <w:adjustRightInd w:val="0"/>
              <w:snapToGrid w:val="0"/>
              <w:spacing w:line="600" w:lineRule="exact"/>
              <w:ind w:firstLine="0" w:firstLineChars="0"/>
              <w:rPr>
                <w:rFonts w:ascii="Times New Roman" w:eastAsia="宋体-PUA"/>
                <w:b/>
                <w:color w:val="000000"/>
                <w:spacing w:val="-8"/>
                <w:sz w:val="28"/>
                <w:szCs w:val="28"/>
              </w:rPr>
            </w:pPr>
            <w:r>
              <w:rPr>
                <w:rFonts w:ascii="Times New Roman" w:eastAsia="宋体-PUA"/>
                <w:b/>
                <w:color w:val="000000"/>
                <w:sz w:val="28"/>
                <w:szCs w:val="28"/>
              </w:rPr>
              <w:t xml:space="preserve">   </w:t>
            </w:r>
            <w:r>
              <w:rPr>
                <w:rFonts w:ascii="Times New Roman" w:eastAsia="宋体-PUA"/>
                <w:b/>
                <w:color w:val="000000"/>
                <w:spacing w:val="-8"/>
                <w:sz w:val="28"/>
                <w:szCs w:val="28"/>
              </w:rPr>
              <w:t xml:space="preserve"> 泾阳县中国西部五金机电城。投资22亿元，建成商业写字楼、酒店、公寓展厅等。</w:t>
            </w:r>
          </w:p>
          <w:p>
            <w:pPr>
              <w:adjustRightInd w:val="0"/>
              <w:snapToGrid w:val="0"/>
              <w:spacing w:line="600" w:lineRule="exact"/>
              <w:ind w:firstLine="562"/>
              <w:rPr>
                <w:rFonts w:ascii="Times New Roman" w:eastAsia="宋体-PUA"/>
                <w:b/>
                <w:color w:val="000000"/>
                <w:sz w:val="28"/>
                <w:szCs w:val="28"/>
              </w:rPr>
            </w:pPr>
            <w:r>
              <w:rPr>
                <w:rFonts w:ascii="Times New Roman" w:eastAsia="宋体-PUA"/>
                <w:b/>
                <w:color w:val="000000"/>
                <w:sz w:val="28"/>
                <w:szCs w:val="28"/>
              </w:rPr>
              <w:t>居然之家。投资18亿元，占地约160亩，主要建设一家具有地标性的大型家居建材主题购物中心，总建筑面积15万平方米。</w:t>
            </w:r>
          </w:p>
          <w:p>
            <w:pPr>
              <w:adjustRightInd w:val="0"/>
              <w:snapToGrid w:val="0"/>
              <w:spacing w:line="600" w:lineRule="exact"/>
              <w:ind w:firstLine="562"/>
              <w:rPr>
                <w:rFonts w:ascii="Times New Roman" w:eastAsia="宋体-PUA"/>
                <w:b/>
                <w:color w:val="000000"/>
                <w:sz w:val="28"/>
                <w:szCs w:val="28"/>
              </w:rPr>
            </w:pPr>
            <w:r>
              <w:rPr>
                <w:rFonts w:ascii="Times New Roman" w:eastAsia="宋体-PUA"/>
                <w:b/>
                <w:color w:val="000000"/>
                <w:sz w:val="28"/>
                <w:szCs w:val="28"/>
              </w:rPr>
              <w:t>礼泉县浙商西部商贸城。投资12亿元，建成浙商西部商贸城。</w:t>
            </w:r>
          </w:p>
          <w:p>
            <w:pPr>
              <w:adjustRightInd w:val="0"/>
              <w:snapToGrid w:val="0"/>
              <w:spacing w:line="600" w:lineRule="exact"/>
              <w:ind w:firstLine="562"/>
              <w:rPr>
                <w:rFonts w:ascii="Times New Roman" w:eastAsia="宋体-PUA"/>
                <w:b/>
                <w:color w:val="000000"/>
                <w:sz w:val="28"/>
                <w:szCs w:val="28"/>
              </w:rPr>
            </w:pPr>
            <w:r>
              <w:rPr>
                <w:rFonts w:ascii="Times New Roman" w:eastAsia="宋体-PUA"/>
                <w:b/>
                <w:color w:val="000000"/>
                <w:sz w:val="28"/>
                <w:szCs w:val="28"/>
              </w:rPr>
              <w:t xml:space="preserve">石斗新型商贸综合体项目。投资10.5亿元，项目占地70亩，主要建设品牌交易中心、商业用房、写字楼及其他配套设施，总建筑面积23.1万平方米。 </w:t>
            </w:r>
          </w:p>
          <w:p>
            <w:pPr>
              <w:spacing w:line="600" w:lineRule="exact"/>
              <w:ind w:firstLine="562"/>
              <w:rPr>
                <w:rFonts w:ascii="Times New Roman" w:eastAsia="宋体-PUA"/>
                <w:b/>
                <w:color w:val="000000"/>
                <w:sz w:val="28"/>
                <w:szCs w:val="28"/>
              </w:rPr>
            </w:pPr>
            <w:r>
              <w:rPr>
                <w:rFonts w:ascii="Times New Roman" w:eastAsia="宋体-PUA"/>
                <w:b/>
                <w:color w:val="000000"/>
                <w:sz w:val="28"/>
                <w:szCs w:val="28"/>
              </w:rPr>
              <w:t>渭城区城北电子商务和文化创意产业园（文兴路区域开发）。投资200亿元，总占地约5平方公里，建成以发展电子商务和文化创意产业为方向，打造集研发设计、创业孵化、文化旅游、贸易物流、数据信息交流、教育培训和展览展示等功能的综合性基地。</w:t>
            </w:r>
          </w:p>
          <w:p>
            <w:pPr>
              <w:spacing w:line="600" w:lineRule="exact"/>
              <w:ind w:firstLine="562"/>
              <w:rPr>
                <w:rFonts w:ascii="Times New Roman" w:eastAsia="宋体-PUA"/>
                <w:b/>
                <w:color w:val="000000"/>
                <w:sz w:val="28"/>
                <w:szCs w:val="28"/>
              </w:rPr>
            </w:pPr>
            <w:r>
              <w:rPr>
                <w:rFonts w:ascii="Times New Roman" w:eastAsia="宋体-PUA"/>
                <w:b/>
                <w:color w:val="000000"/>
                <w:sz w:val="28"/>
                <w:szCs w:val="28"/>
              </w:rPr>
              <w:t>中小微企业创业孵化园。投资30亿元，建筑面积约50万</w:t>
            </w:r>
            <w:r>
              <w:rPr>
                <w:rFonts w:hint="eastAsia" w:ascii="Times New Roman" w:eastAsia="宋体-PUA"/>
                <w:b/>
                <w:color w:val="000000"/>
                <w:sz w:val="28"/>
                <w:szCs w:val="28"/>
              </w:rPr>
              <w:t>平方米</w:t>
            </w:r>
            <w:r>
              <w:rPr>
                <w:rFonts w:ascii="Times New Roman" w:eastAsia="宋体-PUA"/>
                <w:b/>
                <w:color w:val="000000"/>
                <w:sz w:val="28"/>
                <w:szCs w:val="28"/>
              </w:rPr>
              <w:t>，拟建标准厂房、研发设计、品牌展示、平台孵化、电子商务、物流服务、生活配套、综合办公咨询服务等多功能业态服务体系，形成综合性孵化式中小微企业创业园区。</w:t>
            </w:r>
          </w:p>
          <w:p>
            <w:pPr>
              <w:spacing w:line="600" w:lineRule="exact"/>
              <w:ind w:firstLine="562"/>
              <w:rPr>
                <w:rFonts w:ascii="Times New Roman" w:eastAsia="宋体-PUA"/>
                <w:b/>
                <w:color w:val="000000"/>
                <w:sz w:val="28"/>
                <w:szCs w:val="28"/>
              </w:rPr>
            </w:pPr>
            <w:r>
              <w:rPr>
                <w:rFonts w:ascii="Times New Roman" w:eastAsia="宋体-PUA"/>
                <w:b/>
                <w:color w:val="000000"/>
                <w:sz w:val="28"/>
                <w:szCs w:val="28"/>
              </w:rPr>
              <w:t>苏宁西北地区电子商务运营中心项目。投资10亿元，占地500亩，规划建成一个集电子商务、采购结算、数据中心、物流配送等服务为一体的地区电子商务运营中心，承担西北地区B2C商品的集中采购结算、储存配送。</w:t>
            </w:r>
          </w:p>
          <w:p>
            <w:pPr>
              <w:spacing w:line="600" w:lineRule="exact"/>
              <w:ind w:firstLine="0" w:firstLineChars="0"/>
              <w:rPr>
                <w:rFonts w:ascii="Times New Roman" w:eastAsia="宋体-PUA"/>
                <w:b/>
                <w:color w:val="000000"/>
                <w:sz w:val="28"/>
                <w:szCs w:val="28"/>
              </w:rPr>
            </w:pPr>
            <w:r>
              <w:rPr>
                <w:rFonts w:ascii="Times New Roman" w:eastAsia="宋体-PUA"/>
                <w:b/>
                <w:color w:val="000000"/>
                <w:sz w:val="28"/>
                <w:szCs w:val="28"/>
              </w:rPr>
              <w:t xml:space="preserve">    当当西北（咸阳）电子商务产业园。总投资10亿元，总建筑面积50万平方米，拟建标准厂房、研发设计、品牌展示、平台孵化、电子商务、物流服务、生活配套、综合办公咨询服务等多功能业态服务体系，形成综合性孵化式中小微企业创业园区。</w:t>
            </w:r>
          </w:p>
          <w:p>
            <w:pPr>
              <w:spacing w:line="600" w:lineRule="exact"/>
              <w:ind w:firstLine="562"/>
              <w:rPr>
                <w:rFonts w:ascii="Times New Roman" w:eastAsia="宋体-PUA"/>
                <w:b/>
                <w:color w:val="000000"/>
                <w:sz w:val="28"/>
                <w:szCs w:val="28"/>
              </w:rPr>
            </w:pPr>
            <w:r>
              <w:rPr>
                <w:rFonts w:ascii="Times New Roman" w:eastAsia="宋体-PUA"/>
                <w:b/>
                <w:color w:val="000000"/>
                <w:sz w:val="28"/>
                <w:szCs w:val="28"/>
              </w:rPr>
              <w:t>三原县电子商务中心建设项目。投资10亿元，占地面积1000亩，主要建设办公楼、综合楼、餐厅、宿舍楼、专家公寓及其它附属设施，为全省打造一个专业化、规模化、现代化、集成化的电子商务平台。</w:t>
            </w:r>
          </w:p>
          <w:p>
            <w:pPr>
              <w:spacing w:line="600" w:lineRule="exact"/>
              <w:ind w:firstLine="562"/>
              <w:rPr>
                <w:rFonts w:ascii="Times New Roman"/>
                <w:b/>
                <w:color w:val="000000"/>
                <w:sz w:val="28"/>
                <w:szCs w:val="28"/>
              </w:rPr>
            </w:pPr>
            <w:r>
              <w:rPr>
                <w:rFonts w:ascii="Times New Roman" w:eastAsia="宋体-PUA"/>
                <w:b/>
                <w:color w:val="000000"/>
                <w:sz w:val="28"/>
                <w:szCs w:val="28"/>
              </w:rPr>
              <w:t>兴平电子商务孵化基地。投资9.8亿元，建成电子商务孵化基地、三大平台（农业电子商务平台、工业电子商务平台与网上商城）。</w:t>
            </w:r>
          </w:p>
        </w:tc>
      </w:tr>
    </w:tbl>
    <w:p>
      <w:pPr>
        <w:spacing w:line="300" w:lineRule="exact"/>
        <w:ind w:firstLine="0" w:firstLineChars="0"/>
        <w:jc w:val="center"/>
        <w:rPr>
          <w:rFonts w:ascii="Times New Roman" w:eastAsia="宋体-PUA"/>
          <w:b/>
          <w:color w:val="000000"/>
          <w:sz w:val="32"/>
          <w:szCs w:val="32"/>
        </w:rPr>
      </w:pPr>
    </w:p>
    <w:p>
      <w:pPr>
        <w:spacing w:line="600" w:lineRule="exact"/>
        <w:ind w:firstLine="0" w:firstLineChars="0"/>
        <w:jc w:val="center"/>
        <w:rPr>
          <w:rFonts w:ascii="Times New Roman" w:eastAsia="宋体-PUA"/>
          <w:b/>
          <w:color w:val="000000"/>
          <w:sz w:val="32"/>
          <w:szCs w:val="32"/>
        </w:rPr>
      </w:pPr>
      <w:r>
        <w:rPr>
          <w:rFonts w:ascii="Times New Roman" w:eastAsia="宋体-PUA"/>
          <w:b/>
          <w:color w:val="000000"/>
          <w:sz w:val="32"/>
          <w:szCs w:val="32"/>
        </w:rPr>
        <w:t>第四节  金融业</w:t>
      </w:r>
    </w:p>
    <w:p>
      <w:pPr>
        <w:spacing w:line="3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r>
        <w:rPr>
          <w:rFonts w:ascii="Times New Roman"/>
          <w:b/>
          <w:color w:val="000000"/>
          <w:sz w:val="32"/>
          <w:szCs w:val="32"/>
        </w:rPr>
        <w:t>以建设普惠金融、绿色金融为目标，全面提升金融业发展和服务水平，加快构建规模合理、竞争有序、功能完善、融资便利、与全市经济社会发展相适应的现代金融体系，将咸阳打造成为大西安金融副中心。</w:t>
      </w:r>
    </w:p>
    <w:p>
      <w:pPr>
        <w:spacing w:line="600" w:lineRule="exact"/>
        <w:ind w:firstLine="640"/>
        <w:rPr>
          <w:rFonts w:ascii="Times New Roman"/>
          <w:b/>
          <w:color w:val="000000"/>
          <w:sz w:val="32"/>
          <w:szCs w:val="32"/>
        </w:rPr>
      </w:pPr>
      <w:r>
        <w:rPr>
          <w:rFonts w:ascii="Times New Roman" w:eastAsia="楷体"/>
          <w:b/>
          <w:color w:val="000000"/>
          <w:sz w:val="32"/>
          <w:szCs w:val="32"/>
        </w:rPr>
        <w:t>优化发展间接融资。</w:t>
      </w:r>
      <w:r>
        <w:rPr>
          <w:rFonts w:ascii="Times New Roman"/>
          <w:b/>
          <w:color w:val="000000"/>
          <w:sz w:val="32"/>
          <w:szCs w:val="32"/>
        </w:rPr>
        <w:t>引导国内外大型商业银行在咸阳设立分支机构，支持符合条件的民营企业发起设立民营银行，不断完善金融基础设施建设，支持农村金融发展。支持咸阳市农村信用社改制为咸阳农商银行。大力培育小额贷款公司、融资担保公司等新型金融组织，着力解决融资难与融资贵的问题，满足各类市场主体和市民的金融需求。到2020年，新增银行业金融机构5家以上，设立6-10家农村商业银行，各类融资性担保机构稳定在20家左右，小额贷款公司稳定在30家左右。</w:t>
      </w:r>
    </w:p>
    <w:p>
      <w:pPr>
        <w:spacing w:line="600" w:lineRule="exact"/>
        <w:ind w:firstLine="640"/>
        <w:rPr>
          <w:rFonts w:ascii="Times New Roman"/>
          <w:b/>
          <w:color w:val="000000"/>
          <w:sz w:val="32"/>
          <w:szCs w:val="32"/>
        </w:rPr>
      </w:pPr>
      <w:r>
        <w:rPr>
          <w:rFonts w:ascii="Times New Roman" w:eastAsia="楷体"/>
          <w:b/>
          <w:color w:val="000000"/>
          <w:sz w:val="32"/>
          <w:szCs w:val="32"/>
        </w:rPr>
        <w:t>大力发展直接融资。</w:t>
      </w:r>
      <w:r>
        <w:rPr>
          <w:rFonts w:ascii="Times New Roman"/>
          <w:b/>
          <w:color w:val="000000"/>
          <w:sz w:val="32"/>
          <w:szCs w:val="32"/>
        </w:rPr>
        <w:t>扩大直接融资规模，引进发展创投、私募、融资租赁等新型融资机构。加快各类企业上市融资，鼓励企业发债。到2020年，力争各类上市、挂牌企业达到50家以上，直接融资规模达到200亿元。</w:t>
      </w:r>
    </w:p>
    <w:p>
      <w:pPr>
        <w:spacing w:line="600" w:lineRule="exact"/>
        <w:ind w:firstLine="640"/>
        <w:rPr>
          <w:rFonts w:ascii="Times New Roman"/>
          <w:b/>
          <w:color w:val="000000"/>
          <w:sz w:val="32"/>
          <w:szCs w:val="32"/>
        </w:rPr>
      </w:pPr>
      <w:r>
        <w:rPr>
          <w:rFonts w:ascii="Times New Roman" w:eastAsia="楷体"/>
          <w:b/>
          <w:color w:val="000000"/>
          <w:sz w:val="32"/>
          <w:szCs w:val="32"/>
        </w:rPr>
        <w:t>深化发展保险业。</w:t>
      </w:r>
      <w:r>
        <w:rPr>
          <w:rFonts w:ascii="Times New Roman"/>
          <w:b/>
          <w:color w:val="000000"/>
          <w:sz w:val="32"/>
          <w:szCs w:val="32"/>
        </w:rPr>
        <w:t>支持创新保险业务产品，增加农业保险产品，发挥保险的社会稳定器作用，力争2020年我市保险深度达到5%，保险密度人均达到3500元。</w:t>
      </w:r>
    </w:p>
    <w:p>
      <w:pPr>
        <w:spacing w:line="600" w:lineRule="exact"/>
        <w:ind w:firstLine="640"/>
        <w:rPr>
          <w:rFonts w:ascii="Times New Roman"/>
          <w:b/>
          <w:color w:val="000000"/>
          <w:sz w:val="32"/>
          <w:szCs w:val="32"/>
        </w:rPr>
      </w:pPr>
      <w:r>
        <w:rPr>
          <w:rFonts w:ascii="Times New Roman" w:eastAsia="楷体"/>
          <w:b/>
          <w:color w:val="000000"/>
          <w:sz w:val="32"/>
          <w:szCs w:val="32"/>
        </w:rPr>
        <w:t>积极防范化解金融风险。</w:t>
      </w:r>
      <w:r>
        <w:rPr>
          <w:rFonts w:ascii="Times New Roman"/>
          <w:b/>
          <w:color w:val="000000"/>
          <w:sz w:val="32"/>
          <w:szCs w:val="32"/>
        </w:rPr>
        <w:t>开展金融风险专项整治，加大打击非法集资力度，加强风险监测预警，坚决守住不发生系统性和区域性风险的底线，着力营造安全、稳定、诚信的金融生态环境和社会信用环境。</w:t>
      </w:r>
    </w:p>
    <w:p>
      <w:pPr>
        <w:spacing w:line="300" w:lineRule="exact"/>
        <w:ind w:firstLine="643"/>
        <w:rPr>
          <w:rFonts w:ascii="Times New Roman"/>
          <w:b/>
          <w:color w:val="000000"/>
          <w:sz w:val="32"/>
          <w:szCs w:val="32"/>
        </w:rPr>
      </w:pPr>
    </w:p>
    <w:p>
      <w:pPr>
        <w:numPr>
          <w:ilvl w:val="0"/>
          <w:numId w:val="6"/>
        </w:numPr>
        <w:spacing w:line="600" w:lineRule="exact"/>
        <w:ind w:firstLine="0" w:firstLineChars="0"/>
        <w:jc w:val="center"/>
        <w:rPr>
          <w:rFonts w:ascii="Times New Roman" w:eastAsia="宋体-PUA"/>
          <w:b/>
          <w:color w:val="000000"/>
          <w:sz w:val="32"/>
          <w:szCs w:val="32"/>
        </w:rPr>
      </w:pPr>
      <w:r>
        <w:rPr>
          <w:rFonts w:ascii="Times New Roman" w:eastAsia="宋体-PUA"/>
          <w:b/>
          <w:color w:val="000000"/>
          <w:sz w:val="32"/>
          <w:szCs w:val="32"/>
        </w:rPr>
        <w:t xml:space="preserve"> 高技术服务业</w:t>
      </w:r>
    </w:p>
    <w:p>
      <w:pPr>
        <w:spacing w:line="3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r>
        <w:rPr>
          <w:rFonts w:ascii="Times New Roman"/>
          <w:b/>
          <w:color w:val="000000"/>
          <w:sz w:val="32"/>
          <w:szCs w:val="32"/>
        </w:rPr>
        <w:t>依托沣西新城信息产业园、秦汉新城高端服务业集聚区等重点园区，加快发展研发设计、设计咨询、服务外包等高技术服务业。充分发挥科技人才优势，加快建立实用、高效的设计和咨询基础数据库、资源信息库等公共服务平台，引导企业发展设计、测绘、检测、技术推广等专业服务，提高设计企业专业化、规模化水平，形成功能社会化、服务产业化、结构网络化、手段现代化的科技研发服务体系。积极引进服务外包企业，重点开展以软件研发及外包、信息技术及外包、信息系统运营与维护外包的ITO（信息技术外包服务）业务，强化国际网络、数据及灾备中心等配套设施建设，建设西部地区重要的服务外包基地。</w:t>
      </w:r>
    </w:p>
    <w:p>
      <w:pPr>
        <w:spacing w:line="300" w:lineRule="exact"/>
        <w:ind w:firstLine="0" w:firstLineChars="0"/>
        <w:jc w:val="center"/>
        <w:rPr>
          <w:rFonts w:ascii="Times New Roman" w:eastAsia="宋体"/>
          <w:b/>
          <w:color w:val="000000"/>
          <w:sz w:val="32"/>
          <w:szCs w:val="32"/>
        </w:rPr>
      </w:pPr>
    </w:p>
    <w:p>
      <w:pPr>
        <w:spacing w:line="600" w:lineRule="exact"/>
        <w:ind w:firstLine="0" w:firstLineChars="0"/>
        <w:jc w:val="center"/>
        <w:rPr>
          <w:rFonts w:ascii="Times New Roman" w:eastAsia="宋体-PUA"/>
          <w:b/>
          <w:color w:val="000000"/>
          <w:sz w:val="32"/>
          <w:szCs w:val="32"/>
        </w:rPr>
      </w:pPr>
      <w:r>
        <w:rPr>
          <w:rFonts w:ascii="Times New Roman" w:eastAsia="宋体-PUA"/>
          <w:b/>
          <w:color w:val="000000"/>
          <w:sz w:val="32"/>
          <w:szCs w:val="32"/>
        </w:rPr>
        <w:t>第六节  商务服务业</w:t>
      </w:r>
    </w:p>
    <w:p>
      <w:pPr>
        <w:spacing w:line="300" w:lineRule="exact"/>
        <w:ind w:firstLine="643"/>
        <w:rPr>
          <w:rFonts w:ascii="Times New Roman"/>
          <w:b/>
          <w:color w:val="000000"/>
          <w:kern w:val="0"/>
          <w:sz w:val="32"/>
          <w:szCs w:val="32"/>
        </w:rPr>
      </w:pPr>
    </w:p>
    <w:p>
      <w:pPr>
        <w:spacing w:line="600" w:lineRule="exact"/>
        <w:ind w:firstLine="643"/>
        <w:rPr>
          <w:rFonts w:ascii="Times New Roman"/>
          <w:b/>
          <w:color w:val="000000"/>
          <w:kern w:val="0"/>
          <w:sz w:val="32"/>
          <w:szCs w:val="32"/>
        </w:rPr>
      </w:pPr>
      <w:r>
        <w:rPr>
          <w:rFonts w:ascii="Times New Roman"/>
          <w:b/>
          <w:color w:val="000000"/>
          <w:sz w:val="32"/>
          <w:szCs w:val="32"/>
        </w:rPr>
        <w:t>加</w:t>
      </w:r>
      <w:r>
        <w:rPr>
          <w:rFonts w:ascii="Times New Roman"/>
          <w:b/>
          <w:color w:val="000000"/>
          <w:spacing w:val="2"/>
          <w:sz w:val="32"/>
          <w:szCs w:val="32"/>
        </w:rPr>
        <w:t>大品牌培育力度，推进商务服务业专业化、规模化、网络化发展。大力发展广告业，加快建设“咸阳市文化创意产业园”，培育一批具有较强市场竞争力的大型广告传媒集团和企业集团，提高广告业集约化、专业化和国际化发展水平。加快发展资产管理、兼并重组、财务顾问、后勤管理等企业管理服务，积极发展会计、审计、税务、资产评估、矿业权评估、认证认可、工程咨询、信用评估、经纪代理、市场调查、法律服务等专业服务，加快发展融资租赁、经营性租赁，推动拍卖、典当服务业发展，促进信用服务业发展。加快发展总部经济，吸引国内外500强企业和跨国公司、在行业中处于领先地位的民营企业总部入驻咸阳。</w:t>
      </w:r>
    </w:p>
    <w:p>
      <w:pPr>
        <w:spacing w:line="300" w:lineRule="exact"/>
        <w:ind w:firstLine="0" w:firstLineChars="0"/>
        <w:jc w:val="center"/>
        <w:rPr>
          <w:rFonts w:ascii="Times New Roman" w:eastAsia="宋体-PUA"/>
          <w:b/>
          <w:color w:val="000000"/>
          <w:sz w:val="32"/>
          <w:szCs w:val="32"/>
        </w:rPr>
      </w:pPr>
    </w:p>
    <w:p>
      <w:pPr>
        <w:spacing w:line="600" w:lineRule="exact"/>
        <w:ind w:firstLine="0" w:firstLineChars="0"/>
        <w:jc w:val="center"/>
        <w:rPr>
          <w:rFonts w:ascii="Times New Roman" w:eastAsia="宋体"/>
          <w:b/>
          <w:color w:val="000000"/>
          <w:sz w:val="32"/>
          <w:szCs w:val="32"/>
        </w:rPr>
      </w:pPr>
      <w:r>
        <w:rPr>
          <w:rFonts w:ascii="Times New Roman" w:eastAsia="宋体-PUA"/>
          <w:b/>
          <w:color w:val="000000"/>
          <w:sz w:val="32"/>
          <w:szCs w:val="32"/>
        </w:rPr>
        <w:t>第七节  居民服务业</w:t>
      </w:r>
    </w:p>
    <w:p>
      <w:pPr>
        <w:spacing w:line="300" w:lineRule="exact"/>
        <w:ind w:firstLine="0" w:firstLineChars="0"/>
        <w:jc w:val="center"/>
        <w:rPr>
          <w:rFonts w:ascii="Times New Roman" w:eastAsia="黑体"/>
          <w:b/>
          <w:color w:val="000000"/>
          <w:sz w:val="32"/>
          <w:szCs w:val="32"/>
        </w:rPr>
      </w:pPr>
    </w:p>
    <w:p>
      <w:pPr>
        <w:spacing w:line="600" w:lineRule="exact"/>
        <w:ind w:firstLine="643"/>
        <w:rPr>
          <w:rFonts w:ascii="Times New Roman"/>
          <w:b/>
          <w:color w:val="000000"/>
          <w:sz w:val="32"/>
          <w:szCs w:val="32"/>
        </w:rPr>
      </w:pPr>
      <w:r>
        <w:rPr>
          <w:rFonts w:ascii="Times New Roman"/>
          <w:b/>
          <w:color w:val="000000"/>
          <w:sz w:val="32"/>
          <w:szCs w:val="32"/>
        </w:rPr>
        <w:t>健全城乡居民家庭服务体系，推动家庭服务市场多层次、多形式发展，在供给规模和服务质量方面基本满足居民生活性服务需求。完善社区居民服务网络。加快社区服务中心建设，不断完善和发展家政服务、家庭保育、社区托</w:t>
      </w:r>
      <w:r>
        <w:rPr>
          <w:rFonts w:hint="eastAsia" w:ascii="Times New Roman"/>
          <w:b/>
          <w:color w:val="000000"/>
          <w:sz w:val="32"/>
          <w:szCs w:val="32"/>
        </w:rPr>
        <w:t xml:space="preserve">                                                                                                                                                                                                                                                                                                                                                                                                                                                                                                                                                                                                                                                                                                                                                                                                                                                                                                                                                                                                                                                                                                                                                                                                                                                                                                                                                                                                                                                                                                                                                                                                                                                                                                                                                                                                                                                                                                                                                                                                                                                                                                                                                                                                                                                                                                                                                                                                                                                                                                                                                                                                                                                                                                                                                                                               </w:t>
      </w:r>
      <w:r>
        <w:rPr>
          <w:rFonts w:ascii="Times New Roman"/>
          <w:b/>
          <w:color w:val="000000"/>
          <w:sz w:val="32"/>
          <w:szCs w:val="32"/>
        </w:rPr>
        <w:t>幼、居民健身、环境清洁卫生等服务。鼓励“家政企业进社区”与“社区家政服务全覆盖”，健全网络、搭建平台、集成服务，满足社区居民多样化、个性化消费需求。引导家庭服务企业多渠道、多业态提供专业化的生活性服务，加快培育和发展一批连锁化、标准化、规范化的居民服务企业，创建一批知名家庭服务品牌。鼓励在乡村建立综合性服务网点，提高农村居民生活便利化水平。到2020年，全市形成以5-10家知名度高、信誉好的家庭服务企业为骨干，服务门类齐全、规范的家庭服务市场；建成100个城市社区综合服务中心，600个农村社区综合服务中心，实现90％以上的镇和70％以上的村拥有服务中心。</w:t>
      </w:r>
    </w:p>
    <w:p>
      <w:pPr>
        <w:spacing w:line="300" w:lineRule="exact"/>
        <w:ind w:firstLine="643"/>
        <w:rPr>
          <w:rFonts w:ascii="Times New Roman"/>
          <w:b/>
          <w:color w:val="000000"/>
          <w:sz w:val="32"/>
          <w:szCs w:val="32"/>
        </w:rPr>
      </w:pPr>
    </w:p>
    <w:p>
      <w:pPr>
        <w:spacing w:line="600" w:lineRule="exact"/>
        <w:ind w:firstLine="0" w:firstLineChars="0"/>
        <w:jc w:val="center"/>
        <w:rPr>
          <w:rFonts w:ascii="Times New Roman" w:eastAsia="宋体-PUA"/>
          <w:b/>
          <w:color w:val="000000"/>
          <w:sz w:val="32"/>
          <w:szCs w:val="32"/>
        </w:rPr>
      </w:pPr>
      <w:r>
        <w:rPr>
          <w:rFonts w:ascii="Times New Roman" w:eastAsia="宋体-PUA"/>
          <w:b/>
          <w:color w:val="000000"/>
          <w:sz w:val="32"/>
          <w:szCs w:val="32"/>
        </w:rPr>
        <w:t xml:space="preserve"> 第八节  房地产业</w:t>
      </w:r>
    </w:p>
    <w:p>
      <w:pPr>
        <w:spacing w:line="300" w:lineRule="exact"/>
        <w:ind w:firstLine="643"/>
        <w:rPr>
          <w:rFonts w:ascii="Times New Roman" w:eastAsia="方正隶书_GBK"/>
          <w:b/>
          <w:color w:val="000000"/>
          <w:sz w:val="32"/>
          <w:szCs w:val="32"/>
        </w:rPr>
      </w:pPr>
    </w:p>
    <w:p>
      <w:pPr>
        <w:spacing w:line="600" w:lineRule="exact"/>
        <w:ind w:firstLine="640"/>
        <w:rPr>
          <w:rFonts w:ascii="Times New Roman"/>
          <w:b/>
          <w:color w:val="000000"/>
          <w:sz w:val="32"/>
          <w:szCs w:val="32"/>
        </w:rPr>
      </w:pPr>
      <w:r>
        <w:rPr>
          <w:rFonts w:ascii="Times New Roman" w:eastAsia="楷体"/>
          <w:b/>
          <w:color w:val="000000"/>
          <w:sz w:val="32"/>
          <w:szCs w:val="32"/>
        </w:rPr>
        <w:t>大力发展商业地产。</w:t>
      </w:r>
      <w:r>
        <w:rPr>
          <w:rFonts w:ascii="Times New Roman"/>
          <w:b/>
          <w:color w:val="000000"/>
          <w:sz w:val="32"/>
          <w:szCs w:val="32"/>
        </w:rPr>
        <w:t>积极发展新兴主题商业街或商场，构建人民路城市商业中心、玉泉路区域商业中心、中华路区域商业中心等现代购物、高档百货商场为主力业态，以及专业卖场、体验式卖场、特色商品经营店等多种业态协调发展的业态体系。大力发展楼宇经济，整合现有写字楼资源，依托咸阳湖一湖两岸建设一批城市综合体、高档写字楼群，打造集约高效的办公综合体。引进与培育一批高端物业服务公司，提高写字楼物业服务品质和国际化水平。完善配套设施，支持工业地产发展。</w:t>
      </w:r>
    </w:p>
    <w:p>
      <w:pPr>
        <w:spacing w:line="600" w:lineRule="exact"/>
        <w:ind w:firstLine="640"/>
        <w:rPr>
          <w:rFonts w:ascii="Times New Roman"/>
          <w:b/>
          <w:color w:val="000000"/>
          <w:sz w:val="32"/>
          <w:szCs w:val="32"/>
        </w:rPr>
      </w:pPr>
      <w:r>
        <w:rPr>
          <w:rFonts w:ascii="Times New Roman" w:eastAsia="楷体"/>
          <w:b/>
          <w:color w:val="000000"/>
          <w:sz w:val="32"/>
          <w:szCs w:val="32"/>
        </w:rPr>
        <w:t>积极化解房地产库存。</w:t>
      </w:r>
      <w:r>
        <w:rPr>
          <w:rFonts w:ascii="Times New Roman"/>
          <w:b/>
          <w:color w:val="000000"/>
          <w:sz w:val="32"/>
          <w:szCs w:val="32"/>
        </w:rPr>
        <w:t>加快农民工市民化，推进以满足新市民为出发点的住房制度改革，扩大有效需求，打通供需通道，稳定房地产市场。鼓励房地产开发企业顺应市场规律调整营销策略，适当降低商品住房价格，促进房地产业兼并重组，提高产业集中度。调整商品房供给结构，加快中小套型、中低价位普通商品住房建设。支持自住</w:t>
      </w:r>
      <w:r>
        <w:rPr>
          <w:rFonts w:hint="eastAsia" w:ascii="Times New Roman"/>
          <w:b/>
          <w:color w:val="000000"/>
          <w:sz w:val="32"/>
          <w:szCs w:val="32"/>
        </w:rPr>
        <w:t>型</w:t>
      </w:r>
      <w:r>
        <w:rPr>
          <w:rFonts w:ascii="Times New Roman"/>
          <w:b/>
          <w:color w:val="000000"/>
          <w:sz w:val="32"/>
          <w:szCs w:val="32"/>
        </w:rPr>
        <w:t>和改善型住房需求，不断改善和提高居民的住房条件及居住水平。发展住房租赁市场，鼓励自然人和各类机构投资者购买库存商品房，鼓励发展以住房租赁为主营业务的专业化企业。</w:t>
      </w:r>
    </w:p>
    <w:p>
      <w:pPr>
        <w:spacing w:line="300" w:lineRule="exact"/>
        <w:ind w:firstLine="643"/>
        <w:rPr>
          <w:rFonts w:ascii="Times New Roman"/>
          <w:b/>
          <w:color w:val="000000"/>
          <w:sz w:val="32"/>
          <w:szCs w:val="32"/>
        </w:rPr>
      </w:pPr>
      <w:bookmarkStart w:id="11" w:name="_Toc439878078"/>
    </w:p>
    <w:p>
      <w:pPr>
        <w:keepNext/>
        <w:keepLines/>
        <w:spacing w:line="600" w:lineRule="exact"/>
        <w:ind w:firstLine="0" w:firstLineChars="0"/>
        <w:jc w:val="center"/>
        <w:outlineLvl w:val="2"/>
        <w:rPr>
          <w:rFonts w:ascii="Times New Roman" w:eastAsia="黑体"/>
          <w:b/>
          <w:color w:val="000000"/>
          <w:kern w:val="0"/>
          <w:sz w:val="32"/>
          <w:szCs w:val="32"/>
        </w:rPr>
      </w:pPr>
      <w:r>
        <w:rPr>
          <w:rFonts w:ascii="Times New Roman" w:eastAsia="黑体"/>
          <w:b/>
          <w:color w:val="000000"/>
          <w:kern w:val="0"/>
          <w:sz w:val="32"/>
          <w:szCs w:val="32"/>
        </w:rPr>
        <w:t>第八章  大力发展现代农业</w:t>
      </w:r>
      <w:bookmarkEnd w:id="11"/>
    </w:p>
    <w:p>
      <w:pPr>
        <w:spacing w:line="300" w:lineRule="exact"/>
        <w:ind w:firstLine="643"/>
        <w:rPr>
          <w:rFonts w:ascii="Times New Roman"/>
          <w:b/>
          <w:color w:val="000000"/>
          <w:sz w:val="32"/>
          <w:szCs w:val="32"/>
        </w:rPr>
      </w:pPr>
    </w:p>
    <w:p>
      <w:pPr>
        <w:snapToGrid w:val="0"/>
        <w:spacing w:line="600" w:lineRule="exact"/>
        <w:ind w:firstLine="643"/>
        <w:rPr>
          <w:rFonts w:ascii="Times New Roman"/>
          <w:b/>
          <w:color w:val="000000"/>
          <w:sz w:val="32"/>
          <w:szCs w:val="32"/>
        </w:rPr>
      </w:pPr>
      <w:r>
        <w:rPr>
          <w:rFonts w:ascii="Times New Roman"/>
          <w:b/>
          <w:color w:val="000000"/>
          <w:sz w:val="32"/>
          <w:szCs w:val="32"/>
        </w:rPr>
        <w:t>加</w:t>
      </w:r>
      <w:r>
        <w:rPr>
          <w:rFonts w:ascii="Times New Roman"/>
          <w:b/>
          <w:color w:val="000000"/>
          <w:spacing w:val="-6"/>
          <w:sz w:val="32"/>
          <w:szCs w:val="32"/>
        </w:rPr>
        <w:t>快推进农业现代化，大力发展特色农业、品牌农业，实现传统农业向优质高效、生态观光农业转变。按照区域化布局、园区化示范、规模化发展、产业化带动的要求，走特色主导、科技引领、服务支撑、三产融合的现代农业道路，提高农业质量效益和竞争力。</w:t>
      </w:r>
    </w:p>
    <w:p>
      <w:pPr>
        <w:keepNext/>
        <w:keepLines/>
        <w:spacing w:line="300" w:lineRule="exact"/>
        <w:ind w:firstLine="0" w:firstLineChars="0"/>
        <w:jc w:val="center"/>
        <w:outlineLvl w:val="3"/>
        <w:rPr>
          <w:rFonts w:ascii="Times New Roman" w:eastAsia="宋体"/>
          <w:b/>
          <w:color w:val="000000"/>
          <w:sz w:val="32"/>
          <w:szCs w:val="32"/>
        </w:rPr>
      </w:pPr>
    </w:p>
    <w:p>
      <w:pPr>
        <w:keepNext/>
        <w:keepLines/>
        <w:spacing w:line="600" w:lineRule="exact"/>
        <w:ind w:firstLine="0" w:firstLineChars="0"/>
        <w:jc w:val="center"/>
        <w:outlineLvl w:val="3"/>
        <w:rPr>
          <w:rFonts w:ascii="Times New Roman" w:eastAsia="宋体"/>
          <w:b/>
          <w:color w:val="000000"/>
          <w:sz w:val="32"/>
          <w:szCs w:val="32"/>
        </w:rPr>
      </w:pPr>
      <w:r>
        <w:rPr>
          <w:rFonts w:ascii="Times New Roman" w:eastAsia="宋体"/>
          <w:b/>
          <w:color w:val="000000"/>
          <w:sz w:val="32"/>
          <w:szCs w:val="32"/>
        </w:rPr>
        <w:t>第一节  构建多业态多功能的农业产业体系</w:t>
      </w:r>
    </w:p>
    <w:p>
      <w:pPr>
        <w:keepNext/>
        <w:keepLines/>
        <w:spacing w:line="300" w:lineRule="exact"/>
        <w:ind w:firstLine="0" w:firstLineChars="0"/>
        <w:jc w:val="center"/>
        <w:outlineLvl w:val="3"/>
        <w:rPr>
          <w:rFonts w:ascii="Times New Roman" w:eastAsia="宋体"/>
          <w:b/>
          <w:color w:val="000000"/>
          <w:sz w:val="32"/>
          <w:szCs w:val="32"/>
        </w:rPr>
      </w:pPr>
    </w:p>
    <w:p>
      <w:pPr>
        <w:pStyle w:val="16"/>
        <w:shd w:val="clear" w:color="auto" w:fill="FFFFFF"/>
        <w:spacing w:before="0" w:beforeAutospacing="0" w:after="0" w:afterAutospacing="0" w:line="600" w:lineRule="exact"/>
        <w:ind w:firstLine="643"/>
        <w:rPr>
          <w:rFonts w:ascii="Times New Roman"/>
          <w:b/>
          <w:color w:val="000000"/>
          <w:sz w:val="32"/>
          <w:szCs w:val="32"/>
        </w:rPr>
      </w:pPr>
      <w:r>
        <w:rPr>
          <w:rFonts w:ascii="Times New Roman"/>
          <w:b/>
          <w:color w:val="000000"/>
          <w:sz w:val="32"/>
          <w:szCs w:val="32"/>
        </w:rPr>
        <w:t>大力发展现代农业，保障主要农产品有效供给，提高农业发展的规模化、集约化、市场化水平，优化农业生产结构和区域布局，推动粮经饲统筹、农林牧渔结合、种养加一体、一二三产业融合发展，走绿色安全、资源节约、环境友好、综合高效的农业现代化道路。</w:t>
      </w:r>
    </w:p>
    <w:p>
      <w:pPr>
        <w:pStyle w:val="16"/>
        <w:shd w:val="clear" w:color="auto" w:fill="FFFFFF"/>
        <w:spacing w:before="0" w:beforeAutospacing="0" w:after="0" w:afterAutospacing="0" w:line="600" w:lineRule="exact"/>
        <w:ind w:firstLine="643"/>
        <w:rPr>
          <w:rFonts w:ascii="Times New Roman"/>
          <w:b/>
          <w:color w:val="000000"/>
          <w:sz w:val="32"/>
          <w:szCs w:val="32"/>
        </w:rPr>
      </w:pPr>
      <w:r>
        <w:rPr>
          <w:rFonts w:ascii="Times New Roman" w:eastAsia="楷体_GB2312"/>
          <w:b/>
          <w:color w:val="000000"/>
          <w:sz w:val="32"/>
          <w:szCs w:val="32"/>
        </w:rPr>
        <w:t>粮食。</w:t>
      </w:r>
      <w:r>
        <w:rPr>
          <w:rFonts w:ascii="Times New Roman"/>
          <w:b/>
          <w:color w:val="000000"/>
          <w:sz w:val="32"/>
          <w:szCs w:val="32"/>
        </w:rPr>
        <w:t>大力推进粮食高产创建工程，建设十万亩粮食高产示范田和百万亩良种推广示范园。推广绿色增产模式，发展小麦、玉米优质高产专用品种，建设关中优质小麦、高产夏玉米和渭北春玉米优势粮食产业带，全面提高粮食生产能力。到2020年，全市粮食播种面积稳定在580万亩左右，粮食综合生产能力稳定在180万吨以上。</w:t>
      </w:r>
    </w:p>
    <w:p>
      <w:pPr>
        <w:pBdr>
          <w:top w:val="none" w:color="auto" w:sz="0" w:space="1"/>
          <w:left w:val="none" w:color="auto" w:sz="0" w:space="4"/>
          <w:bottom w:val="none" w:color="auto" w:sz="0" w:space="1"/>
          <w:right w:val="none" w:color="auto" w:sz="0" w:space="4"/>
        </w:pBdr>
        <w:spacing w:line="600" w:lineRule="exact"/>
        <w:ind w:firstLine="643"/>
        <w:rPr>
          <w:rFonts w:ascii="Times New Roman"/>
          <w:b/>
          <w:color w:val="000000"/>
          <w:sz w:val="32"/>
          <w:szCs w:val="32"/>
        </w:rPr>
      </w:pPr>
      <w:r>
        <w:rPr>
          <w:rFonts w:ascii="Times New Roman" w:eastAsia="楷体_GB2312"/>
          <w:b/>
          <w:color w:val="000000"/>
          <w:sz w:val="32"/>
          <w:szCs w:val="32"/>
        </w:rPr>
        <w:t>果业。</w:t>
      </w:r>
      <w:r>
        <w:rPr>
          <w:rFonts w:ascii="Times New Roman"/>
          <w:b/>
          <w:color w:val="000000"/>
          <w:sz w:val="32"/>
          <w:szCs w:val="32"/>
        </w:rPr>
        <w:t>扩大优生区、改造次生区、调减非适宜区，形成区域布局合理，早、中、晚熟、鲜食、加工品种比例搭配合理的生产经营格局。北部重点推广矮化苹果全程机械化生产模式，建成晚熟苹果产业带；南部重点发展油桃、蜜桃、樱桃、猕猴桃等，形成时令设施水果产业带；</w:t>
      </w:r>
      <w:r>
        <w:rPr>
          <w:rFonts w:hint="eastAsia" w:ascii="Times New Roman"/>
          <w:b/>
          <w:color w:val="000000"/>
          <w:sz w:val="32"/>
          <w:szCs w:val="32"/>
        </w:rPr>
        <w:t>“</w:t>
      </w:r>
      <w:r>
        <w:rPr>
          <w:rFonts w:ascii="Times New Roman"/>
          <w:b/>
          <w:color w:val="000000"/>
          <w:sz w:val="32"/>
          <w:szCs w:val="32"/>
        </w:rPr>
        <w:t>旱腰带</w:t>
      </w:r>
      <w:r>
        <w:rPr>
          <w:rFonts w:hint="eastAsia" w:ascii="Times New Roman"/>
          <w:b/>
          <w:color w:val="000000"/>
          <w:sz w:val="32"/>
          <w:szCs w:val="32"/>
        </w:rPr>
        <w:t>”</w:t>
      </w:r>
      <w:r>
        <w:rPr>
          <w:rFonts w:ascii="Times New Roman"/>
          <w:b/>
          <w:color w:val="000000"/>
          <w:sz w:val="32"/>
          <w:szCs w:val="32"/>
        </w:rPr>
        <w:t>发展以葡萄、石榴、柿子等为重点的特色时令水果产业带。重点建设100万亩优质出口苹果基地、15万亩早熟苹果基地、1.5万亩时令设施水果基地、18万亩酿酒葡萄基地，到2020年，水果面积达到430万亩，水果优果率达到84%。</w:t>
      </w:r>
    </w:p>
    <w:p>
      <w:pPr>
        <w:spacing w:line="600" w:lineRule="exact"/>
        <w:ind w:firstLine="643"/>
        <w:rPr>
          <w:rFonts w:ascii="Times New Roman"/>
          <w:b/>
          <w:color w:val="000000"/>
          <w:sz w:val="32"/>
          <w:szCs w:val="32"/>
        </w:rPr>
      </w:pPr>
      <w:r>
        <w:rPr>
          <w:rFonts w:ascii="Times New Roman" w:eastAsia="楷体_GB2312"/>
          <w:b/>
          <w:color w:val="000000"/>
          <w:sz w:val="32"/>
          <w:szCs w:val="32"/>
        </w:rPr>
        <w:t>畜牧业。</w:t>
      </w:r>
      <w:r>
        <w:rPr>
          <w:rFonts w:ascii="Times New Roman"/>
          <w:b/>
          <w:color w:val="000000"/>
          <w:sz w:val="32"/>
          <w:szCs w:val="32"/>
        </w:rPr>
        <w:t>按照“规模扩张、板块推进、标准化养殖、良种化繁育”思路，以龙头企业为引领，以发展标准化规模养殖场为重点，大力支持乳制品加工产业，带动奶牛养殖产业健康发展。生猪生产在南部县区以大力发展规模化养猪场和万头生猪村为重点，推广“果畜沼”、“畜沼菜”养殖模式；北部果业基地县建设PIC肉猪产业板块，促进果畜循环。家禽生产大力推广温氏、正大标准化养殖模式，建设标准化规模场。到2020年，全市建成25万头高产奶牛生产基地，北部及</w:t>
      </w:r>
      <w:r>
        <w:rPr>
          <w:rFonts w:hint="eastAsia" w:ascii="Times New Roman"/>
          <w:b/>
          <w:color w:val="000000"/>
          <w:sz w:val="32"/>
          <w:szCs w:val="32"/>
        </w:rPr>
        <w:t>“</w:t>
      </w:r>
      <w:r>
        <w:rPr>
          <w:rFonts w:ascii="Times New Roman"/>
          <w:b/>
          <w:color w:val="000000"/>
          <w:sz w:val="32"/>
          <w:szCs w:val="32"/>
        </w:rPr>
        <w:t>旱腰带</w:t>
      </w:r>
      <w:r>
        <w:rPr>
          <w:rFonts w:hint="eastAsia" w:ascii="Times New Roman"/>
          <w:b/>
          <w:color w:val="000000"/>
          <w:sz w:val="32"/>
          <w:szCs w:val="32"/>
        </w:rPr>
        <w:t>”</w:t>
      </w:r>
      <w:r>
        <w:rPr>
          <w:rFonts w:ascii="Times New Roman"/>
          <w:b/>
          <w:color w:val="000000"/>
          <w:sz w:val="32"/>
          <w:szCs w:val="32"/>
        </w:rPr>
        <w:t>县区打造10万头肉牛、100万只肉羊生产基地、10万头奶山羊生产基地，建成600万头生猪养殖基地。</w:t>
      </w:r>
    </w:p>
    <w:p>
      <w:pPr>
        <w:spacing w:line="600" w:lineRule="exact"/>
        <w:ind w:firstLine="643"/>
        <w:rPr>
          <w:rFonts w:ascii="Times New Roman"/>
          <w:b/>
          <w:color w:val="000000"/>
          <w:sz w:val="32"/>
          <w:szCs w:val="32"/>
        </w:rPr>
      </w:pPr>
      <w:r>
        <w:rPr>
          <w:rFonts w:ascii="Times New Roman" w:eastAsia="楷体_GB2312"/>
          <w:b/>
          <w:color w:val="000000"/>
          <w:sz w:val="32"/>
          <w:szCs w:val="32"/>
        </w:rPr>
        <w:t>蔬菜。</w:t>
      </w:r>
      <w:r>
        <w:rPr>
          <w:rFonts w:ascii="Times New Roman"/>
          <w:b/>
          <w:color w:val="000000"/>
          <w:sz w:val="32"/>
          <w:szCs w:val="32"/>
        </w:rPr>
        <w:t>以南部县区为发展重点，打造南部130万亩优质蔬菜板块。重点建设一批标准化设施蔬菜示范园、集中连片规模化设施蔬菜基地，每年新增设施蔬菜面积1万亩。以兴平、武功、秦都为重点，依托渭河滩涂地开发利用，重点打造6万亩沿渭清水莲菜休闲长廊。到2020年全市蔬菜面积达到145万亩，其中设施蔬菜面积发展到65万亩，清水莲菜面积稳定在6万亩。</w:t>
      </w:r>
    </w:p>
    <w:p>
      <w:pPr>
        <w:spacing w:line="600" w:lineRule="exact"/>
        <w:ind w:firstLine="643"/>
        <w:rPr>
          <w:rFonts w:ascii="Times New Roman"/>
          <w:b/>
          <w:color w:val="000000"/>
          <w:sz w:val="32"/>
          <w:szCs w:val="32"/>
        </w:rPr>
      </w:pPr>
      <w:r>
        <w:rPr>
          <w:rFonts w:ascii="Times New Roman" w:eastAsia="楷体_GB2312"/>
          <w:b/>
          <w:color w:val="000000"/>
          <w:sz w:val="32"/>
          <w:szCs w:val="32"/>
        </w:rPr>
        <w:t>现代农业园区。</w:t>
      </w:r>
      <w:r>
        <w:rPr>
          <w:rFonts w:ascii="Times New Roman"/>
          <w:b/>
          <w:color w:val="000000"/>
          <w:sz w:val="32"/>
          <w:szCs w:val="32"/>
        </w:rPr>
        <w:t>积极整合各类优势资源，集中力量建设规划布局科学、产业特色鲜明、科技含量较高、设施装备先进、运行机制灵活、综合效益显著、辐射效应明显的现代农业园区。建设设施蔬菜、优质猕猴桃、粮食、特色水果园区45个、时令水果采摘及休闲观光园区45个、酿酒葡萄、御石榴、红提葡萄、畜禽养殖园区65个、优质出口苹果和经济杂果园区55个、农产品加工物流园区10个，到2020年省市级现代农业园区达到300个。</w:t>
      </w:r>
    </w:p>
    <w:p>
      <w:pPr>
        <w:spacing w:line="600" w:lineRule="exact"/>
        <w:ind w:firstLine="643"/>
        <w:rPr>
          <w:rFonts w:ascii="Times New Roman"/>
          <w:b/>
          <w:color w:val="000000"/>
          <w:sz w:val="32"/>
          <w:szCs w:val="32"/>
        </w:rPr>
      </w:pPr>
      <w:r>
        <w:rPr>
          <w:rFonts w:ascii="Times New Roman" w:eastAsia="楷体_GB2312"/>
          <w:b/>
          <w:color w:val="000000"/>
          <w:sz w:val="32"/>
          <w:szCs w:val="32"/>
        </w:rPr>
        <w:t>开发农业多种功能。</w:t>
      </w:r>
      <w:r>
        <w:rPr>
          <w:rFonts w:ascii="Times New Roman"/>
          <w:b/>
          <w:color w:val="000000"/>
          <w:sz w:val="32"/>
          <w:szCs w:val="32"/>
        </w:rPr>
        <w:t>大力发展生态休闲观光农业和都市农业，深入推进“一村一品”，促进一二三产业融合发展。积极发展休闲农业，加快休闲农家、休闲农庄、都市农业产业园、休闲农业产业园和休闲农业示范县建设，建设一批以产业发展为基础，集生态、文化、教育、休闲等功能为一体的多功能特色农业休闲示范基地，为西咸国际化大都市提供生活保障和生态保障。“十三五”期间，全市建成休闲农家示范村80个、星级休闲农庄20个、休闲农业示范园区50个。</w:t>
      </w:r>
    </w:p>
    <w:p>
      <w:pPr>
        <w:spacing w:line="600" w:lineRule="exact"/>
        <w:ind w:firstLine="643"/>
        <w:rPr>
          <w:rFonts w:ascii="Times New Roman"/>
          <w:b/>
          <w:color w:val="000000"/>
          <w:sz w:val="32"/>
          <w:szCs w:val="32"/>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8844" w:type="dxa"/>
            <w:noWrap w:val="0"/>
            <w:vAlign w:val="top"/>
          </w:tcPr>
          <w:p>
            <w:pPr>
              <w:spacing w:line="240" w:lineRule="exact"/>
              <w:ind w:firstLine="0" w:firstLineChars="0"/>
              <w:jc w:val="center"/>
              <w:rPr>
                <w:rFonts w:hint="eastAsia" w:ascii="Times New Roman" w:eastAsia="黑体"/>
                <w:b/>
                <w:color w:val="000000"/>
                <w:sz w:val="32"/>
                <w:szCs w:val="32"/>
              </w:rPr>
            </w:pPr>
          </w:p>
          <w:p>
            <w:pPr>
              <w:spacing w:line="560" w:lineRule="exact"/>
              <w:ind w:firstLine="0" w:firstLineChars="0"/>
              <w:jc w:val="center"/>
              <w:rPr>
                <w:rFonts w:ascii="Times New Roman" w:eastAsia="黑体"/>
                <w:b/>
                <w:color w:val="000000"/>
                <w:sz w:val="32"/>
                <w:szCs w:val="32"/>
              </w:rPr>
            </w:pPr>
            <w:r>
              <w:rPr>
                <w:rFonts w:ascii="Times New Roman" w:eastAsia="黑体"/>
                <w:b/>
                <w:color w:val="000000"/>
                <w:sz w:val="32"/>
                <w:szCs w:val="32"/>
              </w:rPr>
              <w:t>专栏2-10 农业重点项目</w:t>
            </w:r>
          </w:p>
          <w:p>
            <w:pPr>
              <w:spacing w:line="360" w:lineRule="exact"/>
              <w:ind w:firstLine="0" w:firstLineChars="0"/>
              <w:jc w:val="center"/>
              <w:rPr>
                <w:rFonts w:ascii="Times New Roman" w:eastAsia="黑体"/>
                <w:b/>
                <w:color w:val="000000"/>
                <w:sz w:val="28"/>
                <w:szCs w:val="28"/>
              </w:rPr>
            </w:pPr>
          </w:p>
          <w:p>
            <w:pPr>
              <w:tabs>
                <w:tab w:val="left" w:pos="5700"/>
              </w:tabs>
              <w:adjustRightInd w:val="0"/>
              <w:snapToGrid w:val="0"/>
              <w:spacing w:line="540" w:lineRule="exact"/>
              <w:ind w:firstLine="562"/>
              <w:jc w:val="left"/>
              <w:rPr>
                <w:rFonts w:ascii="Times New Roman" w:eastAsia="宋体-PUA"/>
                <w:b/>
                <w:color w:val="000000"/>
                <w:sz w:val="28"/>
                <w:szCs w:val="28"/>
              </w:rPr>
            </w:pPr>
            <w:r>
              <w:rPr>
                <w:rFonts w:ascii="Times New Roman" w:eastAsia="宋体-PUA"/>
                <w:b/>
                <w:color w:val="000000"/>
                <w:sz w:val="28"/>
                <w:szCs w:val="28"/>
              </w:rPr>
              <w:t xml:space="preserve">陕西农产品加工贸易示范园武功园区。投资206亿元，主导产业为：以粮油加工、畜禽加工和果蔬加工为主的农产品初加工产业集群；以烘培食品制造、乳制品制造、饮料制造和方便食品制造为主的农产品深加工产业集群；以秸秆等农副剩余物、农产品加工废弃物为主的循环加工产业集群。                 </w:t>
            </w:r>
          </w:p>
          <w:p>
            <w:pPr>
              <w:tabs>
                <w:tab w:val="left" w:pos="5700"/>
              </w:tabs>
              <w:adjustRightInd w:val="0"/>
              <w:snapToGrid w:val="0"/>
              <w:spacing w:line="540" w:lineRule="exact"/>
              <w:ind w:firstLine="562"/>
              <w:jc w:val="left"/>
              <w:rPr>
                <w:rFonts w:ascii="Times New Roman" w:eastAsia="宋体-PUA"/>
                <w:b/>
                <w:color w:val="000000"/>
                <w:sz w:val="28"/>
                <w:szCs w:val="28"/>
              </w:rPr>
            </w:pPr>
            <w:r>
              <w:rPr>
                <w:rFonts w:ascii="Times New Roman" w:eastAsia="宋体-PUA"/>
                <w:b/>
                <w:color w:val="000000"/>
                <w:sz w:val="28"/>
                <w:szCs w:val="28"/>
              </w:rPr>
              <w:t>五陵塬都市农业长廊。投资50亿元，占地面积2.5万亩，东向西依次建设了正阳现代农业示范园、西部芳香植物园、唐顺陵遗址生态园林、秦汉新城森林公园、北京花木、陕西张裕瑞那城堡酒庄、义陵竹柳绿化、二十八星宿梅园、秦汉新城皇家花园、周陵田园居现代农业观光园10大农业项目。</w:t>
            </w:r>
          </w:p>
          <w:p>
            <w:pPr>
              <w:tabs>
                <w:tab w:val="left" w:pos="5700"/>
              </w:tabs>
              <w:adjustRightInd w:val="0"/>
              <w:snapToGrid w:val="0"/>
              <w:spacing w:line="540" w:lineRule="exact"/>
              <w:ind w:firstLine="562"/>
              <w:jc w:val="left"/>
              <w:rPr>
                <w:rFonts w:ascii="Times New Roman" w:eastAsia="宋体-PUA"/>
                <w:b/>
                <w:color w:val="000000"/>
                <w:sz w:val="28"/>
                <w:szCs w:val="28"/>
              </w:rPr>
            </w:pPr>
            <w:r>
              <w:rPr>
                <w:rFonts w:ascii="Times New Roman" w:eastAsia="宋体-PUA"/>
                <w:b/>
                <w:color w:val="000000"/>
                <w:sz w:val="28"/>
                <w:szCs w:val="28"/>
              </w:rPr>
              <w:t>100兆瓦光伏生态农业示范园项目。投资26亿元，建设健康功能食品研发、生产和市场营销产业园项目。</w:t>
            </w:r>
          </w:p>
          <w:p>
            <w:pPr>
              <w:tabs>
                <w:tab w:val="left" w:pos="5700"/>
              </w:tabs>
              <w:adjustRightInd w:val="0"/>
              <w:snapToGrid w:val="0"/>
              <w:spacing w:line="540" w:lineRule="exact"/>
              <w:ind w:firstLine="562"/>
              <w:jc w:val="left"/>
              <w:rPr>
                <w:rFonts w:ascii="Times New Roman" w:eastAsia="宋体-PUA"/>
                <w:b/>
                <w:color w:val="000000"/>
                <w:sz w:val="28"/>
                <w:szCs w:val="28"/>
              </w:rPr>
            </w:pPr>
            <w:r>
              <w:rPr>
                <w:rFonts w:ascii="Times New Roman" w:eastAsia="宋体-PUA"/>
                <w:b/>
                <w:color w:val="000000"/>
                <w:sz w:val="28"/>
                <w:szCs w:val="28"/>
              </w:rPr>
              <w:t>秦汉鲜花港。投资10.94亿元，占地2300亩,建设集花卉苗木生产、研发、交易、物流储运、花卉疗养和旅游园区、高档花卉研发中心、优质花木繁育中心、花卉物流中心、花卉展销于一体的陕西一流鲜花港和西北最大的红掌标准化、工厂化生产基地。</w:t>
            </w:r>
          </w:p>
          <w:p>
            <w:pPr>
              <w:tabs>
                <w:tab w:val="left" w:pos="5700"/>
              </w:tabs>
              <w:adjustRightInd w:val="0"/>
              <w:snapToGrid w:val="0"/>
              <w:spacing w:line="540" w:lineRule="exact"/>
              <w:ind w:firstLine="562"/>
              <w:jc w:val="left"/>
              <w:rPr>
                <w:rFonts w:ascii="Times New Roman" w:eastAsia="宋体-PUA"/>
                <w:b/>
                <w:color w:val="000000"/>
                <w:sz w:val="28"/>
                <w:szCs w:val="28"/>
              </w:rPr>
            </w:pPr>
            <w:r>
              <w:rPr>
                <w:rFonts w:ascii="Times New Roman" w:eastAsia="宋体-PUA"/>
                <w:b/>
                <w:color w:val="000000"/>
                <w:sz w:val="28"/>
                <w:szCs w:val="28"/>
              </w:rPr>
              <w:t>陕西武功福瑞特生态农业园区建设项目。投资6.27亿元，占地2500亩.主要建设综合管理服务区10亩，加工物流区20亩，休闲观光区150亩，绿色设施农业区850 亩，黑提葡萄种植区1000 亩，苗木种植区200 亩，有机肥源工程区270亩。</w:t>
            </w:r>
          </w:p>
          <w:p>
            <w:pPr>
              <w:tabs>
                <w:tab w:val="left" w:pos="5700"/>
              </w:tabs>
              <w:adjustRightInd w:val="0"/>
              <w:snapToGrid w:val="0"/>
              <w:spacing w:line="540" w:lineRule="exact"/>
              <w:ind w:firstLine="562"/>
              <w:jc w:val="left"/>
              <w:rPr>
                <w:rFonts w:ascii="Times New Roman" w:eastAsia="宋体-PUA"/>
                <w:b/>
                <w:color w:val="000000"/>
                <w:sz w:val="28"/>
                <w:szCs w:val="28"/>
              </w:rPr>
            </w:pPr>
            <w:r>
              <w:rPr>
                <w:rFonts w:ascii="Times New Roman" w:eastAsia="宋体-PUA"/>
                <w:b/>
                <w:color w:val="000000"/>
                <w:sz w:val="28"/>
                <w:szCs w:val="28"/>
              </w:rPr>
              <w:t>泛华建设集团有限公司智慧农业谷建设项目。投资6亿元，打造淳化智慧农业谷综合项目。</w:t>
            </w:r>
          </w:p>
          <w:p>
            <w:pPr>
              <w:spacing w:line="540" w:lineRule="exact"/>
              <w:ind w:firstLine="562"/>
              <w:jc w:val="left"/>
              <w:rPr>
                <w:rFonts w:ascii="Times New Roman" w:eastAsia="宋体-PUA"/>
                <w:b/>
                <w:color w:val="000000"/>
                <w:sz w:val="28"/>
                <w:szCs w:val="28"/>
              </w:rPr>
            </w:pPr>
            <w:r>
              <w:rPr>
                <w:rFonts w:ascii="Times New Roman" w:eastAsia="宋体-PUA"/>
                <w:b/>
                <w:color w:val="000000"/>
                <w:sz w:val="28"/>
                <w:szCs w:val="28"/>
              </w:rPr>
              <w:t>礼泉县肉食品初加工基地建设项目。投资5.5亿元，新建生猪、肉羊、肉鸡、肉牛等肉食品初加工、冷藏、物流等基地5处。</w:t>
            </w:r>
          </w:p>
          <w:p>
            <w:pPr>
              <w:tabs>
                <w:tab w:val="left" w:pos="5700"/>
              </w:tabs>
              <w:adjustRightInd w:val="0"/>
              <w:snapToGrid w:val="0"/>
              <w:spacing w:line="540" w:lineRule="exact"/>
              <w:ind w:firstLine="562"/>
              <w:jc w:val="left"/>
              <w:rPr>
                <w:rFonts w:ascii="Times New Roman" w:eastAsia="宋体-PUA"/>
                <w:b/>
                <w:color w:val="000000"/>
                <w:sz w:val="28"/>
                <w:szCs w:val="28"/>
              </w:rPr>
            </w:pPr>
            <w:r>
              <w:rPr>
                <w:rFonts w:ascii="Times New Roman" w:eastAsia="宋体-PUA"/>
                <w:b/>
                <w:color w:val="000000"/>
                <w:sz w:val="28"/>
                <w:szCs w:val="28"/>
              </w:rPr>
              <w:t>三原县葡萄种植及酿酒基地建设项目。投资5亿元，主要建设5万亩酿酒葡萄种植基地、标准化葡萄收储、技术培训服务站10个，建设面积880平方米，储藏库20000平方米、引进国内外知名葡萄酒生产企业，建设万吨葡萄酒酿造生产线。</w:t>
            </w:r>
          </w:p>
          <w:p>
            <w:pPr>
              <w:tabs>
                <w:tab w:val="left" w:pos="5700"/>
              </w:tabs>
              <w:adjustRightInd w:val="0"/>
              <w:snapToGrid w:val="0"/>
              <w:spacing w:line="540" w:lineRule="exact"/>
              <w:ind w:firstLine="562"/>
              <w:jc w:val="left"/>
              <w:rPr>
                <w:rFonts w:ascii="Times New Roman" w:eastAsia="宋体-PUA"/>
                <w:b/>
                <w:color w:val="000000"/>
                <w:sz w:val="28"/>
                <w:szCs w:val="28"/>
              </w:rPr>
            </w:pPr>
            <w:r>
              <w:rPr>
                <w:rFonts w:ascii="Times New Roman" w:eastAsia="宋体-PUA"/>
                <w:b/>
                <w:color w:val="000000"/>
                <w:sz w:val="28"/>
                <w:szCs w:val="28"/>
              </w:rPr>
              <w:t>薰衣草种植观光园建设项目。投资4.81亿元，建设内容为种植薰衣草、马鞭草2600亩；并配套建设农业观光园、体验园及深加工生产线；相关配套设施等，总建筑面积24500平方米。</w:t>
            </w:r>
          </w:p>
          <w:p>
            <w:pPr>
              <w:tabs>
                <w:tab w:val="left" w:pos="5700"/>
              </w:tabs>
              <w:adjustRightInd w:val="0"/>
              <w:snapToGrid w:val="0"/>
              <w:spacing w:line="540" w:lineRule="exact"/>
              <w:ind w:firstLine="562"/>
              <w:jc w:val="left"/>
              <w:rPr>
                <w:rFonts w:ascii="Times New Roman" w:eastAsia="宋体-PUA"/>
                <w:b/>
                <w:color w:val="000000"/>
                <w:sz w:val="28"/>
                <w:szCs w:val="28"/>
              </w:rPr>
            </w:pPr>
            <w:r>
              <w:rPr>
                <w:rFonts w:ascii="Times New Roman" w:eastAsia="宋体-PUA"/>
                <w:b/>
                <w:color w:val="000000"/>
                <w:sz w:val="28"/>
                <w:szCs w:val="28"/>
              </w:rPr>
              <w:t>淳化县华晨现代农业精准扶贫项目。投资4.8亿元，建设温室葡萄种植示范基地200亩、酿葡萄酒种植基地500亩。设昊玥生态酒店、葡萄酒会展中心、红酒商务会所和1.5公里葡萄观光采摘长廊等项目。</w:t>
            </w:r>
          </w:p>
          <w:p>
            <w:pPr>
              <w:tabs>
                <w:tab w:val="left" w:pos="5700"/>
              </w:tabs>
              <w:adjustRightInd w:val="0"/>
              <w:snapToGrid w:val="0"/>
              <w:spacing w:line="540" w:lineRule="exact"/>
              <w:ind w:firstLine="562"/>
              <w:jc w:val="left"/>
              <w:rPr>
                <w:rFonts w:ascii="Times New Roman" w:eastAsia="宋体-PUA"/>
                <w:b/>
                <w:color w:val="000000"/>
                <w:sz w:val="28"/>
                <w:szCs w:val="28"/>
              </w:rPr>
            </w:pPr>
            <w:r>
              <w:rPr>
                <w:rFonts w:ascii="Times New Roman" w:eastAsia="宋体-PUA"/>
                <w:b/>
                <w:color w:val="000000"/>
                <w:sz w:val="28"/>
                <w:szCs w:val="28"/>
              </w:rPr>
              <w:t>礼泉县果品标准化养殖示范基地建设项目。投资4.5亿元，新建苹</w:t>
            </w:r>
            <w:r>
              <w:rPr>
                <w:rFonts w:ascii="Times New Roman" w:eastAsia="宋体-PUA"/>
                <w:b/>
                <w:color w:val="000000"/>
                <w:spacing w:val="-8"/>
                <w:sz w:val="28"/>
                <w:szCs w:val="28"/>
              </w:rPr>
              <w:t>果、梨、葡萄、核桃、樱桃等果品标准化种植示范基地15个，改建10个。</w:t>
            </w:r>
          </w:p>
          <w:p>
            <w:pPr>
              <w:tabs>
                <w:tab w:val="left" w:pos="5700"/>
              </w:tabs>
              <w:adjustRightInd w:val="0"/>
              <w:snapToGrid w:val="0"/>
              <w:spacing w:line="540" w:lineRule="exact"/>
              <w:ind w:firstLine="562"/>
              <w:jc w:val="left"/>
              <w:rPr>
                <w:rFonts w:ascii="Times New Roman"/>
                <w:b/>
                <w:color w:val="000000"/>
                <w:sz w:val="28"/>
                <w:szCs w:val="28"/>
              </w:rPr>
            </w:pPr>
            <w:r>
              <w:rPr>
                <w:rFonts w:ascii="Times New Roman" w:eastAsia="宋体-PUA"/>
                <w:b/>
                <w:color w:val="000000"/>
                <w:sz w:val="28"/>
                <w:szCs w:val="28"/>
              </w:rPr>
              <w:t>关中黑猪规模化养殖及屠宰项目。投资3亿元，项目拟在永寿县建设黑猪规模化养殖及屠宰项目,包括黑猪养殖基地及屠宰加工基地,养殖基地占地约1000亩建设内容包括4栋千头圈、2栋800头母猪圈、1栋产子圈，1栋隔离圈</w:t>
            </w:r>
            <w:r>
              <w:rPr>
                <w:rFonts w:hint="eastAsia" w:ascii="Times New Roman" w:eastAsia="宋体-PUA"/>
                <w:b/>
                <w:color w:val="000000"/>
                <w:sz w:val="28"/>
                <w:szCs w:val="28"/>
              </w:rPr>
              <w:t>，</w:t>
            </w:r>
            <w:r>
              <w:rPr>
                <w:rFonts w:ascii="Times New Roman" w:eastAsia="宋体-PUA"/>
                <w:b/>
                <w:color w:val="000000"/>
                <w:sz w:val="28"/>
                <w:szCs w:val="28"/>
              </w:rPr>
              <w:t>年出栏约4000头生猪;屠宰加工基地主要建设屠宰线、冷库及冷链销售网络。</w:t>
            </w:r>
          </w:p>
        </w:tc>
      </w:tr>
    </w:tbl>
    <w:p>
      <w:pPr>
        <w:keepNext/>
        <w:keepLines/>
        <w:spacing w:line="300" w:lineRule="exact"/>
        <w:ind w:firstLine="0" w:firstLineChars="0"/>
        <w:jc w:val="center"/>
        <w:outlineLvl w:val="3"/>
        <w:rPr>
          <w:rFonts w:ascii="Times New Roman" w:eastAsia="宋体"/>
          <w:b/>
          <w:color w:val="000000"/>
          <w:sz w:val="32"/>
          <w:szCs w:val="32"/>
        </w:rPr>
      </w:pPr>
    </w:p>
    <w:p>
      <w:pPr>
        <w:keepNext/>
        <w:keepLines/>
        <w:spacing w:line="600" w:lineRule="exact"/>
        <w:ind w:firstLine="0" w:firstLineChars="0"/>
        <w:jc w:val="center"/>
        <w:outlineLvl w:val="3"/>
        <w:rPr>
          <w:rFonts w:ascii="Times New Roman" w:eastAsia="宋体"/>
          <w:b/>
          <w:color w:val="000000"/>
          <w:sz w:val="32"/>
          <w:szCs w:val="32"/>
        </w:rPr>
      </w:pPr>
      <w:r>
        <w:rPr>
          <w:rFonts w:ascii="Times New Roman" w:eastAsia="宋体"/>
          <w:b/>
          <w:color w:val="000000"/>
          <w:sz w:val="32"/>
          <w:szCs w:val="32"/>
        </w:rPr>
        <w:t>第二节  培育壮大新型农业经营主体</w:t>
      </w:r>
    </w:p>
    <w:p>
      <w:pPr>
        <w:keepNext/>
        <w:keepLines/>
        <w:spacing w:line="300" w:lineRule="exact"/>
        <w:ind w:firstLine="0" w:firstLineChars="0"/>
        <w:jc w:val="center"/>
        <w:outlineLvl w:val="3"/>
        <w:rPr>
          <w:rFonts w:ascii="Times New Roman" w:eastAsia="宋体"/>
          <w:b/>
          <w:color w:val="000000"/>
          <w:sz w:val="32"/>
          <w:szCs w:val="32"/>
        </w:rPr>
      </w:pPr>
    </w:p>
    <w:p>
      <w:pPr>
        <w:spacing w:line="600" w:lineRule="exact"/>
        <w:ind w:firstLine="643"/>
        <w:rPr>
          <w:rFonts w:ascii="Times New Roman"/>
          <w:b/>
          <w:color w:val="000000"/>
          <w:sz w:val="32"/>
          <w:szCs w:val="32"/>
        </w:rPr>
      </w:pPr>
      <w:r>
        <w:rPr>
          <w:rFonts w:ascii="Times New Roman"/>
          <w:b/>
          <w:color w:val="000000"/>
          <w:sz w:val="32"/>
          <w:szCs w:val="32"/>
        </w:rPr>
        <w:t>完善农业产业化组织模式，积极发展集生产、加工和服务于一体的农业产业化联合体，探索订单农业、股份合作等形式多样的利益联结模式，提升农业产业化经营水平。引进和培育一批产业链条长、产品附加值高、市场竞争力强、品牌影响力大的龙头企业。鼓励支持专业合作社、家庭农场、种养大户等新型农业经营主体，发展多种形式的适度规模经营。稳步推进土地经营权有序流转，鼓励发展土地托管、土地股份合作等多种形式的适度规模经营。加强农民合作社规范化建设，鼓励发展土地股份合作社、资金互助合作社等新型合作社，打造一批有较强发展实力和竞争力的联合社。实施家庭农场创建工程，大力发展粮食经作型、果蔬园艺型、机农一体型家庭农场。实施新型职业农民素质提升工程，加快培养农业各类经营服务人才，积极培育新型职业农民。到2020年，全市农业产业化龙头企业达到290家，农民专业合作示范社3500个，培育家庭农场3000个，培育职业农民3万人以上。</w:t>
      </w:r>
    </w:p>
    <w:p>
      <w:pPr>
        <w:keepNext/>
        <w:keepLines/>
        <w:spacing w:line="300" w:lineRule="exact"/>
        <w:ind w:firstLine="0" w:firstLineChars="0"/>
        <w:jc w:val="center"/>
        <w:outlineLvl w:val="3"/>
        <w:rPr>
          <w:rFonts w:ascii="Times New Roman" w:eastAsia="宋体"/>
          <w:b/>
          <w:color w:val="000000"/>
          <w:sz w:val="32"/>
          <w:szCs w:val="32"/>
        </w:rPr>
      </w:pPr>
    </w:p>
    <w:p>
      <w:pPr>
        <w:keepNext/>
        <w:keepLines/>
        <w:spacing w:line="600" w:lineRule="exact"/>
        <w:ind w:firstLine="0" w:firstLineChars="0"/>
        <w:jc w:val="center"/>
        <w:outlineLvl w:val="3"/>
        <w:rPr>
          <w:rFonts w:ascii="Times New Roman" w:eastAsia="黑体"/>
          <w:b/>
          <w:color w:val="000000"/>
          <w:sz w:val="32"/>
          <w:szCs w:val="32"/>
        </w:rPr>
      </w:pPr>
      <w:r>
        <w:rPr>
          <w:rFonts w:ascii="Times New Roman" w:eastAsia="宋体"/>
          <w:b/>
          <w:color w:val="000000"/>
          <w:sz w:val="32"/>
          <w:szCs w:val="32"/>
        </w:rPr>
        <w:t>第三节  加强农业基础设施和科技装备水平</w:t>
      </w:r>
    </w:p>
    <w:p>
      <w:pPr>
        <w:keepNext/>
        <w:keepLines/>
        <w:spacing w:line="300" w:lineRule="exact"/>
        <w:ind w:firstLine="0" w:firstLineChars="0"/>
        <w:jc w:val="center"/>
        <w:outlineLvl w:val="3"/>
        <w:rPr>
          <w:rFonts w:ascii="Times New Roman" w:eastAsia="宋体"/>
          <w:b/>
          <w:color w:val="000000"/>
          <w:sz w:val="32"/>
          <w:szCs w:val="32"/>
        </w:rPr>
      </w:pPr>
    </w:p>
    <w:p>
      <w:pPr>
        <w:pBdr>
          <w:top w:val="none" w:color="auto" w:sz="0" w:space="1"/>
          <w:left w:val="none" w:color="auto" w:sz="0" w:space="4"/>
          <w:bottom w:val="none" w:color="auto" w:sz="0" w:space="1"/>
          <w:right w:val="none" w:color="auto" w:sz="0" w:space="4"/>
        </w:pBdr>
        <w:spacing w:line="600" w:lineRule="exact"/>
        <w:ind w:firstLine="643"/>
        <w:rPr>
          <w:rFonts w:ascii="Times New Roman"/>
          <w:b/>
          <w:color w:val="000000"/>
          <w:spacing w:val="-8"/>
          <w:sz w:val="32"/>
          <w:szCs w:val="32"/>
        </w:rPr>
      </w:pPr>
      <w:r>
        <w:rPr>
          <w:rFonts w:ascii="Times New Roman"/>
          <w:b/>
          <w:color w:val="000000"/>
          <w:sz w:val="32"/>
          <w:szCs w:val="32"/>
        </w:rPr>
        <w:t>坚</w:t>
      </w:r>
      <w:r>
        <w:rPr>
          <w:rFonts w:ascii="Times New Roman"/>
          <w:b/>
          <w:color w:val="000000"/>
          <w:spacing w:val="2"/>
          <w:sz w:val="32"/>
          <w:szCs w:val="32"/>
        </w:rPr>
        <w:t>持最严格的耕地保护制度，坚守耕地红线，实施藏粮于地、藏粮于技战略，提高粮食产能。全面划定永久基本农田，深入开展土地综合整治，推进高标准农田建设工程，完善机耕道、农田防护林等设施，提高农田生产能力。推进羊毛湾灌区等大中型灌区节水改造，加快灌区末级渠系建设，大力发展高效节水灌溉工程。</w:t>
      </w:r>
    </w:p>
    <w:p>
      <w:pPr>
        <w:pBdr>
          <w:top w:val="none" w:color="auto" w:sz="0" w:space="1"/>
          <w:left w:val="none" w:color="auto" w:sz="0" w:space="4"/>
          <w:bottom w:val="none" w:color="auto" w:sz="0" w:space="1"/>
          <w:right w:val="none" w:color="auto" w:sz="0" w:space="4"/>
        </w:pBdr>
        <w:spacing w:line="600" w:lineRule="exact"/>
        <w:ind w:firstLine="643"/>
        <w:rPr>
          <w:rFonts w:ascii="Times New Roman"/>
          <w:b/>
          <w:color w:val="000000"/>
          <w:sz w:val="32"/>
          <w:szCs w:val="32"/>
        </w:rPr>
      </w:pPr>
      <w:r>
        <w:rPr>
          <w:rFonts w:ascii="Times New Roman"/>
          <w:b/>
          <w:color w:val="000000"/>
          <w:sz w:val="32"/>
          <w:szCs w:val="32"/>
        </w:rPr>
        <w:t>深化咸杨农业一体化科技合作，积极开展粮油、果蔬、畜禽等新品种、新技术、新装备的引进、试验和示范，打造农业科技成果转化和农业科技集成创新示范基地，建成大西安优质农产品供应基地、西北地区绿色食品生产基地。以实现全程机械化为目标，以建设中国西部现代农机装备制造物流产业园为依托，大力引进和推广高端智能农业机械，推广更新各类新型适用农业机械10万台套，到2020年使全市农业机械总量达到53万台，全市主要农作物生产机械化水平达到87%。实施农业信息化提速工程，</w:t>
      </w:r>
      <w:r>
        <w:rPr>
          <w:rFonts w:ascii="Times New Roman"/>
          <w:b/>
          <w:color w:val="000000"/>
          <w:sz w:val="32"/>
          <w:szCs w:val="32"/>
          <w:shd w:val="clear" w:color="auto" w:fill="FFFFFF"/>
        </w:rPr>
        <w:t>积极推广一批实用信息技术和产品，提高农业智能化和精准化水平。</w:t>
      </w:r>
      <w:r>
        <w:rPr>
          <w:rFonts w:ascii="Times New Roman"/>
          <w:b/>
          <w:color w:val="000000"/>
          <w:sz w:val="32"/>
          <w:szCs w:val="32"/>
        </w:rPr>
        <w:t>到2020年建成现代农业园区农产品追溯与物联网信息化示范点50个、生猪屠宰场视频监管示范点10个。加强农业防灾减灾能力建设，提高应对自然灾害和重大突发事件能力。完善市、县两级农业气象灾害预报预警服务平台，提高农业气象保障服务能力。</w:t>
      </w:r>
    </w:p>
    <w:p>
      <w:pPr>
        <w:keepNext/>
        <w:keepLines/>
        <w:spacing w:line="300" w:lineRule="exact"/>
        <w:ind w:firstLine="0" w:firstLineChars="0"/>
        <w:jc w:val="center"/>
        <w:outlineLvl w:val="3"/>
        <w:rPr>
          <w:rFonts w:ascii="Times New Roman" w:eastAsia="宋体"/>
          <w:b/>
          <w:color w:val="000000"/>
          <w:sz w:val="32"/>
          <w:szCs w:val="32"/>
        </w:rPr>
      </w:pPr>
    </w:p>
    <w:p>
      <w:pPr>
        <w:keepNext/>
        <w:keepLines/>
        <w:numPr>
          <w:ilvl w:val="0"/>
          <w:numId w:val="7"/>
        </w:numPr>
        <w:spacing w:line="600" w:lineRule="exact"/>
        <w:ind w:firstLine="0" w:firstLineChars="0"/>
        <w:jc w:val="center"/>
        <w:outlineLvl w:val="3"/>
        <w:rPr>
          <w:rFonts w:ascii="Times New Roman" w:eastAsia="宋体"/>
          <w:b/>
          <w:color w:val="000000"/>
          <w:sz w:val="32"/>
          <w:szCs w:val="32"/>
        </w:rPr>
      </w:pPr>
      <w:r>
        <w:rPr>
          <w:rFonts w:ascii="Times New Roman" w:eastAsia="宋体"/>
          <w:b/>
          <w:color w:val="000000"/>
          <w:sz w:val="32"/>
          <w:szCs w:val="32"/>
        </w:rPr>
        <w:t xml:space="preserve"> 提升农产品质量安全水平</w:t>
      </w:r>
    </w:p>
    <w:p>
      <w:pPr>
        <w:keepNext/>
        <w:keepLines/>
        <w:spacing w:line="300" w:lineRule="exact"/>
        <w:ind w:firstLine="0" w:firstLineChars="0"/>
        <w:jc w:val="center"/>
        <w:outlineLvl w:val="3"/>
        <w:rPr>
          <w:rFonts w:ascii="Times New Roman" w:eastAsia="宋体"/>
          <w:b/>
          <w:color w:val="000000"/>
          <w:sz w:val="32"/>
          <w:szCs w:val="32"/>
        </w:rPr>
      </w:pPr>
    </w:p>
    <w:p>
      <w:pPr>
        <w:spacing w:line="600" w:lineRule="exact"/>
        <w:ind w:firstLine="643"/>
        <w:rPr>
          <w:rFonts w:ascii="Times New Roman"/>
          <w:b/>
          <w:color w:val="000000"/>
          <w:sz w:val="32"/>
          <w:szCs w:val="32"/>
        </w:rPr>
      </w:pPr>
      <w:r>
        <w:rPr>
          <w:rFonts w:ascii="Times New Roman" w:eastAsia="楷体_GB2312"/>
          <w:b/>
          <w:color w:val="000000"/>
          <w:sz w:val="32"/>
          <w:szCs w:val="32"/>
          <w:shd w:val="clear" w:color="auto" w:fill="FFFFFF"/>
        </w:rPr>
        <w:t>全</w:t>
      </w:r>
      <w:r>
        <w:rPr>
          <w:rFonts w:ascii="Times New Roman" w:eastAsia="楷体_GB2312"/>
          <w:b/>
          <w:color w:val="000000"/>
          <w:spacing w:val="2"/>
          <w:sz w:val="32"/>
          <w:szCs w:val="32"/>
          <w:shd w:val="clear" w:color="auto" w:fill="FFFFFF"/>
        </w:rPr>
        <w:t>面推行农业标准化生产。</w:t>
      </w:r>
      <w:r>
        <w:rPr>
          <w:rFonts w:ascii="Times New Roman"/>
          <w:b/>
          <w:color w:val="000000"/>
          <w:spacing w:val="2"/>
          <w:sz w:val="32"/>
          <w:szCs w:val="32"/>
          <w:shd w:val="clear" w:color="auto" w:fill="FFFFFF"/>
        </w:rPr>
        <w:t>加强农业标准化工作，健全推广和服务体系。制定推广一批简明易懂的生产技术操作规程，扶持新型农业经营主体率先开展标准化生产，实现生产设施、过程和产品标准化</w:t>
      </w:r>
      <w:r>
        <w:rPr>
          <w:rFonts w:ascii="Times New Roman"/>
          <w:b/>
          <w:color w:val="000000"/>
          <w:spacing w:val="2"/>
          <w:sz w:val="32"/>
          <w:szCs w:val="32"/>
        </w:rPr>
        <w:t>。依托农业产业化龙头企业、农民专业合作经济组织、现代农业园区、规模化养殖场，积极开展标准化示范基地（场、站、园区）创建活动，建成一批农业标准化生产示范区（基地）。</w:t>
      </w:r>
      <w:r>
        <w:rPr>
          <w:rFonts w:ascii="Times New Roman"/>
          <w:b/>
          <w:color w:val="000000"/>
          <w:spacing w:val="2"/>
          <w:sz w:val="32"/>
          <w:szCs w:val="32"/>
          <w:shd w:val="clear" w:color="auto" w:fill="FFFFFF"/>
        </w:rPr>
        <w:t>积极推行减量化生产和清洁生产技术，规范生产行为，</w:t>
      </w:r>
      <w:r>
        <w:rPr>
          <w:rFonts w:ascii="Times New Roman"/>
          <w:b/>
          <w:color w:val="000000"/>
          <w:spacing w:val="2"/>
          <w:sz w:val="32"/>
          <w:szCs w:val="32"/>
        </w:rPr>
        <w:t>严格化肥、农兽药、添加剂等投入品监管，提高产地农产品标准化水平。积极推进产地环境整县评估，加快无公害农产品认证，到2020年，主要农产品标准化生产覆盖率达到80%以上，全市新增无公害农产品认定产地75个、通过认证无公害农产品100个。</w:t>
      </w:r>
    </w:p>
    <w:p>
      <w:pPr>
        <w:spacing w:line="600" w:lineRule="exact"/>
        <w:ind w:firstLine="643"/>
        <w:rPr>
          <w:rFonts w:ascii="Times New Roman"/>
          <w:b/>
          <w:color w:val="000000"/>
          <w:sz w:val="32"/>
          <w:szCs w:val="32"/>
        </w:rPr>
      </w:pPr>
      <w:r>
        <w:rPr>
          <w:rFonts w:ascii="Times New Roman" w:eastAsia="楷体_GB2312"/>
          <w:b/>
          <w:color w:val="000000"/>
          <w:sz w:val="32"/>
          <w:szCs w:val="32"/>
          <w:shd w:val="clear" w:color="auto" w:fill="FFFFFF"/>
        </w:rPr>
        <w:t>提高农产品质量安全监管能力。</w:t>
      </w:r>
      <w:r>
        <w:rPr>
          <w:rFonts w:ascii="Times New Roman"/>
          <w:b/>
          <w:color w:val="000000"/>
          <w:sz w:val="32"/>
          <w:szCs w:val="32"/>
        </w:rPr>
        <w:t>建立健全农产品质量安全监管、检测和执法体系，强化从农田到餐桌的农产品质量安全全过程监管。加快农产品质量安全追溯平台建设，建立“生产有记录、信息可查询、流向可跟踪、责任可追溯”的农产品质量安全追溯体系，促进各类追溯平台互联互通和监管信息共享。积极开展农产品质量安全县创建活动，探索建立有效的监管机制和模式。到2020年，农产品监测抽检实现全覆盖，主要农产品质量安全检测合格率达到98%以上。</w:t>
      </w:r>
    </w:p>
    <w:p>
      <w:pPr>
        <w:keepNext/>
        <w:keepLines/>
        <w:spacing w:line="600" w:lineRule="exact"/>
        <w:ind w:firstLine="0" w:firstLineChars="0"/>
        <w:jc w:val="center"/>
        <w:outlineLvl w:val="1"/>
        <w:rPr>
          <w:rFonts w:hint="eastAsia" w:ascii="方正小标宋_GBK" w:hAnsi="方正小标宋_GBK" w:eastAsia="方正小标宋_GBK" w:cs="方正小标宋_GBK"/>
          <w:b/>
          <w:color w:val="000000"/>
          <w:kern w:val="0"/>
          <w:sz w:val="44"/>
          <w:szCs w:val="44"/>
        </w:rPr>
      </w:pPr>
      <w:r>
        <w:rPr>
          <w:rFonts w:ascii="Times New Roman" w:eastAsia="方正小标宋简体"/>
          <w:b/>
          <w:color w:val="000000"/>
          <w:kern w:val="0"/>
          <w:sz w:val="36"/>
          <w:szCs w:val="36"/>
        </w:rPr>
        <w:br w:type="page"/>
      </w:r>
      <w:bookmarkStart w:id="12" w:name="_Toc439878079"/>
    </w:p>
    <w:p>
      <w:pPr>
        <w:keepNext/>
        <w:keepLines/>
        <w:spacing w:line="600" w:lineRule="exact"/>
        <w:ind w:firstLine="0" w:firstLineChars="0"/>
        <w:jc w:val="center"/>
        <w:outlineLvl w:val="1"/>
        <w:rPr>
          <w:rFonts w:hint="eastAsia" w:ascii="方正小标宋_GBK" w:hAnsi="方正小标宋_GBK" w:eastAsia="方正小标宋_GBK" w:cs="方正小标宋_GBK"/>
          <w:b/>
          <w:color w:val="000000"/>
          <w:kern w:val="0"/>
          <w:sz w:val="44"/>
          <w:szCs w:val="44"/>
        </w:rPr>
      </w:pPr>
      <w:r>
        <w:rPr>
          <w:rFonts w:hint="eastAsia" w:ascii="方正小标宋_GBK" w:hAnsi="方正小标宋_GBK" w:eastAsia="方正小标宋_GBK" w:cs="方正小标宋_GBK"/>
          <w:b/>
          <w:color w:val="000000"/>
          <w:kern w:val="0"/>
          <w:sz w:val="44"/>
          <w:szCs w:val="44"/>
        </w:rPr>
        <w:t>第三篇  聚焦协调发展 构筑均衡融合新格局</w:t>
      </w:r>
      <w:bookmarkEnd w:id="12"/>
    </w:p>
    <w:p>
      <w:pPr>
        <w:spacing w:line="600" w:lineRule="exact"/>
        <w:ind w:firstLine="0" w:firstLineChars="0"/>
        <w:jc w:val="center"/>
        <w:outlineLvl w:val="1"/>
        <w:rPr>
          <w:rFonts w:hint="eastAsia" w:ascii="方正小标宋_GBK" w:hAnsi="方正小标宋_GBK" w:eastAsia="方正小标宋_GBK" w:cs="方正小标宋_GBK"/>
          <w:b/>
          <w:color w:val="000000"/>
          <w:kern w:val="0"/>
          <w:sz w:val="44"/>
          <w:szCs w:val="44"/>
        </w:rPr>
      </w:pPr>
    </w:p>
    <w:p>
      <w:pPr>
        <w:adjustRightInd w:val="0"/>
        <w:snapToGrid w:val="0"/>
        <w:spacing w:line="600" w:lineRule="exact"/>
        <w:ind w:firstLine="643"/>
        <w:rPr>
          <w:rFonts w:ascii="Times New Roman"/>
          <w:b/>
          <w:color w:val="000000"/>
          <w:sz w:val="32"/>
          <w:szCs w:val="32"/>
        </w:rPr>
      </w:pPr>
      <w:r>
        <w:rPr>
          <w:rFonts w:ascii="Times New Roman"/>
          <w:b/>
          <w:color w:val="000000"/>
          <w:sz w:val="32"/>
          <w:szCs w:val="32"/>
        </w:rPr>
        <w:t>正确处理发展中的重大关系，拓展基础设施建设新空间，推进区域协调发展，优化城乡发展结构，加快融入大西安，着力构筑良性互动、协调共进、融合发展的新格局。</w:t>
      </w:r>
    </w:p>
    <w:p>
      <w:pPr>
        <w:keepNext/>
        <w:keepLines/>
        <w:spacing w:line="300" w:lineRule="exact"/>
        <w:ind w:firstLine="0" w:firstLineChars="0"/>
        <w:jc w:val="center"/>
        <w:outlineLvl w:val="3"/>
        <w:rPr>
          <w:rFonts w:ascii="Times New Roman" w:eastAsia="宋体"/>
          <w:b/>
          <w:color w:val="000000"/>
          <w:sz w:val="32"/>
          <w:szCs w:val="32"/>
        </w:rPr>
      </w:pPr>
      <w:bookmarkStart w:id="13" w:name="_Toc439878080"/>
    </w:p>
    <w:p>
      <w:pPr>
        <w:keepNext/>
        <w:keepLines/>
        <w:numPr>
          <w:ilvl w:val="0"/>
          <w:numId w:val="8"/>
        </w:numPr>
        <w:spacing w:line="600" w:lineRule="exact"/>
        <w:ind w:firstLine="0" w:firstLineChars="0"/>
        <w:jc w:val="center"/>
        <w:outlineLvl w:val="2"/>
        <w:rPr>
          <w:rFonts w:ascii="Times New Roman" w:eastAsia="黑体"/>
          <w:b/>
          <w:color w:val="000000"/>
          <w:kern w:val="0"/>
          <w:sz w:val="32"/>
          <w:szCs w:val="32"/>
        </w:rPr>
      </w:pPr>
      <w:r>
        <w:rPr>
          <w:rFonts w:ascii="Times New Roman" w:eastAsia="黑体"/>
          <w:b/>
          <w:color w:val="000000"/>
          <w:kern w:val="0"/>
          <w:sz w:val="32"/>
          <w:szCs w:val="32"/>
        </w:rPr>
        <w:t xml:space="preserve"> 完善基础设施体系</w:t>
      </w:r>
      <w:bookmarkEnd w:id="13"/>
    </w:p>
    <w:p>
      <w:pPr>
        <w:keepNext/>
        <w:keepLines/>
        <w:spacing w:line="300" w:lineRule="exact"/>
        <w:ind w:firstLine="0" w:firstLineChars="0"/>
        <w:jc w:val="center"/>
        <w:outlineLvl w:val="3"/>
        <w:rPr>
          <w:rFonts w:ascii="Times New Roman" w:eastAsia="宋体"/>
          <w:b/>
          <w:color w:val="000000"/>
          <w:sz w:val="32"/>
          <w:szCs w:val="32"/>
        </w:rPr>
      </w:pPr>
    </w:p>
    <w:p>
      <w:pPr>
        <w:adjustRightInd w:val="0"/>
        <w:snapToGrid w:val="0"/>
        <w:spacing w:line="600" w:lineRule="exact"/>
        <w:ind w:firstLine="643"/>
        <w:rPr>
          <w:rFonts w:ascii="Times New Roman"/>
          <w:b/>
          <w:color w:val="000000"/>
          <w:sz w:val="32"/>
          <w:szCs w:val="32"/>
        </w:rPr>
      </w:pPr>
      <w:r>
        <w:rPr>
          <w:rFonts w:ascii="Times New Roman"/>
          <w:b/>
          <w:color w:val="000000"/>
          <w:sz w:val="32"/>
          <w:szCs w:val="32"/>
        </w:rPr>
        <w:t>以综合交通网络、水利设施、市政设施、能源和信息基础设施为重点，着力打造适度超前、功能完善、配套协调、高效安全的基础设施体系，全面提升支撑保障能力。</w:t>
      </w:r>
    </w:p>
    <w:p>
      <w:pPr>
        <w:keepNext/>
        <w:keepLines/>
        <w:spacing w:line="300" w:lineRule="exact"/>
        <w:ind w:firstLine="0" w:firstLineChars="0"/>
        <w:jc w:val="center"/>
        <w:outlineLvl w:val="3"/>
        <w:rPr>
          <w:rFonts w:ascii="Times New Roman" w:eastAsia="宋体"/>
          <w:b/>
          <w:color w:val="000000"/>
          <w:sz w:val="32"/>
          <w:szCs w:val="32"/>
        </w:rPr>
      </w:pPr>
      <w:bookmarkStart w:id="14" w:name="_Toc439878081"/>
      <w:bookmarkStart w:id="15" w:name="_Toc439877160"/>
    </w:p>
    <w:p>
      <w:pPr>
        <w:keepNext/>
        <w:keepLines/>
        <w:adjustRightInd w:val="0"/>
        <w:snapToGrid w:val="0"/>
        <w:spacing w:line="600" w:lineRule="exact"/>
        <w:ind w:firstLine="0" w:firstLineChars="0"/>
        <w:jc w:val="center"/>
        <w:outlineLvl w:val="2"/>
        <w:rPr>
          <w:rFonts w:ascii="Times New Roman" w:eastAsia="宋体"/>
          <w:b/>
          <w:color w:val="000000"/>
          <w:kern w:val="0"/>
          <w:sz w:val="32"/>
          <w:szCs w:val="32"/>
        </w:rPr>
      </w:pPr>
      <w:r>
        <w:rPr>
          <w:rFonts w:ascii="Times New Roman" w:eastAsia="宋体"/>
          <w:b/>
          <w:color w:val="000000"/>
          <w:kern w:val="0"/>
          <w:sz w:val="32"/>
          <w:szCs w:val="32"/>
        </w:rPr>
        <w:t>第一节  构建综合交通运输体系</w:t>
      </w:r>
      <w:bookmarkEnd w:id="14"/>
      <w:bookmarkEnd w:id="15"/>
    </w:p>
    <w:p>
      <w:pPr>
        <w:keepNext/>
        <w:keepLines/>
        <w:spacing w:line="300" w:lineRule="exact"/>
        <w:ind w:firstLine="0" w:firstLineChars="0"/>
        <w:jc w:val="center"/>
        <w:outlineLvl w:val="3"/>
        <w:rPr>
          <w:rFonts w:ascii="Times New Roman" w:eastAsia="宋体"/>
          <w:b/>
          <w:color w:val="000000"/>
          <w:sz w:val="32"/>
          <w:szCs w:val="32"/>
        </w:rPr>
      </w:pPr>
    </w:p>
    <w:p>
      <w:pPr>
        <w:adjustRightInd w:val="0"/>
        <w:snapToGrid w:val="0"/>
        <w:spacing w:line="600" w:lineRule="exact"/>
        <w:ind w:firstLine="643"/>
        <w:rPr>
          <w:rFonts w:ascii="Times New Roman"/>
          <w:b/>
          <w:color w:val="000000"/>
          <w:sz w:val="32"/>
          <w:szCs w:val="32"/>
        </w:rPr>
      </w:pPr>
      <w:r>
        <w:rPr>
          <w:rFonts w:ascii="Times New Roman" w:eastAsia="楷体_GB2312"/>
          <w:b/>
          <w:color w:val="000000"/>
          <w:sz w:val="32"/>
          <w:szCs w:val="32"/>
        </w:rPr>
        <w:t>民航。</w:t>
      </w:r>
      <w:r>
        <w:rPr>
          <w:rFonts w:ascii="Times New Roman"/>
          <w:b/>
          <w:color w:val="000000"/>
          <w:spacing w:val="3"/>
          <w:sz w:val="32"/>
          <w:szCs w:val="32"/>
        </w:rPr>
        <w:t>加快西安咸阳国际机场门户枢纽建设，启动西安咸阳国际机场三期扩建前期工作，打造国际航空枢纽。探索发展通勤航空，推进通用机场建设，力争“十三五”期间建成1-2个通用机场。到2020年，航空旅客吞吐量达到7000万人次。</w:t>
      </w:r>
    </w:p>
    <w:p>
      <w:pPr>
        <w:spacing w:line="600" w:lineRule="exact"/>
        <w:ind w:firstLine="654"/>
        <w:rPr>
          <w:rFonts w:ascii="Times New Roman"/>
          <w:b/>
          <w:color w:val="000000"/>
          <w:spacing w:val="3"/>
          <w:sz w:val="32"/>
          <w:szCs w:val="32"/>
        </w:rPr>
      </w:pPr>
      <w:r>
        <w:rPr>
          <w:rFonts w:ascii="Times New Roman" w:eastAsia="楷体_GB2312"/>
          <w:b/>
          <w:color w:val="000000"/>
          <w:spacing w:val="3"/>
          <w:sz w:val="32"/>
          <w:szCs w:val="32"/>
        </w:rPr>
        <w:t>铁路。</w:t>
      </w:r>
      <w:r>
        <w:rPr>
          <w:rFonts w:ascii="Times New Roman"/>
          <w:b/>
          <w:color w:val="000000"/>
          <w:spacing w:val="3"/>
          <w:sz w:val="32"/>
          <w:szCs w:val="32"/>
        </w:rPr>
        <w:t>建成西安北客站至机场段城际铁路，新建西安至银川高速铁路。到2020年，形成由陇海铁路、西宝客运专线、西平铁路、西银高铁、咸铜铁路、铁路枢纽北环线、西安至咸阳机场城际铁路组成的“一环一联两横三纵”的铁路网络格局，铁路总里程达到670公里。</w:t>
      </w:r>
    </w:p>
    <w:p>
      <w:pPr>
        <w:spacing w:line="600" w:lineRule="exact"/>
        <w:ind w:firstLine="654"/>
        <w:rPr>
          <w:rFonts w:ascii="Times New Roman"/>
          <w:b/>
          <w:color w:val="000000"/>
          <w:spacing w:val="3"/>
          <w:sz w:val="32"/>
          <w:szCs w:val="32"/>
        </w:rPr>
      </w:pPr>
      <w:r>
        <w:rPr>
          <w:rFonts w:ascii="Times New Roman" w:eastAsia="楷体_GB2312"/>
          <w:b/>
          <w:color w:val="000000"/>
          <w:spacing w:val="3"/>
          <w:sz w:val="32"/>
          <w:szCs w:val="32"/>
        </w:rPr>
        <w:t>公路。</w:t>
      </w:r>
      <w:r>
        <w:rPr>
          <w:rFonts w:ascii="Times New Roman"/>
          <w:b/>
          <w:color w:val="000000"/>
          <w:spacing w:val="3"/>
          <w:sz w:val="32"/>
          <w:szCs w:val="32"/>
        </w:rPr>
        <w:t>建成菏宝高速旬邑至宝咸界段、银百高速旬邑至陕甘界段。到2020年，全市高速公路总里程达到618公里。实施国道G344、G312部分路段新改建工程，新改建国省道项目22个，建设里程481公里。到2020年，国道总里程为782公里，省道总里程为900公里，国道二级以上占比提升20%左右，省道部分重点路段、重点旅游景点道路达到二级以上标准。以“扩容、连接、升级、网化”为重点，提高县域内县乡公路比例，新改建县乡公路1492公里。到2020年，形成以县乡公路为骨干，村公路为基础的安全便捷的农村公路网络系统。</w:t>
      </w:r>
    </w:p>
    <w:p>
      <w:pPr>
        <w:spacing w:line="600" w:lineRule="exact"/>
        <w:ind w:firstLine="654"/>
        <w:rPr>
          <w:rFonts w:ascii="Times New Roman"/>
          <w:b/>
          <w:color w:val="000000"/>
          <w:spacing w:val="3"/>
          <w:sz w:val="32"/>
          <w:szCs w:val="32"/>
        </w:rPr>
      </w:pPr>
      <w:r>
        <w:rPr>
          <w:rFonts w:ascii="Times New Roman" w:eastAsia="楷体_GB2312"/>
          <w:b/>
          <w:color w:val="000000"/>
          <w:spacing w:val="3"/>
          <w:sz w:val="32"/>
          <w:szCs w:val="32"/>
        </w:rPr>
        <w:t>城市轨道交通。</w:t>
      </w:r>
      <w:r>
        <w:rPr>
          <w:rFonts w:ascii="Times New Roman"/>
          <w:b/>
          <w:color w:val="000000"/>
          <w:sz w:val="32"/>
          <w:szCs w:val="32"/>
        </w:rPr>
        <w:t>建成地铁1号线二期工程（后卫寨至森林公园），</w:t>
      </w:r>
      <w:r>
        <w:rPr>
          <w:rFonts w:ascii="Times New Roman"/>
          <w:b/>
          <w:color w:val="000000"/>
          <w:spacing w:val="3"/>
          <w:sz w:val="32"/>
          <w:szCs w:val="32"/>
        </w:rPr>
        <w:t>启动地铁1号线三期工程建设（咸阳森林公园至秦都桥段）。力争</w:t>
      </w:r>
      <w:r>
        <w:rPr>
          <w:rFonts w:ascii="Times New Roman"/>
          <w:b/>
          <w:color w:val="000000"/>
          <w:sz w:val="32"/>
          <w:szCs w:val="32"/>
        </w:rPr>
        <w:t>机场—咸阳主城区—沣西新城城际铁路开工建设。</w:t>
      </w:r>
      <w:r>
        <w:rPr>
          <w:rFonts w:ascii="Times New Roman"/>
          <w:b/>
          <w:color w:val="000000"/>
          <w:spacing w:val="3"/>
          <w:sz w:val="32"/>
          <w:szCs w:val="32"/>
        </w:rPr>
        <w:t>谋划推进陇海线北移工作，建设西安至咸阳的城际铁路。规划咸阳至兴平、兴平至机场、机场到主城市区的轨道交通环线。</w:t>
      </w:r>
    </w:p>
    <w:p>
      <w:pPr>
        <w:spacing w:line="600" w:lineRule="exact"/>
        <w:ind w:firstLine="654"/>
        <w:rPr>
          <w:rFonts w:ascii="Times New Roman"/>
          <w:b/>
          <w:color w:val="000000"/>
          <w:spacing w:val="3"/>
          <w:sz w:val="32"/>
          <w:szCs w:val="32"/>
        </w:rPr>
      </w:pPr>
      <w:r>
        <w:rPr>
          <w:rFonts w:ascii="Times New Roman" w:eastAsia="楷体_GB2312"/>
          <w:b/>
          <w:color w:val="000000"/>
          <w:spacing w:val="3"/>
          <w:sz w:val="32"/>
          <w:szCs w:val="32"/>
        </w:rPr>
        <w:t>运输场站。</w:t>
      </w:r>
      <w:r>
        <w:rPr>
          <w:rFonts w:ascii="Times New Roman"/>
          <w:b/>
          <w:color w:val="000000"/>
          <w:spacing w:val="3"/>
          <w:sz w:val="32"/>
          <w:szCs w:val="32"/>
        </w:rPr>
        <w:t>建成咸阳城西高客、彬县、兴平、礼泉烟霞、永寿五个客运场站。建成咸阳货运北站、长武物流中心、咸阳货运总站二期、永寿世贸物流中心、咸阳宏图综合物流中心五个货运场站。</w:t>
      </w:r>
    </w:p>
    <w:p>
      <w:pPr>
        <w:spacing w:line="600" w:lineRule="exact"/>
        <w:ind w:firstLine="654"/>
        <w:rPr>
          <w:rFonts w:ascii="Times New Roman"/>
          <w:b/>
          <w:color w:val="000000"/>
          <w:spacing w:val="3"/>
          <w:sz w:val="32"/>
          <w:szCs w:val="32"/>
        </w:rPr>
      </w:pPr>
      <w:r>
        <w:rPr>
          <w:rFonts w:ascii="Times New Roman"/>
          <w:b/>
          <w:color w:val="000000"/>
          <w:spacing w:val="3"/>
          <w:sz w:val="32"/>
          <w:szCs w:val="32"/>
        </w:rPr>
        <w:t>到2020年，全市基本形成“一环两横四辐射”（一环：咸阳绕城高速，两横：西咸北环线、合凤高速，四辐射：西宝高速、福银高速、咸旬高速、包茂高速及二通道）的市域主干路网格局，建成安全、便捷、高效、绿色的现代综合交通运输体系</w:t>
      </w:r>
      <w:r>
        <w:rPr>
          <w:rFonts w:hint="eastAsia" w:ascii="Times New Roman"/>
          <w:b/>
          <w:color w:val="000000"/>
          <w:spacing w:val="3"/>
          <w:sz w:val="32"/>
          <w:szCs w:val="32"/>
        </w:rPr>
        <w:t>，</w:t>
      </w:r>
      <w:r>
        <w:rPr>
          <w:rFonts w:ascii="Times New Roman"/>
          <w:b/>
          <w:color w:val="000000"/>
          <w:spacing w:val="3"/>
          <w:sz w:val="32"/>
          <w:szCs w:val="32"/>
        </w:rPr>
        <w:t>融入大西安“十纵十横”公路交通网。</w:t>
      </w:r>
    </w:p>
    <w:p>
      <w:pPr>
        <w:spacing w:line="600" w:lineRule="exact"/>
        <w:ind w:firstLine="654"/>
        <w:rPr>
          <w:rFonts w:ascii="Times New Roman"/>
          <w:b/>
          <w:color w:val="000000"/>
          <w:spacing w:val="3"/>
          <w:sz w:val="32"/>
          <w:szCs w:val="32"/>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8" w:hRule="atLeast"/>
          <w:jc w:val="center"/>
        </w:trPr>
        <w:tc>
          <w:tcPr>
            <w:tcW w:w="8844" w:type="dxa"/>
            <w:noWrap w:val="0"/>
            <w:vAlign w:val="top"/>
          </w:tcPr>
          <w:p>
            <w:pPr>
              <w:spacing w:line="560" w:lineRule="exact"/>
              <w:ind w:firstLine="0" w:firstLineChars="0"/>
              <w:jc w:val="center"/>
              <w:rPr>
                <w:rFonts w:ascii="Times New Roman" w:eastAsia="黑体"/>
                <w:b/>
                <w:color w:val="000000"/>
                <w:sz w:val="28"/>
                <w:szCs w:val="28"/>
              </w:rPr>
            </w:pPr>
          </w:p>
          <w:p>
            <w:pPr>
              <w:spacing w:line="560" w:lineRule="exact"/>
              <w:ind w:firstLine="0" w:firstLineChars="0"/>
              <w:jc w:val="center"/>
              <w:rPr>
                <w:rFonts w:ascii="Times New Roman" w:eastAsia="黑体"/>
                <w:b/>
                <w:color w:val="000000"/>
                <w:sz w:val="32"/>
                <w:szCs w:val="32"/>
              </w:rPr>
            </w:pPr>
            <w:r>
              <w:rPr>
                <w:rFonts w:ascii="Times New Roman" w:eastAsia="黑体"/>
                <w:b/>
                <w:color w:val="000000"/>
                <w:sz w:val="32"/>
                <w:szCs w:val="32"/>
              </w:rPr>
              <w:t>专栏3-1  交通重点项目</w:t>
            </w:r>
          </w:p>
          <w:p>
            <w:pPr>
              <w:spacing w:line="560" w:lineRule="exact"/>
              <w:ind w:firstLine="0" w:firstLineChars="0"/>
              <w:rPr>
                <w:rFonts w:ascii="Times New Roman" w:eastAsia="宋体-PUA"/>
                <w:b/>
                <w:color w:val="000000"/>
                <w:spacing w:val="6"/>
                <w:kern w:val="0"/>
                <w:sz w:val="28"/>
                <w:szCs w:val="28"/>
              </w:rPr>
            </w:pPr>
          </w:p>
          <w:p>
            <w:pPr>
              <w:spacing w:line="560" w:lineRule="exact"/>
              <w:ind w:firstLine="0" w:firstLineChars="0"/>
              <w:rPr>
                <w:rFonts w:ascii="Times New Roman" w:eastAsia="宋体-PUA"/>
                <w:b/>
                <w:color w:val="000000"/>
                <w:spacing w:val="6"/>
                <w:kern w:val="0"/>
                <w:sz w:val="28"/>
                <w:szCs w:val="28"/>
              </w:rPr>
            </w:pPr>
            <w:r>
              <w:rPr>
                <w:rFonts w:ascii="Times New Roman" w:eastAsia="宋体-PUA"/>
                <w:b/>
                <w:color w:val="000000"/>
                <w:spacing w:val="6"/>
                <w:kern w:val="0"/>
                <w:sz w:val="28"/>
                <w:szCs w:val="28"/>
              </w:rPr>
              <w:t xml:space="preserve">    西安咸阳机场扩建（三期）：总投资50亿元，主要实施咸阳国际机场第三跑道及配套设施，建设年限2016-2020年。</w:t>
            </w:r>
          </w:p>
          <w:p>
            <w:pPr>
              <w:spacing w:line="560" w:lineRule="exact"/>
              <w:ind w:firstLine="586"/>
              <w:rPr>
                <w:rFonts w:ascii="Times New Roman" w:eastAsia="宋体-PUA"/>
                <w:b/>
                <w:color w:val="000000"/>
                <w:spacing w:val="6"/>
                <w:kern w:val="0"/>
                <w:sz w:val="28"/>
                <w:szCs w:val="28"/>
              </w:rPr>
            </w:pPr>
            <w:r>
              <w:rPr>
                <w:rFonts w:ascii="Times New Roman" w:eastAsia="宋体-PUA"/>
                <w:b/>
                <w:color w:val="000000"/>
                <w:spacing w:val="6"/>
                <w:kern w:val="0"/>
                <w:sz w:val="28"/>
                <w:szCs w:val="28"/>
              </w:rPr>
              <w:t>银西高铁：正线长度616.55公里，陕西省境内162.37公里，估算总投资823.36亿元，陕西省境内投资237.18亿元，建设年限2015-2020年。</w:t>
            </w:r>
          </w:p>
          <w:p>
            <w:pPr>
              <w:spacing w:line="560" w:lineRule="exact"/>
              <w:ind w:firstLine="586"/>
              <w:rPr>
                <w:rFonts w:ascii="Times New Roman" w:eastAsia="宋体-PUA"/>
                <w:b/>
                <w:color w:val="000000"/>
                <w:spacing w:val="6"/>
                <w:kern w:val="0"/>
                <w:sz w:val="28"/>
                <w:szCs w:val="28"/>
              </w:rPr>
            </w:pPr>
            <w:r>
              <w:rPr>
                <w:rFonts w:ascii="Times New Roman" w:eastAsia="宋体-PUA"/>
                <w:b/>
                <w:color w:val="000000"/>
                <w:spacing w:val="6"/>
                <w:kern w:val="0"/>
                <w:sz w:val="28"/>
                <w:szCs w:val="28"/>
              </w:rPr>
              <w:t>国省道公路升等改造工程：G310咸阳过境等22个国道项目、S104兴平过境公路等17个省道项目，总长1000公里，总投资163.5亿元，“十三五”期间完成。</w:t>
            </w:r>
          </w:p>
          <w:p>
            <w:pPr>
              <w:spacing w:line="560" w:lineRule="exact"/>
              <w:ind w:firstLine="0" w:firstLineChars="0"/>
              <w:rPr>
                <w:rFonts w:ascii="Times New Roman" w:eastAsia="宋体-PUA"/>
                <w:b/>
                <w:color w:val="000000"/>
                <w:spacing w:val="6"/>
                <w:kern w:val="0"/>
                <w:sz w:val="28"/>
                <w:szCs w:val="28"/>
              </w:rPr>
            </w:pPr>
            <w:r>
              <w:rPr>
                <w:rFonts w:ascii="Times New Roman" w:eastAsia="宋体-PUA"/>
                <w:b/>
                <w:color w:val="000000"/>
                <w:spacing w:val="6"/>
                <w:kern w:val="0"/>
                <w:sz w:val="28"/>
                <w:szCs w:val="28"/>
              </w:rPr>
              <w:t xml:space="preserve">    菏宝高速（旬邑-宝咸界）：总长115公里，估算总投资120亿元，“十三五” 期间开工建设。</w:t>
            </w:r>
          </w:p>
          <w:p>
            <w:pPr>
              <w:spacing w:line="560" w:lineRule="exact"/>
              <w:ind w:firstLine="0" w:firstLineChars="0"/>
              <w:rPr>
                <w:rFonts w:ascii="Times New Roman" w:eastAsia="宋体-PUA"/>
                <w:b/>
                <w:color w:val="000000"/>
                <w:spacing w:val="6"/>
                <w:kern w:val="0"/>
                <w:sz w:val="28"/>
                <w:szCs w:val="28"/>
              </w:rPr>
            </w:pPr>
            <w:r>
              <w:rPr>
                <w:rFonts w:ascii="Times New Roman" w:eastAsia="宋体-PUA"/>
                <w:b/>
                <w:color w:val="000000"/>
                <w:spacing w:val="6"/>
                <w:kern w:val="0"/>
                <w:sz w:val="28"/>
                <w:szCs w:val="28"/>
              </w:rPr>
              <w:t xml:space="preserve">    县乡公路、通村公路改造工程：改造县乡公路118个1492公里，投资37亿元；1402条通村公路和206座新改建桥梁投资30亿元，“十三五”期间完成。</w:t>
            </w:r>
          </w:p>
          <w:p>
            <w:pPr>
              <w:spacing w:line="560" w:lineRule="exact"/>
              <w:ind w:firstLine="0" w:firstLineChars="0"/>
              <w:rPr>
                <w:rFonts w:ascii="Times New Roman" w:eastAsia="宋体-PUA"/>
                <w:b/>
                <w:color w:val="000000"/>
                <w:spacing w:val="6"/>
                <w:kern w:val="0"/>
                <w:sz w:val="28"/>
                <w:szCs w:val="28"/>
              </w:rPr>
            </w:pPr>
            <w:r>
              <w:rPr>
                <w:rFonts w:ascii="Times New Roman" w:eastAsia="宋体-PUA"/>
                <w:b/>
                <w:color w:val="000000"/>
                <w:spacing w:val="6"/>
                <w:kern w:val="0"/>
                <w:sz w:val="28"/>
                <w:szCs w:val="28"/>
              </w:rPr>
              <w:t xml:space="preserve">    地铁1号线二期工程：线路全长6.3公里，总投资33.42亿元。咸阳境内约3.8公里，2019年建成。</w:t>
            </w:r>
          </w:p>
          <w:p>
            <w:pPr>
              <w:spacing w:line="560" w:lineRule="exact"/>
              <w:ind w:firstLine="0" w:firstLineChars="0"/>
              <w:rPr>
                <w:rFonts w:ascii="Times New Roman" w:eastAsia="宋体-PUA"/>
                <w:b/>
                <w:color w:val="000000"/>
                <w:spacing w:val="6"/>
                <w:kern w:val="0"/>
                <w:sz w:val="28"/>
                <w:szCs w:val="28"/>
              </w:rPr>
            </w:pPr>
            <w:r>
              <w:rPr>
                <w:rFonts w:ascii="Times New Roman" w:eastAsia="宋体-PUA"/>
                <w:b/>
                <w:color w:val="000000"/>
                <w:spacing w:val="6"/>
                <w:kern w:val="0"/>
                <w:sz w:val="28"/>
                <w:szCs w:val="28"/>
              </w:rPr>
              <w:t xml:space="preserve">    咸旬高速赤道至陕甘界：新建高速公路24公里，估算总投资25亿元，“十三五” 期间建成。</w:t>
            </w:r>
          </w:p>
          <w:p>
            <w:pPr>
              <w:spacing w:line="560" w:lineRule="exact"/>
              <w:ind w:firstLine="0" w:firstLineChars="0"/>
              <w:rPr>
                <w:rFonts w:ascii="Times New Roman" w:eastAsia="宋体-PUA"/>
                <w:b/>
                <w:color w:val="000000"/>
                <w:spacing w:val="6"/>
                <w:kern w:val="0"/>
                <w:sz w:val="28"/>
                <w:szCs w:val="28"/>
              </w:rPr>
            </w:pPr>
            <w:r>
              <w:rPr>
                <w:rFonts w:ascii="Times New Roman" w:eastAsia="宋体-PUA"/>
                <w:b/>
                <w:color w:val="000000"/>
                <w:spacing w:val="6"/>
                <w:kern w:val="0"/>
                <w:sz w:val="28"/>
                <w:szCs w:val="28"/>
              </w:rPr>
              <w:t xml:space="preserve">    咸旬高速（福银高速）与西宝高速连接线工程：全长约15公里，高架过市区，总投资16亿元，“十三五” 期间开工建设。</w:t>
            </w:r>
          </w:p>
          <w:p>
            <w:pPr>
              <w:spacing w:line="560" w:lineRule="exact"/>
              <w:ind w:firstLine="0" w:firstLineChars="0"/>
              <w:rPr>
                <w:rFonts w:ascii="Times New Roman" w:eastAsia="黑体"/>
                <w:b/>
                <w:color w:val="000000"/>
                <w:kern w:val="0"/>
                <w:sz w:val="28"/>
                <w:szCs w:val="28"/>
              </w:rPr>
            </w:pPr>
            <w:r>
              <w:rPr>
                <w:rFonts w:ascii="Times New Roman" w:eastAsia="宋体-PUA"/>
                <w:b/>
                <w:color w:val="000000"/>
                <w:kern w:val="0"/>
                <w:sz w:val="28"/>
                <w:szCs w:val="28"/>
              </w:rPr>
              <w:t xml:space="preserve">    关中环线礼泉—乾县—扶风段：全长58公里，投资6.5亿元，一级标准。</w:t>
            </w:r>
          </w:p>
        </w:tc>
      </w:tr>
    </w:tbl>
    <w:p>
      <w:pPr>
        <w:keepNext/>
        <w:keepLines/>
        <w:spacing w:line="300" w:lineRule="exact"/>
        <w:ind w:firstLine="0" w:firstLineChars="0"/>
        <w:jc w:val="center"/>
        <w:outlineLvl w:val="3"/>
        <w:rPr>
          <w:rFonts w:ascii="Times New Roman" w:eastAsia="宋体"/>
          <w:b/>
          <w:color w:val="000000"/>
          <w:sz w:val="32"/>
          <w:szCs w:val="32"/>
        </w:rPr>
      </w:pPr>
      <w:bookmarkStart w:id="16" w:name="_Toc439877161"/>
      <w:bookmarkStart w:id="17" w:name="_Toc439878082"/>
    </w:p>
    <w:p>
      <w:pPr>
        <w:keepNext/>
        <w:keepLines/>
        <w:adjustRightInd w:val="0"/>
        <w:snapToGrid w:val="0"/>
        <w:spacing w:line="600" w:lineRule="exact"/>
        <w:ind w:firstLine="0" w:firstLineChars="0"/>
        <w:jc w:val="center"/>
        <w:outlineLvl w:val="2"/>
        <w:rPr>
          <w:rFonts w:ascii="Times New Roman" w:eastAsia="宋体"/>
          <w:b/>
          <w:color w:val="000000"/>
          <w:kern w:val="0"/>
          <w:sz w:val="32"/>
          <w:szCs w:val="32"/>
        </w:rPr>
      </w:pPr>
      <w:r>
        <w:rPr>
          <w:rFonts w:ascii="Times New Roman" w:eastAsia="宋体"/>
          <w:b/>
          <w:color w:val="000000"/>
          <w:kern w:val="0"/>
          <w:sz w:val="32"/>
          <w:szCs w:val="32"/>
        </w:rPr>
        <w:t>第二节  强化水利设施建设</w:t>
      </w:r>
      <w:bookmarkEnd w:id="16"/>
      <w:bookmarkEnd w:id="17"/>
    </w:p>
    <w:p>
      <w:pPr>
        <w:keepNext/>
        <w:keepLines/>
        <w:spacing w:line="300" w:lineRule="exact"/>
        <w:ind w:firstLine="0" w:firstLineChars="0"/>
        <w:jc w:val="center"/>
        <w:outlineLvl w:val="3"/>
        <w:rPr>
          <w:rFonts w:ascii="Times New Roman" w:eastAsia="宋体"/>
          <w:b/>
          <w:color w:val="000000"/>
          <w:sz w:val="32"/>
          <w:szCs w:val="32"/>
        </w:rPr>
      </w:pPr>
    </w:p>
    <w:p>
      <w:pPr>
        <w:spacing w:line="600" w:lineRule="exact"/>
        <w:ind w:firstLine="643"/>
        <w:rPr>
          <w:rFonts w:ascii="Times New Roman"/>
          <w:b/>
          <w:color w:val="000000"/>
          <w:sz w:val="32"/>
          <w:szCs w:val="32"/>
        </w:rPr>
      </w:pPr>
      <w:r>
        <w:rPr>
          <w:rFonts w:ascii="Times New Roman" w:eastAsia="楷体_GB2312"/>
          <w:b/>
          <w:color w:val="000000"/>
          <w:sz w:val="32"/>
          <w:szCs w:val="32"/>
        </w:rPr>
        <w:t>重点水源工程。</w:t>
      </w:r>
      <w:r>
        <w:rPr>
          <w:rFonts w:ascii="Times New Roman"/>
          <w:b/>
          <w:color w:val="000000"/>
          <w:sz w:val="32"/>
          <w:szCs w:val="32"/>
        </w:rPr>
        <w:t>全面建成亭口水库、红岩河水库、柏岭寺水</w:t>
      </w:r>
    </w:p>
    <w:p>
      <w:pPr>
        <w:spacing w:line="600" w:lineRule="exact"/>
        <w:ind w:firstLine="0" w:firstLineChars="0"/>
        <w:rPr>
          <w:rFonts w:ascii="Times New Roman"/>
          <w:b/>
          <w:color w:val="000000"/>
          <w:sz w:val="32"/>
          <w:szCs w:val="32"/>
        </w:rPr>
      </w:pPr>
      <w:r>
        <w:rPr>
          <w:rFonts w:ascii="Times New Roman"/>
          <w:b/>
          <w:color w:val="000000"/>
          <w:sz w:val="32"/>
          <w:szCs w:val="32"/>
        </w:rPr>
        <w:t>库和羊毛湾引水工程、三原县西郊水库引水工程等重点水源工程；加快建设泾河东庄水利枢纽工程；开工建设双照水库、屯庄水库、北庄水库、蚂蚁沟水库及张家山泉群供水工程；积极推进方庄沟水库、姜家河水库、莽山水库和引汉济渭输配水咸阳支线工程前期工作。到2020年，实现全市总供水能力达到16.5亿立方米，水资源调配能力显著增强，有效缓解城乡人民生活和工农业生产用水矛盾，为经济发展提供有力支持和保障。</w:t>
      </w:r>
    </w:p>
    <w:p>
      <w:pPr>
        <w:spacing w:line="600" w:lineRule="exact"/>
        <w:ind w:firstLine="643"/>
        <w:rPr>
          <w:rFonts w:ascii="Times New Roman"/>
          <w:b/>
          <w:color w:val="000000"/>
          <w:sz w:val="32"/>
          <w:szCs w:val="32"/>
        </w:rPr>
      </w:pPr>
      <w:r>
        <w:rPr>
          <w:rFonts w:ascii="Times New Roman" w:eastAsia="楷体_GB2312"/>
          <w:b/>
          <w:color w:val="000000"/>
          <w:sz w:val="32"/>
          <w:szCs w:val="32"/>
        </w:rPr>
        <w:t>防洪抗旱减灾体系。</w:t>
      </w:r>
      <w:r>
        <w:rPr>
          <w:rFonts w:ascii="Times New Roman"/>
          <w:b/>
          <w:color w:val="000000"/>
          <w:sz w:val="32"/>
          <w:szCs w:val="32"/>
        </w:rPr>
        <w:t>启动新一轮渭河治理三年行动计划，建成渭河城区段综合整治水面景观及滩面生态治理工程，开工建设渭河渭城区滩区治理工程、渭河兴平市滩面整治工程。启动泾河全面治理工程，建成泾河防洪工程体系。完成泔河、漆水河、漠谷河、韦水河、三水河、清河、浊峪河、冶峪河、白马河、黑河、姜家河等11条洪涝灾害频发、灾害损失严重的中小河流治理。实施彬县南沟、淳化辛店沟、旬邑第界沟、长武鸦儿沟、永寿好畤沟、乾县杨家河等6条山洪沟防洪治理工程。持续开展山洪灾害防治项目建设，启动实施市级信息管理平台建设。大力开展抗旱应急备用水源建设，提高枯水年份的抗旱应急能力。</w:t>
      </w:r>
    </w:p>
    <w:p>
      <w:pPr>
        <w:spacing w:line="600" w:lineRule="exact"/>
        <w:ind w:firstLine="643"/>
        <w:rPr>
          <w:rFonts w:ascii="Times New Roman"/>
          <w:b/>
          <w:color w:val="000000"/>
          <w:sz w:val="32"/>
          <w:szCs w:val="32"/>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745" w:hRule="atLeast"/>
          <w:jc w:val="center"/>
        </w:trPr>
        <w:tc>
          <w:tcPr>
            <w:tcW w:w="8844" w:type="dxa"/>
            <w:noWrap w:val="0"/>
            <w:vAlign w:val="top"/>
          </w:tcPr>
          <w:p>
            <w:pPr>
              <w:spacing w:line="560" w:lineRule="exact"/>
              <w:ind w:firstLine="0" w:firstLineChars="0"/>
              <w:jc w:val="center"/>
              <w:rPr>
                <w:rFonts w:ascii="Times New Roman" w:eastAsia="黑体"/>
                <w:b/>
                <w:color w:val="000000"/>
                <w:sz w:val="28"/>
                <w:szCs w:val="28"/>
              </w:rPr>
            </w:pPr>
          </w:p>
          <w:p>
            <w:pPr>
              <w:spacing w:line="560" w:lineRule="exact"/>
              <w:ind w:firstLine="0" w:firstLineChars="0"/>
              <w:jc w:val="center"/>
              <w:rPr>
                <w:rFonts w:ascii="Times New Roman" w:eastAsia="黑体"/>
                <w:b/>
                <w:color w:val="000000"/>
                <w:sz w:val="32"/>
                <w:szCs w:val="32"/>
              </w:rPr>
            </w:pPr>
            <w:r>
              <w:rPr>
                <w:rFonts w:ascii="Times New Roman" w:eastAsia="黑体"/>
                <w:b/>
                <w:color w:val="000000"/>
                <w:sz w:val="32"/>
                <w:szCs w:val="32"/>
              </w:rPr>
              <w:t>专栏3-2  重点水利工程建设项目</w:t>
            </w:r>
          </w:p>
          <w:p>
            <w:pPr>
              <w:spacing w:line="560" w:lineRule="exact"/>
              <w:ind w:firstLine="0" w:firstLineChars="0"/>
              <w:jc w:val="center"/>
              <w:rPr>
                <w:rFonts w:ascii="Times New Roman" w:eastAsia="黑体"/>
                <w:b/>
                <w:color w:val="000000"/>
                <w:sz w:val="28"/>
                <w:szCs w:val="28"/>
              </w:rPr>
            </w:pPr>
          </w:p>
          <w:p>
            <w:pPr>
              <w:spacing w:line="560" w:lineRule="exact"/>
              <w:ind w:firstLine="551" w:firstLineChars="196"/>
              <w:rPr>
                <w:rFonts w:ascii="Times New Roman" w:eastAsia="宋体-PUA"/>
                <w:b/>
                <w:color w:val="000000"/>
                <w:sz w:val="28"/>
                <w:szCs w:val="28"/>
              </w:rPr>
            </w:pPr>
            <w:r>
              <w:rPr>
                <w:rFonts w:ascii="Times New Roman" w:eastAsia="宋体-PUA"/>
                <w:b/>
                <w:color w:val="000000"/>
                <w:sz w:val="28"/>
                <w:szCs w:val="28"/>
              </w:rPr>
              <w:t>东庄水库：总库容32.9亿立方米，建成后平均年增加城镇和农业灌溉用水5.3亿立方米，发电3亿度，总投资127亿元。</w:t>
            </w:r>
          </w:p>
          <w:p>
            <w:pPr>
              <w:spacing w:line="560" w:lineRule="exact"/>
              <w:ind w:firstLine="562"/>
              <w:rPr>
                <w:rFonts w:ascii="Times New Roman" w:eastAsia="宋体-PUA"/>
                <w:b/>
                <w:color w:val="000000"/>
                <w:sz w:val="28"/>
                <w:szCs w:val="28"/>
              </w:rPr>
            </w:pPr>
            <w:r>
              <w:rPr>
                <w:rFonts w:ascii="Times New Roman" w:eastAsia="宋体-PUA"/>
                <w:b/>
                <w:color w:val="000000"/>
                <w:sz w:val="28"/>
                <w:szCs w:val="28"/>
              </w:rPr>
              <w:t>引汉济渭二期咸阳输水工程：修建输水干线一条，线路长103.6km，钢筋混凝土箱涵36.9km，输水支线5条，线路总长21.13km，总投资60亿元。</w:t>
            </w:r>
          </w:p>
          <w:p>
            <w:pPr>
              <w:spacing w:line="560" w:lineRule="exact"/>
              <w:ind w:firstLine="551" w:firstLineChars="196"/>
              <w:rPr>
                <w:rFonts w:ascii="Times New Roman" w:eastAsia="宋体-PUA"/>
                <w:b/>
                <w:color w:val="000000"/>
                <w:sz w:val="28"/>
                <w:szCs w:val="28"/>
              </w:rPr>
            </w:pPr>
            <w:r>
              <w:rPr>
                <w:rFonts w:ascii="Times New Roman" w:eastAsia="宋体-PUA"/>
                <w:b/>
                <w:color w:val="000000"/>
                <w:sz w:val="28"/>
                <w:szCs w:val="28"/>
              </w:rPr>
              <w:t>亭口水库：由枢纽工程、反调节蓄水工程、彬长矿区输配水工程三部分组成，年平均供水量7141万立方米，发电618万度，总投资36.19亿元。2020年前全面完成建设任务。</w:t>
            </w:r>
          </w:p>
          <w:p>
            <w:pPr>
              <w:spacing w:line="560" w:lineRule="exact"/>
              <w:ind w:firstLine="551" w:firstLineChars="196"/>
              <w:rPr>
                <w:rFonts w:ascii="Times New Roman" w:eastAsia="宋体-PUA"/>
                <w:b/>
                <w:color w:val="000000"/>
                <w:sz w:val="28"/>
                <w:szCs w:val="28"/>
              </w:rPr>
            </w:pPr>
            <w:r>
              <w:rPr>
                <w:rFonts w:ascii="Times New Roman" w:eastAsia="宋体-PUA"/>
                <w:b/>
                <w:color w:val="000000"/>
                <w:sz w:val="28"/>
                <w:szCs w:val="28"/>
              </w:rPr>
              <w:t>红岩河水库：总库容8515万立方米，建成后平均年供水量2220万立方米，总投资11.63亿元。2020年前建成供水。</w:t>
            </w:r>
          </w:p>
          <w:p>
            <w:pPr>
              <w:spacing w:line="560" w:lineRule="exact"/>
              <w:ind w:firstLine="548" w:firstLineChars="195"/>
              <w:rPr>
                <w:rFonts w:ascii="Times New Roman" w:eastAsia="宋体-PUA"/>
                <w:b/>
                <w:color w:val="000000"/>
                <w:sz w:val="28"/>
                <w:szCs w:val="28"/>
              </w:rPr>
            </w:pPr>
            <w:r>
              <w:rPr>
                <w:rFonts w:ascii="Times New Roman" w:eastAsia="宋体-PUA"/>
                <w:b/>
                <w:color w:val="000000"/>
                <w:sz w:val="28"/>
                <w:szCs w:val="28"/>
              </w:rPr>
              <w:t>张家山泉群供水工程：解决泾阳、三原两县67万人的饮水安全问题，是加快泾河新城发展提供水源支持的重大民生水利工程。工程估算总投资6.33亿元，“十三五”完成主体工程建设。</w:t>
            </w:r>
          </w:p>
          <w:p>
            <w:pPr>
              <w:spacing w:line="560" w:lineRule="exact"/>
              <w:ind w:firstLine="548" w:firstLineChars="195"/>
              <w:rPr>
                <w:rFonts w:ascii="Times New Roman" w:eastAsia="宋体-PUA"/>
                <w:b/>
                <w:color w:val="000000"/>
                <w:sz w:val="28"/>
                <w:szCs w:val="28"/>
              </w:rPr>
            </w:pPr>
            <w:r>
              <w:rPr>
                <w:rFonts w:ascii="Times New Roman" w:eastAsia="宋体-PUA"/>
                <w:b/>
                <w:color w:val="000000"/>
                <w:sz w:val="28"/>
                <w:szCs w:val="28"/>
              </w:rPr>
              <w:t>双照水库：总库容380.8万立方米，主要解决宝鸡峡灌区塬下灌区咸三支渠附近3.02万亩农田灌溉用水及大西安（咸阳）文化体育功能区生态用水，总投资3.98亿元。</w:t>
            </w:r>
          </w:p>
          <w:p>
            <w:pPr>
              <w:spacing w:line="560" w:lineRule="exact"/>
              <w:ind w:firstLine="548" w:firstLineChars="195"/>
              <w:rPr>
                <w:rFonts w:ascii="Times New Roman" w:eastAsia="宋体-PUA"/>
                <w:b/>
                <w:color w:val="000000"/>
                <w:sz w:val="28"/>
                <w:szCs w:val="28"/>
              </w:rPr>
            </w:pPr>
            <w:r>
              <w:rPr>
                <w:rFonts w:ascii="Times New Roman" w:eastAsia="宋体-PUA"/>
                <w:b/>
                <w:color w:val="000000"/>
                <w:sz w:val="28"/>
                <w:szCs w:val="28"/>
              </w:rPr>
              <w:t>羊毛湾引水工程：由羊毛湾水库坝后总干渠上设闸取水，以压力管道输水至县城新建水厂，解决乾县县城及周边镇（社区）的缺水问题，输水工程规模为4.33万t/d，总投资2.5亿元。</w:t>
            </w:r>
          </w:p>
          <w:p>
            <w:pPr>
              <w:spacing w:line="560" w:lineRule="exact"/>
              <w:ind w:firstLine="548" w:firstLineChars="195"/>
              <w:rPr>
                <w:rFonts w:ascii="Times New Roman"/>
                <w:b/>
                <w:color w:val="000000"/>
                <w:sz w:val="28"/>
                <w:szCs w:val="28"/>
              </w:rPr>
            </w:pPr>
            <w:r>
              <w:rPr>
                <w:rFonts w:ascii="Times New Roman" w:eastAsia="宋体-PUA"/>
                <w:b/>
                <w:color w:val="000000"/>
                <w:sz w:val="28"/>
                <w:szCs w:val="28"/>
              </w:rPr>
              <w:t>柏岭寺水库：总库容989万立方米，建成后年供水量1458万立方米，总投资2.3亿元。</w:t>
            </w:r>
          </w:p>
        </w:tc>
      </w:tr>
    </w:tbl>
    <w:p>
      <w:pPr>
        <w:keepNext/>
        <w:keepLines/>
        <w:spacing w:line="300" w:lineRule="exact"/>
        <w:ind w:firstLine="0" w:firstLineChars="0"/>
        <w:jc w:val="center"/>
        <w:outlineLvl w:val="3"/>
        <w:rPr>
          <w:rFonts w:ascii="Times New Roman" w:eastAsia="宋体"/>
          <w:b/>
          <w:color w:val="000000"/>
          <w:sz w:val="32"/>
          <w:szCs w:val="32"/>
        </w:rPr>
      </w:pPr>
      <w:bookmarkStart w:id="18" w:name="_Toc439878083"/>
      <w:bookmarkStart w:id="19" w:name="_Toc439877162"/>
    </w:p>
    <w:p>
      <w:pPr>
        <w:keepNext/>
        <w:keepLines/>
        <w:spacing w:line="600" w:lineRule="exact"/>
        <w:ind w:firstLine="0" w:firstLineChars="0"/>
        <w:jc w:val="center"/>
        <w:outlineLvl w:val="2"/>
        <w:rPr>
          <w:rFonts w:ascii="Times New Roman" w:eastAsia="宋体"/>
          <w:b/>
          <w:color w:val="000000"/>
          <w:kern w:val="0"/>
          <w:sz w:val="32"/>
          <w:szCs w:val="32"/>
        </w:rPr>
      </w:pPr>
      <w:r>
        <w:rPr>
          <w:rFonts w:ascii="Times New Roman" w:eastAsia="宋体"/>
          <w:b/>
          <w:color w:val="000000"/>
          <w:kern w:val="0"/>
          <w:sz w:val="32"/>
          <w:szCs w:val="32"/>
        </w:rPr>
        <w:t>第三节  加强市政设施建设</w:t>
      </w:r>
      <w:bookmarkEnd w:id="18"/>
      <w:bookmarkEnd w:id="19"/>
    </w:p>
    <w:p>
      <w:pPr>
        <w:keepNext/>
        <w:keepLines/>
        <w:spacing w:line="300" w:lineRule="exact"/>
        <w:ind w:firstLine="0" w:firstLineChars="0"/>
        <w:jc w:val="center"/>
        <w:outlineLvl w:val="3"/>
        <w:rPr>
          <w:rFonts w:ascii="Times New Roman" w:eastAsia="宋体"/>
          <w:b/>
          <w:color w:val="000000"/>
          <w:sz w:val="32"/>
          <w:szCs w:val="32"/>
        </w:rPr>
      </w:pPr>
    </w:p>
    <w:p>
      <w:pPr>
        <w:spacing w:line="600" w:lineRule="exact"/>
        <w:ind w:firstLine="643"/>
        <w:rPr>
          <w:rFonts w:ascii="Times New Roman"/>
          <w:b/>
          <w:color w:val="000000"/>
          <w:sz w:val="32"/>
          <w:szCs w:val="32"/>
        </w:rPr>
      </w:pPr>
      <w:r>
        <w:rPr>
          <w:rFonts w:ascii="Times New Roman" w:eastAsia="楷体_GB2312"/>
          <w:b/>
          <w:color w:val="000000"/>
          <w:sz w:val="32"/>
          <w:szCs w:val="32"/>
        </w:rPr>
        <w:t>中心城市道路工程。</w:t>
      </w:r>
      <w:r>
        <w:rPr>
          <w:rFonts w:ascii="Times New Roman"/>
          <w:b/>
          <w:color w:val="000000"/>
          <w:sz w:val="32"/>
          <w:szCs w:val="32"/>
        </w:rPr>
        <w:t>继续实施主城区三年工作计划和“6+3”工程，加快构建功能完善的城市公用基础设施体系。</w:t>
      </w:r>
      <w:r>
        <w:rPr>
          <w:rFonts w:ascii="Times New Roman"/>
          <w:b/>
          <w:color w:val="000000"/>
          <w:sz w:val="31"/>
        </w:rPr>
        <w:t>持续加大大西安（咸阳）文体功能区、咸兴</w:t>
      </w:r>
      <w:r>
        <w:rPr>
          <w:rFonts w:ascii="Times New Roman"/>
          <w:b/>
          <w:color w:val="000000"/>
          <w:sz w:val="32"/>
          <w:szCs w:val="32"/>
        </w:rPr>
        <w:t>区域、主城扩展区和咸阳高新区等重点开发区域基础设施建设力度，引导城市功能向外延伸辐射，优化城市生产、生活、生态空间结构。</w:t>
      </w:r>
      <w:r>
        <w:rPr>
          <w:rFonts w:ascii="Times New Roman" w:eastAsia="楷体_GB2312"/>
          <w:b/>
          <w:color w:val="000000"/>
          <w:sz w:val="32"/>
          <w:szCs w:val="32"/>
        </w:rPr>
        <w:t>继续</w:t>
      </w:r>
      <w:r>
        <w:rPr>
          <w:rFonts w:ascii="Times New Roman"/>
          <w:b/>
          <w:color w:val="000000"/>
          <w:sz w:val="32"/>
          <w:szCs w:val="32"/>
        </w:rPr>
        <w:t>实施主城区三年</w:t>
      </w:r>
      <w:r>
        <w:rPr>
          <w:rFonts w:ascii="Times New Roman"/>
          <w:b/>
          <w:color w:val="000000"/>
          <w:spacing w:val="2"/>
          <w:sz w:val="32"/>
          <w:szCs w:val="32"/>
        </w:rPr>
        <w:t>提升工作计划，为省十六运举办营造良好环境。新建城西快速干道高架桥（西宝高速咸阳西出口至大西安功能区）、秦皇路快速干道高架桥（西宝高速咸阳出口至福银高速马庄出口）、东风路快速干道高架桥（沿东风路、迎宾大道至费家转盘）、纺织路快速干道高架桥（城西快速干道至朝阳四路高架桥）等4座高架桥。新建渭河新通道等12座桥梁、隧道，建设文兴路、城西快速干道、吴家堡大十字立体交通工程，改建城区44条道路。到2020年，基本形成“八横八纵”（“八横”为：北塬一路、文兴路、文林路、咸兴大道-人民路-兰池大道、渭阳路、西咸大道、西宝老线、统一大道；“八纵”为：秦汉大道、上林路、东风路-迎宾大道、秦皇路、咸通路、彩虹二路、咸平路、汉武大道）的城市道路骨架，加快构建上下衔接、干道相通、支路相连的现代综合交通体系。</w:t>
      </w:r>
    </w:p>
    <w:p>
      <w:pPr>
        <w:spacing w:line="600" w:lineRule="exact"/>
        <w:ind w:firstLine="643"/>
        <w:rPr>
          <w:rFonts w:ascii="Times New Roman"/>
          <w:b/>
          <w:color w:val="000000"/>
          <w:sz w:val="32"/>
          <w:szCs w:val="32"/>
        </w:rPr>
      </w:pPr>
      <w:r>
        <w:rPr>
          <w:rFonts w:ascii="Times New Roman" w:eastAsia="楷体_GB2312"/>
          <w:b/>
          <w:color w:val="000000"/>
          <w:sz w:val="32"/>
          <w:szCs w:val="32"/>
        </w:rPr>
        <w:t>公共服务设施建设。</w:t>
      </w:r>
      <w:r>
        <w:rPr>
          <w:rFonts w:ascii="Times New Roman"/>
          <w:b/>
          <w:color w:val="000000"/>
          <w:sz w:val="31"/>
        </w:rPr>
        <w:t>中心城区继续实施“三万工程”，全面建成咸阳湖二期，实施</w:t>
      </w:r>
      <w:r>
        <w:rPr>
          <w:rFonts w:ascii="Times New Roman"/>
          <w:b/>
          <w:color w:val="000000"/>
          <w:sz w:val="32"/>
          <w:szCs w:val="32"/>
        </w:rPr>
        <w:t>城西快速干道绿化、咸阳植物园、两寺渡公园等20个绿化工程，新增绿化面积2600亩。统筹推进城市综合管廊建设，提高城市内雨污排水管网等级，新建文兴东路、咸北大道、秦皇北路等综合管廊18公里。加快海绵城市建设，大力实施中心城区、县城雨污分流工程，新建雨水、污水管道671公里。科学规划布局城市停车场，新建统一广场等30个停车场。加快电动汽车充电基础设施建设，建成一批集中式充换电站和分散式充电桩。全面建成咸阳湖二期工程，配套完善体育设施，增强城市休闲功能，打造全民健身长廊。</w:t>
      </w:r>
    </w:p>
    <w:p>
      <w:pPr>
        <w:snapToGrid w:val="0"/>
        <w:spacing w:line="600" w:lineRule="exact"/>
        <w:ind w:firstLine="643"/>
        <w:textAlignment w:val="baseline"/>
        <w:rPr>
          <w:rFonts w:ascii="Times New Roman"/>
          <w:b/>
          <w:color w:val="000000"/>
          <w:sz w:val="31"/>
        </w:rPr>
      </w:pPr>
      <w:r>
        <w:rPr>
          <w:rFonts w:ascii="Times New Roman" w:eastAsia="楷体_GB2312"/>
          <w:b/>
          <w:color w:val="000000"/>
          <w:sz w:val="32"/>
          <w:szCs w:val="32"/>
        </w:rPr>
        <w:t>全面提升城市容貌。</w:t>
      </w:r>
      <w:r>
        <w:rPr>
          <w:rFonts w:ascii="Times New Roman"/>
          <w:b/>
          <w:color w:val="000000"/>
          <w:kern w:val="0"/>
          <w:sz w:val="32"/>
          <w:szCs w:val="32"/>
        </w:rPr>
        <w:t>推动城市管理重心下移，充分发挥区县、街道、社区在城市管理中的作用，增强城市管理的整体协同性。全面提升主城区34条重要线路和36处重点区域的市容市貌，重点实施违章违法建筑拆除、城市重点区域环境优化、沿街建筑立面提升、夜景亮化、市政设施改造、归并架空线缆及架空线缆入地等工程。继续推进无障碍设施建设、社区环境提质、背街小巷整治、危旧房改造等工作。</w:t>
      </w:r>
      <w:r>
        <w:rPr>
          <w:rFonts w:ascii="Times New Roman"/>
          <w:b/>
          <w:color w:val="000000"/>
          <w:sz w:val="31"/>
        </w:rPr>
        <w:t>加强城管综合执法，加快数字化城管建设，不断提升城市管理常态化、规范化、网格化、智能化管理水平。继续巩固提升国家卫生城市、国家园林城市创建成果，加快国家环保模范城市创建步伐，启动生态园林城市创建，进一步提升城市形象和品位。</w:t>
      </w:r>
    </w:p>
    <w:p>
      <w:pPr>
        <w:pBdr>
          <w:top w:val="single" w:color="auto" w:sz="4" w:space="1"/>
          <w:left w:val="single" w:color="auto" w:sz="4" w:space="4"/>
          <w:bottom w:val="single" w:color="auto" w:sz="4" w:space="1"/>
          <w:right w:val="single" w:color="auto" w:sz="4" w:space="4"/>
        </w:pBdr>
        <w:spacing w:line="540" w:lineRule="exact"/>
        <w:ind w:firstLine="0" w:firstLineChars="0"/>
        <w:jc w:val="center"/>
        <w:rPr>
          <w:rFonts w:ascii="Times New Roman" w:eastAsia="黑体"/>
          <w:b/>
          <w:color w:val="000000"/>
        </w:rPr>
      </w:pPr>
    </w:p>
    <w:p>
      <w:pPr>
        <w:pBdr>
          <w:top w:val="single" w:color="auto" w:sz="4" w:space="1"/>
          <w:left w:val="single" w:color="auto" w:sz="4" w:space="4"/>
          <w:bottom w:val="single" w:color="auto" w:sz="4" w:space="1"/>
          <w:right w:val="single" w:color="auto" w:sz="4" w:space="4"/>
        </w:pBdr>
        <w:spacing w:line="540" w:lineRule="exact"/>
        <w:ind w:firstLine="0" w:firstLineChars="0"/>
        <w:jc w:val="center"/>
        <w:rPr>
          <w:rFonts w:ascii="Times New Roman" w:eastAsia="黑体"/>
          <w:b/>
          <w:color w:val="000000"/>
          <w:sz w:val="32"/>
          <w:szCs w:val="32"/>
        </w:rPr>
      </w:pPr>
      <w:r>
        <w:rPr>
          <w:rFonts w:ascii="Times New Roman" w:eastAsia="黑体"/>
          <w:b/>
          <w:color w:val="000000"/>
          <w:sz w:val="32"/>
          <w:szCs w:val="32"/>
        </w:rPr>
        <w:t>专栏3-3 市政设施项目</w:t>
      </w:r>
    </w:p>
    <w:p>
      <w:pPr>
        <w:pBdr>
          <w:top w:val="single" w:color="auto" w:sz="4" w:space="1"/>
          <w:left w:val="single" w:color="auto" w:sz="4" w:space="4"/>
          <w:bottom w:val="single" w:color="auto" w:sz="4" w:space="1"/>
          <w:right w:val="single" w:color="auto" w:sz="4" w:space="4"/>
        </w:pBdr>
        <w:spacing w:line="540" w:lineRule="exact"/>
        <w:ind w:firstLine="0" w:firstLineChars="0"/>
        <w:jc w:val="center"/>
        <w:rPr>
          <w:rFonts w:ascii="Times New Roman" w:eastAsia="黑体"/>
          <w:b/>
          <w:color w:val="000000"/>
          <w:sz w:val="28"/>
          <w:szCs w:val="28"/>
        </w:rPr>
      </w:pPr>
    </w:p>
    <w:p>
      <w:pPr>
        <w:pBdr>
          <w:top w:val="single" w:color="auto" w:sz="4" w:space="1"/>
          <w:left w:val="single" w:color="auto" w:sz="4" w:space="4"/>
          <w:bottom w:val="single" w:color="auto" w:sz="4" w:space="1"/>
          <w:right w:val="single" w:color="auto" w:sz="4" w:space="4"/>
        </w:pBdr>
        <w:spacing w:line="540" w:lineRule="exact"/>
        <w:ind w:firstLine="562"/>
        <w:rPr>
          <w:rFonts w:ascii="Times New Roman" w:eastAsia="宋体-PUA"/>
          <w:b/>
          <w:color w:val="000000"/>
          <w:sz w:val="28"/>
          <w:szCs w:val="28"/>
        </w:rPr>
      </w:pPr>
      <w:r>
        <w:rPr>
          <w:rFonts w:ascii="Times New Roman" w:eastAsia="宋体-PUA"/>
          <w:b/>
          <w:color w:val="000000"/>
          <w:sz w:val="28"/>
          <w:szCs w:val="28"/>
        </w:rPr>
        <w:t>纺织路快速干道高架桥。投资36亿元，咸平路至朝阳四路建设连续高架桥，全长约12公里，宽约25.5米。</w:t>
      </w:r>
    </w:p>
    <w:p>
      <w:pPr>
        <w:pBdr>
          <w:top w:val="single" w:color="auto" w:sz="4" w:space="1"/>
          <w:left w:val="single" w:color="auto" w:sz="4" w:space="4"/>
          <w:bottom w:val="single" w:color="auto" w:sz="4" w:space="1"/>
          <w:right w:val="single" w:color="auto" w:sz="4" w:space="4"/>
        </w:pBdr>
        <w:spacing w:line="540" w:lineRule="exact"/>
        <w:ind w:firstLine="562"/>
        <w:rPr>
          <w:rFonts w:ascii="Times New Roman" w:eastAsia="宋体-PUA"/>
          <w:b/>
          <w:color w:val="000000"/>
          <w:spacing w:val="-8"/>
          <w:sz w:val="28"/>
          <w:szCs w:val="28"/>
        </w:rPr>
      </w:pPr>
      <w:r>
        <w:rPr>
          <w:rFonts w:ascii="Times New Roman" w:eastAsia="宋体-PUA"/>
          <w:b/>
          <w:color w:val="000000"/>
          <w:sz w:val="28"/>
          <w:szCs w:val="28"/>
        </w:rPr>
        <w:t>城西快速干道高架桥。投资33亿元，西宝高速咸阳西出口至大西安</w:t>
      </w:r>
      <w:r>
        <w:rPr>
          <w:rFonts w:ascii="Times New Roman" w:eastAsia="宋体-PUA"/>
          <w:b/>
          <w:color w:val="000000"/>
          <w:spacing w:val="-8"/>
          <w:sz w:val="28"/>
          <w:szCs w:val="28"/>
        </w:rPr>
        <w:t>（咸阳）文化体育功能区，建设连续高架桥，全长约11公里，宽约25.5米。</w:t>
      </w:r>
    </w:p>
    <w:p>
      <w:pPr>
        <w:pBdr>
          <w:top w:val="single" w:color="auto" w:sz="4" w:space="1"/>
          <w:left w:val="single" w:color="auto" w:sz="4" w:space="4"/>
          <w:bottom w:val="single" w:color="auto" w:sz="4" w:space="1"/>
          <w:right w:val="single" w:color="auto" w:sz="4" w:space="4"/>
        </w:pBdr>
        <w:spacing w:line="540" w:lineRule="exact"/>
        <w:ind w:firstLine="562"/>
        <w:rPr>
          <w:rFonts w:ascii="Times New Roman" w:eastAsia="宋体-PUA"/>
          <w:b/>
          <w:color w:val="000000"/>
          <w:sz w:val="28"/>
          <w:szCs w:val="28"/>
        </w:rPr>
      </w:pPr>
      <w:r>
        <w:rPr>
          <w:rFonts w:ascii="Times New Roman" w:eastAsia="宋体-PUA"/>
          <w:b/>
          <w:color w:val="000000"/>
          <w:sz w:val="28"/>
          <w:szCs w:val="28"/>
        </w:rPr>
        <w:t>陈杨寨快速干道高架桥。投资28亿元，西宝高速陈杨寨出口至福银高速马庄出口，建设连续高架桥，全长约16公里，宽约25.5米。</w:t>
      </w:r>
    </w:p>
    <w:p>
      <w:pPr>
        <w:pBdr>
          <w:top w:val="single" w:color="auto" w:sz="4" w:space="1"/>
          <w:left w:val="single" w:color="auto" w:sz="4" w:space="4"/>
          <w:bottom w:val="single" w:color="auto" w:sz="4" w:space="1"/>
          <w:right w:val="single" w:color="auto" w:sz="4" w:space="4"/>
        </w:pBdr>
        <w:spacing w:line="540" w:lineRule="exact"/>
        <w:ind w:firstLine="562"/>
        <w:rPr>
          <w:rFonts w:ascii="Times New Roman" w:eastAsia="宋体-PUA"/>
          <w:b/>
          <w:color w:val="000000"/>
          <w:sz w:val="28"/>
          <w:szCs w:val="28"/>
        </w:rPr>
      </w:pPr>
      <w:r>
        <w:rPr>
          <w:rFonts w:ascii="Times New Roman" w:eastAsia="宋体-PUA"/>
          <w:b/>
          <w:color w:val="000000"/>
          <w:sz w:val="28"/>
          <w:szCs w:val="28"/>
        </w:rPr>
        <w:t>秦汉新城正阳污水处理厂。投资17亿元，建设组合池、综合楼等污水处理设施及构筑物，配套建设污水管网516.37公里。</w:t>
      </w:r>
    </w:p>
    <w:p>
      <w:pPr>
        <w:pBdr>
          <w:top w:val="single" w:color="auto" w:sz="4" w:space="1"/>
          <w:left w:val="single" w:color="auto" w:sz="4" w:space="4"/>
          <w:bottom w:val="single" w:color="auto" w:sz="4" w:space="1"/>
          <w:right w:val="single" w:color="auto" w:sz="4" w:space="4"/>
        </w:pBdr>
        <w:spacing w:line="540" w:lineRule="exact"/>
        <w:ind w:firstLine="562"/>
        <w:rPr>
          <w:rFonts w:ascii="Times New Roman" w:eastAsia="宋体-PUA"/>
          <w:b/>
          <w:color w:val="000000"/>
          <w:sz w:val="28"/>
          <w:szCs w:val="28"/>
        </w:rPr>
      </w:pPr>
      <w:r>
        <w:rPr>
          <w:rFonts w:ascii="Times New Roman" w:eastAsia="宋体-PUA"/>
          <w:b/>
          <w:color w:val="000000"/>
          <w:sz w:val="28"/>
          <w:szCs w:val="28"/>
        </w:rPr>
        <w:t>秦皇北路改建工程（吴家堡转盘－北上召）。投资11.8亿元，吴家堡转盘-北上召，全长3400米，吴家堡转盘－高干渠，长度约2100米，规划道路红线宽度100米；高干渠－北上召，长度约1300米，规划道路红线宽度130米。</w:t>
      </w:r>
    </w:p>
    <w:p>
      <w:pPr>
        <w:pBdr>
          <w:top w:val="single" w:color="auto" w:sz="4" w:space="1"/>
          <w:left w:val="single" w:color="auto" w:sz="4" w:space="4"/>
          <w:bottom w:val="single" w:color="auto" w:sz="4" w:space="1"/>
          <w:right w:val="single" w:color="auto" w:sz="4" w:space="4"/>
        </w:pBdr>
        <w:spacing w:line="540" w:lineRule="exact"/>
        <w:ind w:firstLine="562"/>
        <w:rPr>
          <w:rFonts w:ascii="Times New Roman" w:eastAsia="宋体-PUA"/>
          <w:b/>
          <w:color w:val="000000"/>
          <w:sz w:val="28"/>
          <w:szCs w:val="28"/>
        </w:rPr>
      </w:pPr>
      <w:r>
        <w:rPr>
          <w:rFonts w:ascii="Times New Roman" w:eastAsia="宋体-PUA"/>
          <w:b/>
          <w:color w:val="000000"/>
          <w:sz w:val="28"/>
          <w:szCs w:val="28"/>
        </w:rPr>
        <w:t>沣西新城道路基础设施建设。投资10亿元，建设新城道路。</w:t>
      </w:r>
    </w:p>
    <w:p>
      <w:pPr>
        <w:pBdr>
          <w:top w:val="single" w:color="auto" w:sz="4" w:space="1"/>
          <w:left w:val="single" w:color="auto" w:sz="4" w:space="4"/>
          <w:bottom w:val="single" w:color="auto" w:sz="4" w:space="1"/>
          <w:right w:val="single" w:color="auto" w:sz="4" w:space="4"/>
        </w:pBdr>
        <w:spacing w:line="540" w:lineRule="exact"/>
        <w:ind w:firstLine="562"/>
        <w:rPr>
          <w:rFonts w:ascii="Times New Roman" w:eastAsia="宋体-PUA"/>
          <w:b/>
          <w:color w:val="000000"/>
          <w:sz w:val="28"/>
          <w:szCs w:val="28"/>
        </w:rPr>
      </w:pPr>
      <w:r>
        <w:rPr>
          <w:rFonts w:ascii="Times New Roman" w:eastAsia="宋体-PUA"/>
          <w:b/>
          <w:color w:val="000000"/>
          <w:sz w:val="28"/>
          <w:szCs w:val="28"/>
        </w:rPr>
        <w:t>高新区道路基础设施建设。投资10亿元，建设新城道路。</w:t>
      </w:r>
    </w:p>
    <w:p>
      <w:pPr>
        <w:pBdr>
          <w:top w:val="single" w:color="auto" w:sz="4" w:space="1"/>
          <w:left w:val="single" w:color="auto" w:sz="4" w:space="4"/>
          <w:bottom w:val="single" w:color="auto" w:sz="4" w:space="1"/>
          <w:right w:val="single" w:color="auto" w:sz="4" w:space="4"/>
        </w:pBdr>
        <w:spacing w:line="540" w:lineRule="exact"/>
        <w:ind w:firstLine="562"/>
        <w:rPr>
          <w:rFonts w:ascii="Times New Roman" w:eastAsia="宋体-PUA"/>
          <w:b/>
          <w:color w:val="000000"/>
          <w:sz w:val="28"/>
          <w:szCs w:val="28"/>
        </w:rPr>
      </w:pPr>
      <w:r>
        <w:rPr>
          <w:rFonts w:ascii="Times New Roman" w:eastAsia="宋体-PUA"/>
          <w:b/>
          <w:color w:val="000000"/>
          <w:sz w:val="28"/>
          <w:szCs w:val="28"/>
        </w:rPr>
        <w:t>彩虹二路上跨陇海铁路、西宝高铁桥梁。投资7.7亿元，宝泉路－珠泉路，长度约1450米，规划道路红线宽度50米，建设跨陇海铁路、西宝高铁桥梁，桥梁采取转体施工。</w:t>
      </w:r>
    </w:p>
    <w:p>
      <w:pPr>
        <w:pBdr>
          <w:top w:val="single" w:color="auto" w:sz="4" w:space="1"/>
          <w:left w:val="single" w:color="auto" w:sz="4" w:space="4"/>
          <w:bottom w:val="single" w:color="auto" w:sz="4" w:space="1"/>
          <w:right w:val="single" w:color="auto" w:sz="4" w:space="4"/>
        </w:pBdr>
        <w:spacing w:line="540" w:lineRule="exact"/>
        <w:ind w:firstLine="562"/>
        <w:rPr>
          <w:rFonts w:ascii="Times New Roman" w:eastAsia="宋体-PUA"/>
          <w:b/>
          <w:color w:val="000000"/>
          <w:sz w:val="28"/>
          <w:szCs w:val="28"/>
        </w:rPr>
      </w:pPr>
      <w:r>
        <w:rPr>
          <w:rFonts w:ascii="Times New Roman" w:eastAsia="宋体-PUA"/>
          <w:b/>
          <w:color w:val="000000"/>
          <w:sz w:val="28"/>
          <w:szCs w:val="28"/>
        </w:rPr>
        <w:t>文兴路东段综合改造项目。投资7.1亿元，建设312国道-迎宾大道，长4340米，红线宽100米。</w:t>
      </w:r>
    </w:p>
    <w:p>
      <w:pPr>
        <w:pBdr>
          <w:top w:val="single" w:color="auto" w:sz="4" w:space="1"/>
          <w:left w:val="single" w:color="auto" w:sz="4" w:space="4"/>
          <w:bottom w:val="single" w:color="auto" w:sz="4" w:space="1"/>
          <w:right w:val="single" w:color="auto" w:sz="4" w:space="4"/>
        </w:pBdr>
        <w:spacing w:line="540" w:lineRule="exact"/>
        <w:ind w:firstLine="562"/>
        <w:rPr>
          <w:rFonts w:ascii="Times New Roman" w:eastAsia="宋体-PUA"/>
          <w:b/>
          <w:color w:val="000000"/>
          <w:sz w:val="28"/>
          <w:szCs w:val="28"/>
        </w:rPr>
      </w:pPr>
      <w:r>
        <w:rPr>
          <w:rFonts w:ascii="Times New Roman" w:eastAsia="宋体-PUA"/>
          <w:b/>
          <w:color w:val="000000"/>
          <w:sz w:val="28"/>
          <w:szCs w:val="28"/>
        </w:rPr>
        <w:t>文汇路综合改造项目。投资3.07亿元，联盟一路-新兴路，全长约750米(含雨污水分流、强弱电入地)。</w:t>
      </w:r>
    </w:p>
    <w:p>
      <w:pPr>
        <w:keepNext/>
        <w:keepLines/>
        <w:spacing w:line="300" w:lineRule="exact"/>
        <w:ind w:firstLine="0" w:firstLineChars="0"/>
        <w:jc w:val="center"/>
        <w:outlineLvl w:val="3"/>
        <w:rPr>
          <w:rFonts w:ascii="Times New Roman" w:eastAsia="宋体"/>
          <w:b/>
          <w:color w:val="000000"/>
          <w:sz w:val="32"/>
          <w:szCs w:val="32"/>
        </w:rPr>
      </w:pPr>
    </w:p>
    <w:p>
      <w:pPr>
        <w:keepNext/>
        <w:keepLines/>
        <w:numPr>
          <w:ilvl w:val="0"/>
          <w:numId w:val="9"/>
        </w:numPr>
        <w:spacing w:line="600" w:lineRule="exact"/>
        <w:ind w:firstLine="0" w:firstLineChars="0"/>
        <w:jc w:val="center"/>
        <w:outlineLvl w:val="2"/>
        <w:rPr>
          <w:rFonts w:ascii="Times New Roman" w:eastAsia="宋体"/>
          <w:b/>
          <w:color w:val="000000"/>
          <w:kern w:val="0"/>
          <w:sz w:val="32"/>
          <w:szCs w:val="32"/>
        </w:rPr>
      </w:pPr>
      <w:r>
        <w:rPr>
          <w:rFonts w:ascii="Times New Roman" w:eastAsia="宋体"/>
          <w:b/>
          <w:color w:val="000000"/>
          <w:kern w:val="0"/>
          <w:sz w:val="32"/>
          <w:szCs w:val="32"/>
        </w:rPr>
        <w:t xml:space="preserve"> </w:t>
      </w:r>
      <w:bookmarkStart w:id="20" w:name="_Toc439877163"/>
      <w:bookmarkStart w:id="21" w:name="_Toc439878084"/>
      <w:r>
        <w:rPr>
          <w:rFonts w:ascii="Times New Roman" w:eastAsia="宋体"/>
          <w:b/>
          <w:color w:val="000000"/>
          <w:kern w:val="0"/>
          <w:sz w:val="32"/>
          <w:szCs w:val="32"/>
        </w:rPr>
        <w:t>完善能源设施建设</w:t>
      </w:r>
      <w:bookmarkEnd w:id="20"/>
      <w:bookmarkEnd w:id="21"/>
    </w:p>
    <w:p>
      <w:pPr>
        <w:spacing w:line="300" w:lineRule="exact"/>
        <w:ind w:firstLine="643"/>
        <w:rPr>
          <w:rFonts w:ascii="Times New Roman" w:eastAsia="楷体_GB2312"/>
          <w:b/>
          <w:color w:val="000000"/>
          <w:sz w:val="32"/>
          <w:szCs w:val="32"/>
        </w:rPr>
      </w:pPr>
    </w:p>
    <w:p>
      <w:pPr>
        <w:spacing w:line="600" w:lineRule="exact"/>
        <w:ind w:firstLine="643"/>
        <w:rPr>
          <w:rFonts w:ascii="Times New Roman"/>
          <w:b/>
          <w:color w:val="000000"/>
          <w:sz w:val="32"/>
          <w:szCs w:val="32"/>
        </w:rPr>
      </w:pPr>
      <w:r>
        <w:rPr>
          <w:rFonts w:ascii="Times New Roman" w:eastAsia="楷体_GB2312"/>
          <w:b/>
          <w:color w:val="000000"/>
          <w:sz w:val="32"/>
          <w:szCs w:val="32"/>
        </w:rPr>
        <w:t>建设坚强智能电网。</w:t>
      </w:r>
      <w:r>
        <w:rPr>
          <w:rFonts w:ascii="Times New Roman"/>
          <w:b/>
          <w:color w:val="000000"/>
          <w:sz w:val="32"/>
          <w:szCs w:val="32"/>
        </w:rPr>
        <w:t>按照“网架优先、市场导向、适度超前、资源优化”的原则，全面建设结构合理、技术先进、灵活可靠、经济高效的坚强智能电网。积极推进“西电东送”、促进彬长煤电开发建设，新建彬长-徐州、彬长-乾县等输电工程。加强330千伏骨干网架建设，新建330千伏沣西变、秦汉变、武镇变等工程。做强110千伏高压配电网，实施郭村、沈家、双照等20座110千伏变电站的新建和改造工程。做优城市配电网，建设“多电源、多回路、多分段、强联络”的城市配电网络，提升城网供电能力、供电可靠性和供电质量。做实农村配电网，加快农村配电网建设改造，保障重点集镇、新型社区、农业生产设施的用电需求。</w:t>
      </w:r>
    </w:p>
    <w:p>
      <w:pPr>
        <w:spacing w:line="600" w:lineRule="exact"/>
        <w:ind w:firstLine="643"/>
        <w:rPr>
          <w:rFonts w:ascii="Times New Roman"/>
          <w:b/>
          <w:color w:val="000000"/>
          <w:sz w:val="32"/>
          <w:szCs w:val="32"/>
        </w:rPr>
      </w:pPr>
      <w:r>
        <w:rPr>
          <w:rFonts w:ascii="Times New Roman" w:eastAsia="楷体_GB2312"/>
          <w:b/>
          <w:color w:val="000000"/>
          <w:sz w:val="32"/>
          <w:szCs w:val="32"/>
        </w:rPr>
        <w:t>推进“气化咸阳”工程。</w:t>
      </w:r>
      <w:r>
        <w:rPr>
          <w:rFonts w:ascii="Times New Roman"/>
          <w:b/>
          <w:color w:val="000000"/>
          <w:sz w:val="32"/>
          <w:szCs w:val="32"/>
        </w:rPr>
        <w:t>全面建成北部五县天然气长输管线、城区天然气输配三期工程、县域输气管线工程，完善重点示范镇、市级示范镇规划区内天然气管网及附属设施，加强燃气设施、运输安全管理。到2020年，咸阳中心城区气化率达98%，县城气化率达80%，重点镇气化率达70%。</w:t>
      </w:r>
    </w:p>
    <w:p>
      <w:pPr>
        <w:spacing w:line="600" w:lineRule="exact"/>
        <w:ind w:firstLine="643"/>
        <w:rPr>
          <w:rFonts w:ascii="Times New Roman"/>
          <w:b/>
          <w:color w:val="000000"/>
          <w:sz w:val="31"/>
        </w:rPr>
      </w:pPr>
      <w:r>
        <w:rPr>
          <w:rFonts w:ascii="Times New Roman" w:eastAsia="楷体_GB2312"/>
          <w:b/>
          <w:color w:val="000000"/>
          <w:sz w:val="32"/>
          <w:szCs w:val="32"/>
        </w:rPr>
        <w:t>发</w:t>
      </w:r>
      <w:r>
        <w:rPr>
          <w:rFonts w:ascii="Times New Roman" w:eastAsia="楷体_GB2312"/>
          <w:b/>
          <w:color w:val="000000"/>
          <w:spacing w:val="6"/>
          <w:sz w:val="32"/>
          <w:szCs w:val="32"/>
        </w:rPr>
        <w:t>展城市集中供热。</w:t>
      </w:r>
      <w:r>
        <w:rPr>
          <w:rFonts w:ascii="Times New Roman"/>
          <w:b/>
          <w:color w:val="000000"/>
          <w:spacing w:val="6"/>
          <w:sz w:val="31"/>
        </w:rPr>
        <w:t>坚持市场化运作、多元化融资、多途径供热、社会化参与，大力发展城市集中供热，</w:t>
      </w:r>
      <w:r>
        <w:rPr>
          <w:rFonts w:ascii="Times New Roman"/>
          <w:b/>
          <w:color w:val="000000"/>
          <w:spacing w:val="6"/>
          <w:sz w:val="32"/>
          <w:szCs w:val="32"/>
        </w:rPr>
        <w:t>加大供热管网改造,</w:t>
      </w:r>
      <w:r>
        <w:rPr>
          <w:rFonts w:ascii="Times New Roman"/>
          <w:b/>
          <w:color w:val="000000"/>
          <w:spacing w:val="6"/>
          <w:sz w:val="31"/>
        </w:rPr>
        <w:t>提高城市集中供热普及率。加快建设咸阳</w:t>
      </w:r>
      <w:r>
        <w:rPr>
          <w:rFonts w:ascii="Times New Roman"/>
          <w:b/>
          <w:color w:val="000000"/>
          <w:spacing w:val="6"/>
          <w:sz w:val="32"/>
          <w:szCs w:val="32"/>
        </w:rPr>
        <w:t>国电西郊2×350MW热电联产项目</w:t>
      </w:r>
      <w:r>
        <w:rPr>
          <w:rFonts w:ascii="Times New Roman"/>
          <w:b/>
          <w:color w:val="000000"/>
          <w:spacing w:val="6"/>
          <w:sz w:val="31"/>
        </w:rPr>
        <w:t>，到2020年，咸阳城区集中供热普及率达到80%。</w:t>
      </w:r>
    </w:p>
    <w:p>
      <w:pPr>
        <w:keepNext/>
        <w:keepLines/>
        <w:spacing w:line="300" w:lineRule="exact"/>
        <w:ind w:firstLine="0" w:firstLineChars="0"/>
        <w:jc w:val="center"/>
        <w:outlineLvl w:val="3"/>
        <w:rPr>
          <w:rFonts w:ascii="Times New Roman" w:eastAsia="宋体"/>
          <w:b/>
          <w:color w:val="000000"/>
          <w:sz w:val="32"/>
          <w:szCs w:val="32"/>
        </w:rPr>
      </w:pPr>
      <w:bookmarkStart w:id="22" w:name="_Toc439877164"/>
      <w:bookmarkStart w:id="23" w:name="_Toc439878085"/>
    </w:p>
    <w:p>
      <w:pPr>
        <w:keepNext/>
        <w:keepLines/>
        <w:spacing w:line="600" w:lineRule="exact"/>
        <w:ind w:firstLine="0" w:firstLineChars="0"/>
        <w:jc w:val="center"/>
        <w:outlineLvl w:val="2"/>
        <w:rPr>
          <w:rFonts w:ascii="Times New Roman" w:eastAsia="宋体"/>
          <w:b/>
          <w:color w:val="000000"/>
          <w:kern w:val="0"/>
          <w:sz w:val="32"/>
          <w:szCs w:val="32"/>
        </w:rPr>
      </w:pPr>
      <w:r>
        <w:rPr>
          <w:rFonts w:ascii="Times New Roman" w:eastAsia="宋体"/>
          <w:b/>
          <w:color w:val="000000"/>
          <w:kern w:val="0"/>
          <w:sz w:val="32"/>
          <w:szCs w:val="32"/>
        </w:rPr>
        <w:t>第五节  加快推进信息设施建设</w:t>
      </w:r>
      <w:bookmarkEnd w:id="22"/>
      <w:bookmarkEnd w:id="23"/>
    </w:p>
    <w:p>
      <w:pPr>
        <w:keepNext/>
        <w:keepLines/>
        <w:spacing w:line="300" w:lineRule="exact"/>
        <w:ind w:firstLine="0" w:firstLineChars="0"/>
        <w:jc w:val="center"/>
        <w:outlineLvl w:val="3"/>
        <w:rPr>
          <w:rFonts w:ascii="Times New Roman" w:eastAsia="宋体"/>
          <w:b/>
          <w:color w:val="000000"/>
          <w:sz w:val="32"/>
          <w:szCs w:val="32"/>
        </w:rPr>
      </w:pPr>
    </w:p>
    <w:p>
      <w:pPr>
        <w:adjustRightInd w:val="0"/>
        <w:snapToGrid w:val="0"/>
        <w:spacing w:line="600" w:lineRule="exact"/>
        <w:ind w:firstLine="643"/>
        <w:rPr>
          <w:rFonts w:ascii="Times New Roman"/>
          <w:b/>
          <w:color w:val="000000"/>
          <w:spacing w:val="-9"/>
          <w:sz w:val="32"/>
          <w:szCs w:val="32"/>
        </w:rPr>
      </w:pPr>
      <w:r>
        <w:rPr>
          <w:rFonts w:ascii="Times New Roman"/>
          <w:b/>
          <w:color w:val="000000"/>
          <w:sz w:val="32"/>
          <w:szCs w:val="32"/>
        </w:rPr>
        <w:t>加</w:t>
      </w:r>
      <w:r>
        <w:rPr>
          <w:rFonts w:ascii="Times New Roman"/>
          <w:b/>
          <w:color w:val="000000"/>
          <w:spacing w:val="-9"/>
          <w:sz w:val="32"/>
          <w:szCs w:val="32"/>
        </w:rPr>
        <w:t>快“智慧咸阳”建设。以城市信息化为核心，融合物联网、云计算、移动互联网等新一代信息与通信技术，整合城市各类信息资源，统筹业务应用系统，促进信息服务均等普惠。加强信息基础设施建设，加快构建高速、移动、安全、泛在的新一代信息基础设施，统筹建设新一代移动通信、下一代互联网，加快电信网、广播电视网、互联网“三网融合”，构筑大容量、高速率、安全可靠、相互融合的信息传输网络体系。加强邮政设施建设，全力推进“快递下乡”工程，加快建设快递产业园区。加快网上政务服务中心和政府服务标准化建设，推进公共服务信息化。全面建成全市公共资源交易平台，实现工程建设项目招标投标、土地使用权和矿业权出让、国有</w:t>
      </w:r>
      <w:r>
        <w:rPr>
          <w:rFonts w:ascii="Times New Roman"/>
          <w:b/>
          <w:color w:val="000000"/>
          <w:spacing w:val="-11"/>
          <w:sz w:val="32"/>
          <w:szCs w:val="32"/>
        </w:rPr>
        <w:t>产权交易、政府采购等交易一网通。重点实施信息融合示范工程、智慧医疗工程，建成咸阳云计算公共服务平台和数据交换中心。到2020年，市民卡基本实现在卫生、教育、交通等业务领域中的一卡多用。</w:t>
      </w:r>
    </w:p>
    <w:p>
      <w:pPr>
        <w:keepNext/>
        <w:keepLines/>
        <w:spacing w:line="300" w:lineRule="exact"/>
        <w:ind w:firstLine="0" w:firstLineChars="0"/>
        <w:jc w:val="center"/>
        <w:outlineLvl w:val="3"/>
        <w:rPr>
          <w:rFonts w:ascii="Times New Roman" w:eastAsia="宋体"/>
          <w:b/>
          <w:color w:val="000000"/>
          <w:sz w:val="32"/>
          <w:szCs w:val="32"/>
        </w:rPr>
      </w:pPr>
      <w:bookmarkStart w:id="24" w:name="_Toc439878086"/>
    </w:p>
    <w:p>
      <w:pPr>
        <w:keepNext/>
        <w:keepLines/>
        <w:spacing w:line="600" w:lineRule="exact"/>
        <w:ind w:firstLine="0" w:firstLineChars="0"/>
        <w:jc w:val="center"/>
        <w:outlineLvl w:val="2"/>
        <w:rPr>
          <w:rFonts w:ascii="Times New Roman" w:eastAsia="黑体"/>
          <w:b/>
          <w:color w:val="000000"/>
          <w:kern w:val="0"/>
          <w:sz w:val="32"/>
          <w:szCs w:val="32"/>
        </w:rPr>
      </w:pPr>
      <w:r>
        <w:rPr>
          <w:rFonts w:ascii="Times New Roman" w:eastAsia="黑体"/>
          <w:b/>
          <w:color w:val="000000"/>
          <w:kern w:val="0"/>
          <w:sz w:val="32"/>
          <w:szCs w:val="32"/>
        </w:rPr>
        <w:t>第十章 推进区域协调发展</w:t>
      </w:r>
      <w:bookmarkEnd w:id="24"/>
    </w:p>
    <w:p>
      <w:pPr>
        <w:keepNext/>
        <w:keepLines/>
        <w:spacing w:line="300" w:lineRule="exact"/>
        <w:ind w:firstLine="0" w:firstLineChars="0"/>
        <w:jc w:val="center"/>
        <w:outlineLvl w:val="3"/>
        <w:rPr>
          <w:rFonts w:ascii="Times New Roman" w:eastAsia="宋体"/>
          <w:b/>
          <w:color w:val="000000"/>
          <w:sz w:val="32"/>
          <w:szCs w:val="32"/>
        </w:rPr>
      </w:pPr>
    </w:p>
    <w:p>
      <w:pPr>
        <w:adjustRightInd w:val="0"/>
        <w:snapToGrid w:val="0"/>
        <w:spacing w:line="600" w:lineRule="exact"/>
        <w:ind w:firstLine="643"/>
        <w:rPr>
          <w:rFonts w:ascii="Times New Roman"/>
          <w:b/>
          <w:color w:val="000000"/>
          <w:sz w:val="32"/>
          <w:szCs w:val="32"/>
        </w:rPr>
      </w:pPr>
      <w:r>
        <w:rPr>
          <w:rFonts w:ascii="Times New Roman"/>
          <w:b/>
          <w:color w:val="000000"/>
          <w:sz w:val="32"/>
          <w:szCs w:val="32"/>
        </w:rPr>
        <w:t>塑造</w:t>
      </w:r>
      <w:bookmarkStart w:id="25" w:name="baidusnap1"/>
      <w:bookmarkEnd w:id="25"/>
      <w:r>
        <w:rPr>
          <w:rFonts w:ascii="Times New Roman"/>
          <w:b/>
          <w:color w:val="000000"/>
          <w:sz w:val="32"/>
          <w:szCs w:val="32"/>
        </w:rPr>
        <w:t>要素有序自由流动、</w:t>
      </w:r>
      <w:bookmarkStart w:id="26" w:name="baidusnap6"/>
      <w:bookmarkEnd w:id="26"/>
      <w:r>
        <w:rPr>
          <w:rFonts w:ascii="Times New Roman"/>
          <w:b/>
          <w:color w:val="000000"/>
          <w:sz w:val="32"/>
          <w:szCs w:val="32"/>
        </w:rPr>
        <w:t>主体功能约束有效、基本公共服务均等、资源环境可承载的区域协调发展布局。</w:t>
      </w:r>
    </w:p>
    <w:p>
      <w:pPr>
        <w:keepNext/>
        <w:keepLines/>
        <w:spacing w:line="300" w:lineRule="exact"/>
        <w:ind w:firstLine="0" w:firstLineChars="0"/>
        <w:jc w:val="center"/>
        <w:outlineLvl w:val="3"/>
        <w:rPr>
          <w:rFonts w:ascii="Times New Roman" w:eastAsia="宋体"/>
          <w:b/>
          <w:color w:val="000000"/>
          <w:sz w:val="32"/>
          <w:szCs w:val="32"/>
        </w:rPr>
      </w:pPr>
    </w:p>
    <w:p>
      <w:pPr>
        <w:keepNext/>
        <w:keepLines/>
        <w:spacing w:line="600" w:lineRule="exact"/>
        <w:ind w:firstLine="0" w:firstLineChars="0"/>
        <w:jc w:val="center"/>
        <w:outlineLvl w:val="3"/>
        <w:rPr>
          <w:rFonts w:ascii="Times New Roman" w:eastAsia="宋体"/>
          <w:b/>
          <w:color w:val="000000"/>
          <w:sz w:val="32"/>
          <w:szCs w:val="32"/>
        </w:rPr>
      </w:pPr>
      <w:r>
        <w:rPr>
          <w:rFonts w:ascii="Times New Roman" w:eastAsia="宋体"/>
          <w:b/>
          <w:color w:val="000000"/>
          <w:kern w:val="0"/>
          <w:sz w:val="32"/>
          <w:szCs w:val="32"/>
        </w:rPr>
        <w:t xml:space="preserve"> 第一节  </w:t>
      </w:r>
      <w:r>
        <w:rPr>
          <w:rFonts w:ascii="Times New Roman" w:eastAsia="宋体"/>
          <w:b/>
          <w:color w:val="000000"/>
          <w:sz w:val="32"/>
          <w:szCs w:val="32"/>
        </w:rPr>
        <w:t>加快主体功能区建设</w:t>
      </w:r>
    </w:p>
    <w:p>
      <w:pPr>
        <w:keepNext/>
        <w:keepLines/>
        <w:spacing w:line="300" w:lineRule="exact"/>
        <w:ind w:firstLine="0" w:firstLineChars="0"/>
        <w:jc w:val="center"/>
        <w:outlineLvl w:val="3"/>
        <w:rPr>
          <w:rFonts w:ascii="Times New Roman" w:eastAsia="宋体"/>
          <w:b/>
          <w:color w:val="000000"/>
          <w:sz w:val="32"/>
          <w:szCs w:val="32"/>
        </w:rPr>
      </w:pPr>
    </w:p>
    <w:p>
      <w:pPr>
        <w:spacing w:line="600" w:lineRule="exact"/>
        <w:ind w:firstLine="618"/>
        <w:rPr>
          <w:rFonts w:ascii="Times New Roman"/>
          <w:b/>
          <w:color w:val="000000"/>
          <w:sz w:val="32"/>
          <w:szCs w:val="32"/>
        </w:rPr>
      </w:pPr>
      <w:r>
        <w:rPr>
          <w:rFonts w:ascii="Times New Roman"/>
          <w:b/>
          <w:color w:val="000000"/>
          <w:spacing w:val="-6"/>
          <w:sz w:val="32"/>
          <w:szCs w:val="32"/>
        </w:rPr>
        <w:t>发挥主体功能区作为国土空间开发保护基础制度的作用，促进生产空间集约高效、生活空间宜居适度、生态空间山清水秀。加强空间发展引导和管控，引导重点开发区域集约集聚高效开发，统筹工业和城镇发展布局，提高自然资源利用效率和经济发展效益；强化农产品主产区耕地保护，稳定农产品生产，发展现代高效农业；推进重点生态功能区生态环境保护和修复力度，提高生态产品供给能力，保障生态安全；依法加强对禁止开发区的保护，严禁不符合主体功能定位的各类开发活动，保障自然生态和文化自然遗产原真性、完整性。各</w:t>
      </w:r>
      <w:r>
        <w:rPr>
          <w:rFonts w:ascii="Times New Roman"/>
          <w:b/>
          <w:color w:val="000000"/>
          <w:sz w:val="32"/>
          <w:szCs w:val="32"/>
        </w:rPr>
        <w:t>县市区要依据主体功能定位，科学布局生产、生活、生态空间，划定生态保护红线、永久基本农田红线、城镇开发边界控制线。实施有利于主体功能区建设的配套政策，实行分类管理，推行差别化绩效考核评估制度，形成符合各区域主体功能定位的导向机制。加大对重点生态功能区及农产品主产区的财政转移力度，实行生态保护和农产品生产优先的目标责任考核机制。制定限制开发区产业准入负面清单，鼓励限制开发区与重点开发区建立利益共享机制，发展“飞地经济”，引导产业向重点开发区转移。</w:t>
      </w:r>
    </w:p>
    <w:p>
      <w:pPr>
        <w:spacing w:line="600" w:lineRule="exact"/>
        <w:ind w:firstLine="643"/>
        <w:rPr>
          <w:rFonts w:ascii="Times New Roman"/>
          <w:b/>
          <w:color w:val="000000"/>
          <w:sz w:val="32"/>
          <w:szCs w:val="32"/>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noWrap w:val="0"/>
            <w:vAlign w:val="top"/>
          </w:tcPr>
          <w:p>
            <w:pPr>
              <w:spacing w:line="560" w:lineRule="exact"/>
              <w:ind w:firstLine="0" w:firstLineChars="0"/>
              <w:jc w:val="center"/>
              <w:rPr>
                <w:rFonts w:ascii="Times New Roman" w:eastAsia="黑体"/>
                <w:b/>
                <w:color w:val="000000"/>
                <w:sz w:val="28"/>
                <w:szCs w:val="28"/>
              </w:rPr>
            </w:pPr>
          </w:p>
          <w:p>
            <w:pPr>
              <w:spacing w:line="560" w:lineRule="exact"/>
              <w:ind w:firstLine="0" w:firstLineChars="0"/>
              <w:jc w:val="center"/>
              <w:rPr>
                <w:rFonts w:ascii="Times New Roman" w:eastAsia="黑体"/>
                <w:b/>
                <w:color w:val="000000"/>
                <w:sz w:val="32"/>
                <w:szCs w:val="32"/>
              </w:rPr>
            </w:pPr>
            <w:r>
              <w:rPr>
                <w:rFonts w:ascii="Times New Roman" w:eastAsia="黑体"/>
                <w:b/>
                <w:color w:val="000000"/>
                <w:sz w:val="32"/>
                <w:szCs w:val="32"/>
              </w:rPr>
              <w:t>专栏3-4  主体功能区划分</w:t>
            </w:r>
          </w:p>
          <w:p>
            <w:pPr>
              <w:spacing w:line="560" w:lineRule="exact"/>
              <w:ind w:firstLine="0" w:firstLineChars="0"/>
              <w:jc w:val="center"/>
              <w:rPr>
                <w:rFonts w:ascii="Times New Roman" w:eastAsia="黑体"/>
                <w:b/>
                <w:color w:val="000000"/>
                <w:sz w:val="28"/>
                <w:szCs w:val="28"/>
              </w:rPr>
            </w:pPr>
          </w:p>
          <w:p>
            <w:pPr>
              <w:spacing w:line="560" w:lineRule="exact"/>
              <w:ind w:firstLine="562"/>
              <w:rPr>
                <w:rFonts w:ascii="Times New Roman" w:eastAsia="宋体-PUA"/>
                <w:b/>
                <w:color w:val="000000"/>
                <w:sz w:val="28"/>
                <w:szCs w:val="28"/>
              </w:rPr>
            </w:pPr>
            <w:r>
              <w:rPr>
                <w:rFonts w:ascii="Times New Roman" w:eastAsia="宋体-PUA"/>
                <w:b/>
                <w:color w:val="000000"/>
                <w:sz w:val="28"/>
                <w:szCs w:val="28"/>
              </w:rPr>
              <w:t>重点开发区。包括两个板块，即秦都区、渭城区、兴平市、泾阳县（泾干、高庄、崇文、永乐、太平、云阳、三渠等7镇）、武功县（普集镇、小村镇、大庄镇）等五县国际化大都市组团板块和彬长旬（马栏镇除外）高端能源化工板块，总面积4174.4平方公里，占全市国土面积的40.9%。扣除基本农田后面积2978.2平方公里，占全市国土面积的29.2%。重点发展先进制造、高端化工、电子信息、生物医药、现代纺织、文化旅游业，打造成为全市经济发展的核心板块。</w:t>
            </w:r>
          </w:p>
          <w:p>
            <w:pPr>
              <w:spacing w:line="560" w:lineRule="exact"/>
              <w:ind w:firstLine="551" w:firstLineChars="196"/>
              <w:rPr>
                <w:rFonts w:ascii="Times New Roman" w:eastAsia="宋体-PUA"/>
                <w:b/>
                <w:color w:val="000000"/>
                <w:sz w:val="28"/>
                <w:szCs w:val="28"/>
              </w:rPr>
            </w:pPr>
            <w:r>
              <w:rPr>
                <w:rFonts w:ascii="Times New Roman" w:eastAsia="宋体-PUA"/>
                <w:b/>
                <w:color w:val="000000"/>
                <w:sz w:val="28"/>
                <w:szCs w:val="28"/>
              </w:rPr>
              <w:t>限制开发的农产品主产区。包括两个板块，即武功（游凤镇、苏坊镇、武功镇、贞元镇、长宁镇等5镇）、泾阳（桥底、王桥、口镇、中张、兴隆、安吴等6镇）、三原、乾县四县的渭河平原小麦主产区板块和永寿、淳化两县的渭北西部农牧区板块，总面积5229.6平方公里，占全市国土面积的51.3%。重点打造全省优质小麦生产基地、优质苹果和鲜杂果生产基地、优质奶畜产品生产基地、中药材生产基地。</w:t>
            </w:r>
          </w:p>
          <w:p>
            <w:pPr>
              <w:spacing w:line="560" w:lineRule="exact"/>
              <w:ind w:firstLine="543" w:firstLineChars="196"/>
              <w:rPr>
                <w:rFonts w:ascii="Times New Roman" w:eastAsia="宋体-PUA"/>
                <w:b/>
                <w:color w:val="000000"/>
                <w:spacing w:val="-2"/>
                <w:sz w:val="28"/>
                <w:szCs w:val="28"/>
              </w:rPr>
            </w:pPr>
            <w:r>
              <w:rPr>
                <w:rFonts w:ascii="Times New Roman" w:eastAsia="宋体-PUA"/>
                <w:b/>
                <w:color w:val="000000"/>
                <w:spacing w:val="-2"/>
                <w:sz w:val="28"/>
                <w:szCs w:val="28"/>
              </w:rPr>
              <w:t>限制开发的重点生态功能区。包括旬邑县马栏镇，总面积792平方公里，占全市国土面积的7.8%。加强退耕还林，防止水土流失，扩大绿色生态空间。大力发展旅游业，建设全国红色生态文化旅游发展创新区。</w:t>
            </w:r>
          </w:p>
          <w:p>
            <w:pPr>
              <w:spacing w:line="560" w:lineRule="exact"/>
              <w:ind w:firstLine="562"/>
              <w:rPr>
                <w:rFonts w:ascii="Times New Roman" w:eastAsia="宋体-PUA"/>
                <w:b/>
                <w:color w:val="000000"/>
                <w:sz w:val="28"/>
                <w:szCs w:val="28"/>
              </w:rPr>
            </w:pPr>
            <w:r>
              <w:rPr>
                <w:rFonts w:ascii="Times New Roman" w:eastAsia="宋体-PUA"/>
                <w:b/>
                <w:color w:val="000000"/>
                <w:sz w:val="28"/>
                <w:szCs w:val="28"/>
              </w:rPr>
              <w:t>禁止开发区。主要包括点状分布于全市的各级自然保护区、森林公园、文化自然遗产、重要湿地、重要水源地等，共44处，总面积1088平方公里。主要以保护自然文化资源，珍惜动植物基因资源、城乡居民集中饮用水源为主，维护生态平衡。</w:t>
            </w:r>
          </w:p>
          <w:p>
            <w:pPr>
              <w:spacing w:line="560" w:lineRule="exact"/>
              <w:ind w:firstLine="562"/>
              <w:rPr>
                <w:rFonts w:ascii="Times New Roman" w:eastAsia="黑体"/>
                <w:b/>
                <w:color w:val="000000"/>
                <w:sz w:val="28"/>
                <w:szCs w:val="28"/>
              </w:rPr>
            </w:pPr>
            <w:r>
              <w:rPr>
                <w:rFonts w:ascii="Times New Roman" w:eastAsia="宋体-PUA"/>
                <w:b/>
                <w:color w:val="000000"/>
                <w:sz w:val="28"/>
                <w:szCs w:val="28"/>
              </w:rPr>
              <w:t>点状开发的城镇。在限制开发的农产品主产区内选取部分县城关镇、重点镇的镇区，根据城镇化发展需要，实施点上开发、面上保护。包括：三原县城关镇、西阳镇、陵前镇，乾县城关镇、临平镇、阳洪镇、灵源镇，礼泉县城关镇、西张堡镇、烟霞镇，永寿县监军镇、店头镇、常宁镇，淳化县城关镇、官庄镇、润镇等15个城镇。</w:t>
            </w:r>
          </w:p>
        </w:tc>
      </w:tr>
    </w:tbl>
    <w:p>
      <w:pPr>
        <w:spacing w:line="300" w:lineRule="exact"/>
        <w:ind w:firstLine="0" w:firstLineChars="0"/>
        <w:jc w:val="center"/>
        <w:rPr>
          <w:rFonts w:ascii="Times New Roman" w:eastAsia="宋体"/>
          <w:b/>
          <w:color w:val="000000"/>
          <w:sz w:val="32"/>
          <w:szCs w:val="32"/>
        </w:rPr>
      </w:pPr>
    </w:p>
    <w:p>
      <w:pPr>
        <w:keepNext/>
        <w:keepLines/>
        <w:spacing w:line="300" w:lineRule="exact"/>
        <w:ind w:firstLine="0" w:firstLineChars="0"/>
        <w:jc w:val="center"/>
        <w:outlineLvl w:val="3"/>
        <w:rPr>
          <w:rFonts w:ascii="Times New Roman" w:eastAsia="宋体"/>
          <w:b/>
          <w:color w:val="000000"/>
          <w:sz w:val="32"/>
          <w:szCs w:val="32"/>
        </w:rPr>
      </w:pPr>
    </w:p>
    <w:p>
      <w:pPr>
        <w:spacing w:line="600" w:lineRule="exact"/>
        <w:ind w:firstLine="0" w:firstLineChars="0"/>
        <w:jc w:val="center"/>
        <w:rPr>
          <w:rFonts w:ascii="Times New Roman" w:eastAsia="宋体"/>
          <w:b/>
          <w:color w:val="000000"/>
          <w:kern w:val="0"/>
          <w:sz w:val="32"/>
          <w:szCs w:val="32"/>
        </w:rPr>
      </w:pPr>
      <w:r>
        <w:rPr>
          <w:rFonts w:ascii="Times New Roman" w:eastAsia="宋体"/>
          <w:b/>
          <w:color w:val="000000"/>
          <w:sz w:val="32"/>
          <w:szCs w:val="32"/>
        </w:rPr>
        <w:t xml:space="preserve">第二节  </w:t>
      </w:r>
      <w:r>
        <w:rPr>
          <w:rFonts w:ascii="Times New Roman" w:eastAsia="宋体"/>
          <w:b/>
          <w:color w:val="000000"/>
          <w:kern w:val="0"/>
          <w:sz w:val="32"/>
          <w:szCs w:val="32"/>
        </w:rPr>
        <w:t>科学谋划产业发展新格局</w:t>
      </w:r>
    </w:p>
    <w:p>
      <w:pPr>
        <w:adjustRightInd w:val="0"/>
        <w:snapToGrid w:val="0"/>
        <w:spacing w:line="300" w:lineRule="exact"/>
        <w:ind w:firstLine="643"/>
        <w:rPr>
          <w:rFonts w:ascii="Times New Roman"/>
          <w:b/>
          <w:color w:val="000000"/>
          <w:sz w:val="32"/>
          <w:szCs w:val="32"/>
        </w:rPr>
      </w:pPr>
    </w:p>
    <w:p>
      <w:pPr>
        <w:adjustRightInd w:val="0"/>
        <w:snapToGrid w:val="0"/>
        <w:spacing w:line="600" w:lineRule="exact"/>
        <w:ind w:firstLine="643"/>
        <w:rPr>
          <w:rFonts w:ascii="Times New Roman"/>
          <w:b/>
          <w:color w:val="000000"/>
          <w:spacing w:val="2"/>
          <w:sz w:val="32"/>
          <w:szCs w:val="32"/>
        </w:rPr>
      </w:pPr>
      <w:r>
        <w:rPr>
          <w:rFonts w:ascii="Times New Roman"/>
          <w:b/>
          <w:color w:val="000000"/>
          <w:sz w:val="32"/>
          <w:szCs w:val="32"/>
        </w:rPr>
        <w:t>遵循不同国土空间的自然属性，努力构筑比较优势充分发挥、各类要素有序自由流动和优化配置、区域间良性互动的区域发展格局。结合现实基础和发展态势，加快构建“南部创新发展、中部特色发展、北部突破发展”产业发展新格局。</w:t>
      </w:r>
      <w:r>
        <w:rPr>
          <w:rFonts w:ascii="Times New Roman"/>
          <w:b/>
          <w:color w:val="000000"/>
          <w:spacing w:val="2"/>
          <w:sz w:val="32"/>
          <w:szCs w:val="32"/>
        </w:rPr>
        <w:t>南部包括主城区、兴平、武功、泾阳、三原等区域，要发挥紧临中心城市的区位优势，以高端装备制造业、高新技术产业和现代服务业发展为核心，推动战略性新兴产业培育和电子、医药、纺织等产业的转型升级，加快实施创新驱动战略，提升发展层次，实现创新发展。中部乾县、礼泉、永寿、淳化区域，依托区域特色产业，加快工业聚集区建设，延伸产业链条，推动装备制造、生态环保、有机食品等产业发展，围绕生态人文资源大力发展乡村旅游业，着力打造具有区域特色和优势的产业集群，形成咸阳重要支撑区，实现特色发展。北部彬长旬区域要依托丰富的煤炭资源，加快推进原煤开采向发电、化工产品、新型建材等综合利用转变，不断提升煤炭资源的开发利用效益，要加大装备制造、物流等产业培育引进力度，壮大民营经济，实现突破发展。</w:t>
      </w:r>
    </w:p>
    <w:p>
      <w:pPr>
        <w:keepNext/>
        <w:keepLines/>
        <w:spacing w:line="300" w:lineRule="exact"/>
        <w:ind w:firstLine="0" w:firstLineChars="0"/>
        <w:jc w:val="center"/>
        <w:outlineLvl w:val="3"/>
        <w:rPr>
          <w:rFonts w:ascii="Times New Roman" w:eastAsia="宋体"/>
          <w:b/>
          <w:color w:val="000000"/>
          <w:sz w:val="32"/>
          <w:szCs w:val="32"/>
        </w:rPr>
      </w:pPr>
      <w:bookmarkStart w:id="27" w:name="_Toc439877166"/>
      <w:bookmarkStart w:id="28" w:name="_Toc439878087"/>
    </w:p>
    <w:p>
      <w:pPr>
        <w:spacing w:line="600" w:lineRule="exact"/>
        <w:ind w:firstLine="0" w:firstLineChars="0"/>
        <w:jc w:val="center"/>
        <w:outlineLvl w:val="2"/>
        <w:rPr>
          <w:rFonts w:ascii="Times New Roman" w:eastAsia="宋体"/>
          <w:b/>
          <w:color w:val="000000"/>
          <w:kern w:val="0"/>
          <w:sz w:val="32"/>
          <w:szCs w:val="32"/>
        </w:rPr>
      </w:pPr>
      <w:r>
        <w:rPr>
          <w:rFonts w:ascii="Times New Roman" w:eastAsia="宋体"/>
          <w:b/>
          <w:color w:val="000000"/>
          <w:kern w:val="0"/>
          <w:sz w:val="32"/>
          <w:szCs w:val="32"/>
        </w:rPr>
        <w:t>第三节  加快发展特色县域经济</w:t>
      </w:r>
      <w:bookmarkEnd w:id="27"/>
      <w:bookmarkEnd w:id="28"/>
    </w:p>
    <w:p>
      <w:pPr>
        <w:spacing w:line="3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r>
        <w:rPr>
          <w:rFonts w:ascii="Times New Roman"/>
          <w:b/>
          <w:color w:val="000000"/>
          <w:sz w:val="32"/>
          <w:szCs w:val="32"/>
        </w:rPr>
        <w:t>围绕县域经济进位目标，明晰县域主导产业，完善县域工业聚集区基础设施和公共服务设施，加快产业错位发展、聚集发展，促进县域经济爬坡过坎、追赶超越。到2020年，全市县域经济实力全面提升，财政状况明显好转；各县市基本形成1-2个特色发展产业，产业集群逐步建立，从要素驱动、投资驱动逐步转向创新驱动；各县市争先进位综合目标全部进入全省中等靠前位次，彬县、兴平市确保10强县位次并实现进位，三原县、泾阳县力争进入全省10强。</w:t>
      </w:r>
    </w:p>
    <w:p>
      <w:pPr>
        <w:spacing w:line="600" w:lineRule="exact"/>
        <w:ind w:firstLine="0" w:firstLineChars="0"/>
        <w:jc w:val="left"/>
        <w:rPr>
          <w:rFonts w:ascii="Times New Roman" w:eastAsia="黑体"/>
          <w:b/>
          <w:color w:val="000000"/>
          <w:sz w:val="32"/>
          <w:szCs w:val="32"/>
        </w:rPr>
      </w:pPr>
      <w:r>
        <w:rPr>
          <w:rFonts w:ascii="Times New Roman"/>
          <w:b/>
          <w:color w:val="000000"/>
          <w:sz w:val="32"/>
          <w:szCs w:val="32"/>
        </w:rPr>
        <w:br w:type="page"/>
      </w:r>
      <w:r>
        <w:rPr>
          <w:rFonts w:hint="eastAsia" w:ascii="黑体" w:hAnsi="黑体" w:eastAsia="黑体" w:cs="黑体"/>
          <w:b/>
          <w:color w:val="000000"/>
          <w:sz w:val="32"/>
          <w:szCs w:val="32"/>
        </w:rPr>
        <w:t xml:space="preserve">表3 </w:t>
      </w:r>
    </w:p>
    <w:p>
      <w:pPr>
        <w:spacing w:line="600" w:lineRule="exact"/>
        <w:ind w:firstLine="0" w:firstLineChars="0"/>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咸阳县域重点产业发展方向</w:t>
      </w:r>
    </w:p>
    <w:p>
      <w:pPr>
        <w:spacing w:line="600" w:lineRule="exact"/>
        <w:ind w:firstLine="0" w:firstLineChars="0"/>
        <w:jc w:val="center"/>
        <w:rPr>
          <w:rFonts w:hint="eastAsia" w:ascii="方正小标宋_GBK" w:hAnsi="方正小标宋_GBK" w:eastAsia="方正小标宋_GBK" w:cs="方正小标宋_GBK"/>
          <w:b/>
          <w:color w:val="000000"/>
          <w:sz w:val="44"/>
          <w:szCs w:val="44"/>
        </w:rPr>
      </w:pPr>
    </w:p>
    <w:tbl>
      <w:tblPr>
        <w:tblStyle w:val="17"/>
        <w:tblW w:w="0" w:type="auto"/>
        <w:jc w:val="center"/>
        <w:tblLayout w:type="fixed"/>
        <w:tblCellMar>
          <w:top w:w="0" w:type="dxa"/>
          <w:left w:w="108" w:type="dxa"/>
          <w:bottom w:w="0" w:type="dxa"/>
          <w:right w:w="108" w:type="dxa"/>
        </w:tblCellMar>
      </w:tblPr>
      <w:tblGrid>
        <w:gridCol w:w="2807"/>
        <w:gridCol w:w="6037"/>
      </w:tblGrid>
      <w:tr>
        <w:tblPrEx>
          <w:tblCellMar>
            <w:top w:w="0" w:type="dxa"/>
            <w:left w:w="108" w:type="dxa"/>
            <w:bottom w:w="0" w:type="dxa"/>
            <w:right w:w="108" w:type="dxa"/>
          </w:tblCellMar>
        </w:tblPrEx>
        <w:trPr>
          <w:wBefore w:w="0" w:type="dxa"/>
          <w:wAfter w:w="0" w:type="dxa"/>
          <w:trHeight w:val="567" w:hRule="exact"/>
          <w:jc w:val="center"/>
        </w:trPr>
        <w:tc>
          <w:tcPr>
            <w:tcW w:w="2807"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spacing w:line="400" w:lineRule="exact"/>
              <w:ind w:firstLine="0" w:firstLineChars="0"/>
              <w:jc w:val="center"/>
              <w:rPr>
                <w:rFonts w:ascii="Times New Roman" w:eastAsia="黑体"/>
                <w:b/>
                <w:color w:val="000000"/>
                <w:kern w:val="0"/>
                <w:sz w:val="24"/>
                <w:szCs w:val="24"/>
              </w:rPr>
            </w:pPr>
            <w:r>
              <w:rPr>
                <w:rFonts w:ascii="Times New Roman" w:eastAsia="黑体"/>
                <w:b/>
                <w:color w:val="000000"/>
                <w:kern w:val="0"/>
                <w:sz w:val="24"/>
                <w:szCs w:val="24"/>
              </w:rPr>
              <w:t>县市区</w:t>
            </w:r>
          </w:p>
        </w:tc>
        <w:tc>
          <w:tcPr>
            <w:tcW w:w="6037" w:type="dxa"/>
            <w:tcBorders>
              <w:top w:val="single" w:color="auto" w:sz="8" w:space="0"/>
              <w:left w:val="nil"/>
              <w:bottom w:val="single" w:color="auto" w:sz="8" w:space="0"/>
              <w:right w:val="single" w:color="auto" w:sz="8" w:space="0"/>
            </w:tcBorders>
            <w:noWrap w:val="0"/>
            <w:vAlign w:val="center"/>
          </w:tcPr>
          <w:p>
            <w:pPr>
              <w:adjustRightInd w:val="0"/>
              <w:snapToGrid w:val="0"/>
              <w:spacing w:line="400" w:lineRule="exact"/>
              <w:ind w:firstLine="0" w:firstLineChars="0"/>
              <w:jc w:val="center"/>
              <w:rPr>
                <w:rFonts w:ascii="Times New Roman" w:eastAsia="黑体"/>
                <w:b/>
                <w:color w:val="000000"/>
                <w:kern w:val="0"/>
                <w:sz w:val="24"/>
                <w:szCs w:val="24"/>
              </w:rPr>
            </w:pPr>
            <w:r>
              <w:rPr>
                <w:rFonts w:ascii="Times New Roman" w:eastAsia="黑体"/>
                <w:b/>
                <w:color w:val="000000"/>
                <w:kern w:val="0"/>
                <w:sz w:val="24"/>
                <w:szCs w:val="24"/>
              </w:rPr>
              <w:t>发展方向</w:t>
            </w:r>
          </w:p>
        </w:tc>
      </w:tr>
      <w:tr>
        <w:tblPrEx>
          <w:tblCellMar>
            <w:top w:w="0" w:type="dxa"/>
            <w:left w:w="108" w:type="dxa"/>
            <w:bottom w:w="0" w:type="dxa"/>
            <w:right w:w="108" w:type="dxa"/>
          </w:tblCellMar>
        </w:tblPrEx>
        <w:trPr>
          <w:wBefore w:w="0" w:type="dxa"/>
          <w:wAfter w:w="0" w:type="dxa"/>
          <w:trHeight w:val="567" w:hRule="exact"/>
          <w:jc w:val="center"/>
        </w:trPr>
        <w:tc>
          <w:tcPr>
            <w:tcW w:w="2807" w:type="dxa"/>
            <w:tcBorders>
              <w:top w:val="nil"/>
              <w:left w:val="single" w:color="auto" w:sz="8" w:space="0"/>
              <w:bottom w:val="single" w:color="auto" w:sz="8" w:space="0"/>
              <w:right w:val="single" w:color="auto" w:sz="8" w:space="0"/>
            </w:tcBorders>
            <w:noWrap w:val="0"/>
            <w:vAlign w:val="center"/>
          </w:tcPr>
          <w:p>
            <w:pPr>
              <w:adjustRightInd w:val="0"/>
              <w:snapToGrid w:val="0"/>
              <w:spacing w:line="400" w:lineRule="exact"/>
              <w:ind w:firstLine="0" w:firstLineChars="0"/>
              <w:jc w:val="center"/>
              <w:rPr>
                <w:rFonts w:ascii="Times New Roman" w:eastAsia="方正书宋简体"/>
                <w:b/>
                <w:color w:val="000000"/>
                <w:kern w:val="0"/>
                <w:sz w:val="24"/>
                <w:szCs w:val="24"/>
              </w:rPr>
            </w:pPr>
            <w:r>
              <w:rPr>
                <w:rFonts w:ascii="Times New Roman" w:eastAsia="方正书宋简体"/>
                <w:b/>
                <w:color w:val="000000"/>
                <w:sz w:val="24"/>
                <w:szCs w:val="24"/>
              </w:rPr>
              <w:t>兴平市</w:t>
            </w:r>
          </w:p>
        </w:tc>
        <w:tc>
          <w:tcPr>
            <w:tcW w:w="6037" w:type="dxa"/>
            <w:tcBorders>
              <w:top w:val="nil"/>
              <w:left w:val="nil"/>
              <w:bottom w:val="single" w:color="auto" w:sz="8" w:space="0"/>
              <w:right w:val="single" w:color="auto" w:sz="8" w:space="0"/>
            </w:tcBorders>
            <w:noWrap w:val="0"/>
            <w:vAlign w:val="center"/>
          </w:tcPr>
          <w:p>
            <w:pPr>
              <w:adjustRightInd w:val="0"/>
              <w:snapToGrid w:val="0"/>
              <w:spacing w:line="400" w:lineRule="exact"/>
              <w:ind w:firstLine="0" w:firstLineChars="0"/>
              <w:jc w:val="center"/>
              <w:rPr>
                <w:rFonts w:ascii="Times New Roman" w:eastAsia="方正书宋简体"/>
                <w:b/>
                <w:color w:val="000000"/>
                <w:kern w:val="0"/>
                <w:sz w:val="24"/>
                <w:szCs w:val="24"/>
              </w:rPr>
            </w:pPr>
            <w:r>
              <w:rPr>
                <w:rFonts w:ascii="Times New Roman" w:eastAsia="方正书宋简体"/>
                <w:b/>
                <w:color w:val="000000"/>
                <w:kern w:val="0"/>
                <w:sz w:val="24"/>
                <w:szCs w:val="24"/>
              </w:rPr>
              <w:t>装备制造、有机食品</w:t>
            </w:r>
          </w:p>
        </w:tc>
      </w:tr>
      <w:tr>
        <w:tblPrEx>
          <w:tblCellMar>
            <w:top w:w="0" w:type="dxa"/>
            <w:left w:w="108" w:type="dxa"/>
            <w:bottom w:w="0" w:type="dxa"/>
            <w:right w:w="108" w:type="dxa"/>
          </w:tblCellMar>
        </w:tblPrEx>
        <w:trPr>
          <w:wBefore w:w="0" w:type="dxa"/>
          <w:wAfter w:w="0" w:type="dxa"/>
          <w:trHeight w:val="567" w:hRule="exact"/>
          <w:jc w:val="center"/>
        </w:trPr>
        <w:tc>
          <w:tcPr>
            <w:tcW w:w="2807" w:type="dxa"/>
            <w:tcBorders>
              <w:top w:val="nil"/>
              <w:left w:val="single" w:color="auto" w:sz="8" w:space="0"/>
              <w:bottom w:val="single" w:color="auto" w:sz="4" w:space="0"/>
              <w:right w:val="single" w:color="auto" w:sz="8" w:space="0"/>
            </w:tcBorders>
            <w:noWrap w:val="0"/>
            <w:vAlign w:val="center"/>
          </w:tcPr>
          <w:p>
            <w:pPr>
              <w:adjustRightInd w:val="0"/>
              <w:snapToGrid w:val="0"/>
              <w:spacing w:line="400" w:lineRule="exact"/>
              <w:ind w:firstLine="0" w:firstLineChars="0"/>
              <w:jc w:val="center"/>
              <w:rPr>
                <w:rFonts w:ascii="Times New Roman" w:eastAsia="方正书宋简体"/>
                <w:b/>
                <w:color w:val="000000"/>
                <w:kern w:val="0"/>
                <w:sz w:val="24"/>
                <w:szCs w:val="24"/>
              </w:rPr>
            </w:pPr>
            <w:r>
              <w:rPr>
                <w:rFonts w:ascii="Times New Roman" w:eastAsia="方正书宋简体"/>
                <w:b/>
                <w:color w:val="000000"/>
                <w:sz w:val="24"/>
                <w:szCs w:val="24"/>
              </w:rPr>
              <w:t>武功县</w:t>
            </w:r>
          </w:p>
        </w:tc>
        <w:tc>
          <w:tcPr>
            <w:tcW w:w="6037" w:type="dxa"/>
            <w:tcBorders>
              <w:top w:val="nil"/>
              <w:left w:val="nil"/>
              <w:bottom w:val="single" w:color="auto" w:sz="4" w:space="0"/>
              <w:right w:val="single" w:color="auto" w:sz="8" w:space="0"/>
            </w:tcBorders>
            <w:noWrap w:val="0"/>
            <w:vAlign w:val="center"/>
          </w:tcPr>
          <w:p>
            <w:pPr>
              <w:adjustRightInd w:val="0"/>
              <w:snapToGrid w:val="0"/>
              <w:spacing w:line="400" w:lineRule="exact"/>
              <w:ind w:firstLine="0" w:firstLineChars="0"/>
              <w:jc w:val="center"/>
              <w:rPr>
                <w:rFonts w:ascii="Times New Roman" w:eastAsia="方正书宋简体"/>
                <w:b/>
                <w:color w:val="000000"/>
                <w:kern w:val="0"/>
                <w:sz w:val="24"/>
                <w:szCs w:val="24"/>
              </w:rPr>
            </w:pPr>
            <w:r>
              <w:rPr>
                <w:rFonts w:ascii="Times New Roman" w:eastAsia="方正书宋简体"/>
                <w:b/>
                <w:color w:val="000000"/>
                <w:kern w:val="0"/>
                <w:sz w:val="24"/>
                <w:szCs w:val="24"/>
              </w:rPr>
              <w:t>装备制造、电子商务</w:t>
            </w:r>
          </w:p>
        </w:tc>
      </w:tr>
      <w:tr>
        <w:tblPrEx>
          <w:tblCellMar>
            <w:top w:w="0" w:type="dxa"/>
            <w:left w:w="108" w:type="dxa"/>
            <w:bottom w:w="0" w:type="dxa"/>
            <w:right w:w="108" w:type="dxa"/>
          </w:tblCellMar>
        </w:tblPrEx>
        <w:trPr>
          <w:wBefore w:w="0" w:type="dxa"/>
          <w:wAfter w:w="0" w:type="dxa"/>
          <w:trHeight w:val="567" w:hRule="exact"/>
          <w:jc w:val="center"/>
        </w:trPr>
        <w:tc>
          <w:tcPr>
            <w:tcW w:w="2807" w:type="dxa"/>
            <w:tcBorders>
              <w:top w:val="single" w:color="auto" w:sz="4" w:space="0"/>
              <w:left w:val="single" w:color="auto" w:sz="8" w:space="0"/>
              <w:bottom w:val="single" w:color="auto" w:sz="8" w:space="0"/>
              <w:right w:val="single" w:color="auto" w:sz="8" w:space="0"/>
            </w:tcBorders>
            <w:noWrap w:val="0"/>
            <w:vAlign w:val="center"/>
          </w:tcPr>
          <w:p>
            <w:pPr>
              <w:adjustRightInd w:val="0"/>
              <w:snapToGrid w:val="0"/>
              <w:spacing w:line="400" w:lineRule="exact"/>
              <w:ind w:firstLine="0" w:firstLineChars="0"/>
              <w:jc w:val="center"/>
              <w:rPr>
                <w:rFonts w:ascii="Times New Roman" w:eastAsia="方正书宋简体"/>
                <w:b/>
                <w:color w:val="000000"/>
                <w:kern w:val="0"/>
                <w:sz w:val="24"/>
                <w:szCs w:val="24"/>
              </w:rPr>
            </w:pPr>
            <w:r>
              <w:rPr>
                <w:rFonts w:ascii="Times New Roman" w:eastAsia="方正书宋简体"/>
                <w:b/>
                <w:color w:val="000000"/>
                <w:sz w:val="24"/>
                <w:szCs w:val="24"/>
              </w:rPr>
              <w:t>乾  县</w:t>
            </w:r>
          </w:p>
        </w:tc>
        <w:tc>
          <w:tcPr>
            <w:tcW w:w="6037" w:type="dxa"/>
            <w:tcBorders>
              <w:top w:val="single" w:color="auto" w:sz="4" w:space="0"/>
              <w:left w:val="nil"/>
              <w:bottom w:val="single" w:color="auto" w:sz="8" w:space="0"/>
              <w:right w:val="single" w:color="auto" w:sz="8" w:space="0"/>
            </w:tcBorders>
            <w:noWrap w:val="0"/>
            <w:vAlign w:val="center"/>
          </w:tcPr>
          <w:p>
            <w:pPr>
              <w:adjustRightInd w:val="0"/>
              <w:snapToGrid w:val="0"/>
              <w:spacing w:line="400" w:lineRule="exact"/>
              <w:ind w:firstLine="0" w:firstLineChars="0"/>
              <w:jc w:val="center"/>
              <w:rPr>
                <w:rFonts w:ascii="Times New Roman" w:eastAsia="方正书宋简体"/>
                <w:b/>
                <w:color w:val="000000"/>
                <w:kern w:val="0"/>
                <w:sz w:val="24"/>
                <w:szCs w:val="24"/>
              </w:rPr>
            </w:pPr>
            <w:r>
              <w:rPr>
                <w:rFonts w:ascii="Times New Roman" w:eastAsia="方正书宋简体"/>
                <w:b/>
                <w:color w:val="000000"/>
                <w:kern w:val="0"/>
                <w:sz w:val="24"/>
                <w:szCs w:val="24"/>
              </w:rPr>
              <w:t>装备制造、现代服务业</w:t>
            </w:r>
          </w:p>
        </w:tc>
      </w:tr>
      <w:tr>
        <w:tblPrEx>
          <w:tblCellMar>
            <w:top w:w="0" w:type="dxa"/>
            <w:left w:w="108" w:type="dxa"/>
            <w:bottom w:w="0" w:type="dxa"/>
            <w:right w:w="108" w:type="dxa"/>
          </w:tblCellMar>
        </w:tblPrEx>
        <w:trPr>
          <w:wBefore w:w="0" w:type="dxa"/>
          <w:wAfter w:w="0" w:type="dxa"/>
          <w:trHeight w:val="567" w:hRule="exact"/>
          <w:jc w:val="center"/>
        </w:trPr>
        <w:tc>
          <w:tcPr>
            <w:tcW w:w="2807" w:type="dxa"/>
            <w:tcBorders>
              <w:top w:val="nil"/>
              <w:left w:val="single" w:color="auto" w:sz="8" w:space="0"/>
              <w:bottom w:val="single" w:color="auto" w:sz="4" w:space="0"/>
              <w:right w:val="single" w:color="auto" w:sz="8" w:space="0"/>
            </w:tcBorders>
            <w:noWrap w:val="0"/>
            <w:vAlign w:val="center"/>
          </w:tcPr>
          <w:p>
            <w:pPr>
              <w:adjustRightInd w:val="0"/>
              <w:snapToGrid w:val="0"/>
              <w:spacing w:line="400" w:lineRule="exact"/>
              <w:ind w:firstLine="0" w:firstLineChars="0"/>
              <w:jc w:val="center"/>
              <w:rPr>
                <w:rFonts w:ascii="Times New Roman" w:eastAsia="方正书宋简体"/>
                <w:b/>
                <w:color w:val="000000"/>
                <w:kern w:val="0"/>
                <w:sz w:val="24"/>
                <w:szCs w:val="24"/>
              </w:rPr>
            </w:pPr>
            <w:r>
              <w:rPr>
                <w:rFonts w:ascii="Times New Roman" w:eastAsia="方正书宋简体"/>
                <w:b/>
                <w:color w:val="000000"/>
                <w:sz w:val="24"/>
                <w:szCs w:val="24"/>
              </w:rPr>
              <w:t>礼泉县</w:t>
            </w:r>
          </w:p>
        </w:tc>
        <w:tc>
          <w:tcPr>
            <w:tcW w:w="6037" w:type="dxa"/>
            <w:tcBorders>
              <w:top w:val="nil"/>
              <w:left w:val="nil"/>
              <w:bottom w:val="single" w:color="auto" w:sz="4" w:space="0"/>
              <w:right w:val="single" w:color="auto" w:sz="8" w:space="0"/>
            </w:tcBorders>
            <w:noWrap w:val="0"/>
            <w:vAlign w:val="center"/>
          </w:tcPr>
          <w:p>
            <w:pPr>
              <w:adjustRightInd w:val="0"/>
              <w:snapToGrid w:val="0"/>
              <w:spacing w:line="400" w:lineRule="exact"/>
              <w:ind w:firstLine="0" w:firstLineChars="0"/>
              <w:jc w:val="center"/>
              <w:rPr>
                <w:rFonts w:ascii="Times New Roman" w:eastAsia="方正书宋简体"/>
                <w:b/>
                <w:color w:val="000000"/>
                <w:kern w:val="0"/>
                <w:sz w:val="24"/>
                <w:szCs w:val="24"/>
              </w:rPr>
            </w:pPr>
            <w:r>
              <w:rPr>
                <w:rFonts w:ascii="Times New Roman" w:eastAsia="方正书宋简体"/>
                <w:b/>
                <w:color w:val="000000"/>
                <w:kern w:val="0"/>
                <w:sz w:val="24"/>
                <w:szCs w:val="24"/>
              </w:rPr>
              <w:t>有机食品、再生资源</w:t>
            </w:r>
          </w:p>
        </w:tc>
      </w:tr>
      <w:tr>
        <w:tblPrEx>
          <w:tblCellMar>
            <w:top w:w="0" w:type="dxa"/>
            <w:left w:w="108" w:type="dxa"/>
            <w:bottom w:w="0" w:type="dxa"/>
            <w:right w:w="108" w:type="dxa"/>
          </w:tblCellMar>
        </w:tblPrEx>
        <w:trPr>
          <w:wBefore w:w="0" w:type="dxa"/>
          <w:wAfter w:w="0" w:type="dxa"/>
          <w:trHeight w:val="567" w:hRule="exact"/>
          <w:jc w:val="center"/>
        </w:trPr>
        <w:tc>
          <w:tcPr>
            <w:tcW w:w="2807" w:type="dxa"/>
            <w:tcBorders>
              <w:top w:val="single" w:color="auto" w:sz="4" w:space="0"/>
              <w:left w:val="single" w:color="auto" w:sz="8" w:space="0"/>
              <w:bottom w:val="single" w:color="auto" w:sz="8" w:space="0"/>
              <w:right w:val="single" w:color="auto" w:sz="8" w:space="0"/>
            </w:tcBorders>
            <w:noWrap w:val="0"/>
            <w:vAlign w:val="center"/>
          </w:tcPr>
          <w:p>
            <w:pPr>
              <w:adjustRightInd w:val="0"/>
              <w:snapToGrid w:val="0"/>
              <w:spacing w:line="400" w:lineRule="exact"/>
              <w:ind w:firstLine="0" w:firstLineChars="0"/>
              <w:jc w:val="center"/>
              <w:rPr>
                <w:rFonts w:ascii="Times New Roman" w:eastAsia="方正书宋简体"/>
                <w:b/>
                <w:color w:val="000000"/>
                <w:kern w:val="0"/>
                <w:sz w:val="24"/>
                <w:szCs w:val="24"/>
              </w:rPr>
            </w:pPr>
            <w:r>
              <w:rPr>
                <w:rFonts w:ascii="Times New Roman" w:eastAsia="方正书宋简体"/>
                <w:b/>
                <w:color w:val="000000"/>
                <w:sz w:val="24"/>
                <w:szCs w:val="24"/>
              </w:rPr>
              <w:t>泾阳县</w:t>
            </w:r>
          </w:p>
        </w:tc>
        <w:tc>
          <w:tcPr>
            <w:tcW w:w="6037" w:type="dxa"/>
            <w:tcBorders>
              <w:top w:val="single" w:color="auto" w:sz="4" w:space="0"/>
              <w:left w:val="nil"/>
              <w:bottom w:val="single" w:color="auto" w:sz="8" w:space="0"/>
              <w:right w:val="single" w:color="auto" w:sz="8" w:space="0"/>
            </w:tcBorders>
            <w:noWrap w:val="0"/>
            <w:vAlign w:val="center"/>
          </w:tcPr>
          <w:p>
            <w:pPr>
              <w:adjustRightInd w:val="0"/>
              <w:snapToGrid w:val="0"/>
              <w:spacing w:line="400" w:lineRule="exact"/>
              <w:ind w:firstLine="0" w:firstLineChars="0"/>
              <w:jc w:val="center"/>
              <w:rPr>
                <w:rFonts w:ascii="Times New Roman" w:eastAsia="方正书宋简体"/>
                <w:b/>
                <w:color w:val="000000"/>
                <w:kern w:val="0"/>
                <w:sz w:val="24"/>
                <w:szCs w:val="24"/>
              </w:rPr>
            </w:pPr>
            <w:r>
              <w:rPr>
                <w:rFonts w:ascii="Times New Roman" w:eastAsia="方正书宋简体"/>
                <w:b/>
                <w:color w:val="000000"/>
                <w:kern w:val="0"/>
                <w:sz w:val="24"/>
                <w:szCs w:val="24"/>
              </w:rPr>
              <w:t>高端装备制造、有机食品</w:t>
            </w:r>
          </w:p>
        </w:tc>
      </w:tr>
      <w:tr>
        <w:tblPrEx>
          <w:tblCellMar>
            <w:top w:w="0" w:type="dxa"/>
            <w:left w:w="108" w:type="dxa"/>
            <w:bottom w:w="0" w:type="dxa"/>
            <w:right w:w="108" w:type="dxa"/>
          </w:tblCellMar>
        </w:tblPrEx>
        <w:trPr>
          <w:wBefore w:w="0" w:type="dxa"/>
          <w:wAfter w:w="0" w:type="dxa"/>
          <w:trHeight w:val="567" w:hRule="exact"/>
          <w:jc w:val="center"/>
        </w:trPr>
        <w:tc>
          <w:tcPr>
            <w:tcW w:w="2807" w:type="dxa"/>
            <w:tcBorders>
              <w:top w:val="nil"/>
              <w:left w:val="single" w:color="auto" w:sz="8" w:space="0"/>
              <w:bottom w:val="single" w:color="auto" w:sz="8" w:space="0"/>
              <w:right w:val="single" w:color="auto" w:sz="8" w:space="0"/>
            </w:tcBorders>
            <w:noWrap w:val="0"/>
            <w:vAlign w:val="center"/>
          </w:tcPr>
          <w:p>
            <w:pPr>
              <w:adjustRightInd w:val="0"/>
              <w:snapToGrid w:val="0"/>
              <w:spacing w:line="400" w:lineRule="exact"/>
              <w:ind w:firstLine="0" w:firstLineChars="0"/>
              <w:jc w:val="center"/>
              <w:rPr>
                <w:rFonts w:ascii="Times New Roman" w:eastAsia="方正书宋简体"/>
                <w:b/>
                <w:color w:val="000000"/>
                <w:kern w:val="0"/>
                <w:sz w:val="24"/>
                <w:szCs w:val="24"/>
              </w:rPr>
            </w:pPr>
            <w:r>
              <w:rPr>
                <w:rFonts w:ascii="Times New Roman" w:eastAsia="方正书宋简体"/>
                <w:b/>
                <w:color w:val="000000"/>
                <w:sz w:val="24"/>
                <w:szCs w:val="24"/>
              </w:rPr>
              <w:t>三原县</w:t>
            </w:r>
          </w:p>
        </w:tc>
        <w:tc>
          <w:tcPr>
            <w:tcW w:w="6037" w:type="dxa"/>
            <w:tcBorders>
              <w:top w:val="nil"/>
              <w:left w:val="nil"/>
              <w:bottom w:val="single" w:color="auto" w:sz="8" w:space="0"/>
              <w:right w:val="single" w:color="auto" w:sz="8" w:space="0"/>
            </w:tcBorders>
            <w:noWrap w:val="0"/>
            <w:vAlign w:val="center"/>
          </w:tcPr>
          <w:p>
            <w:pPr>
              <w:adjustRightInd w:val="0"/>
              <w:snapToGrid w:val="0"/>
              <w:spacing w:line="400" w:lineRule="exact"/>
              <w:ind w:firstLine="0" w:firstLineChars="0"/>
              <w:jc w:val="center"/>
              <w:rPr>
                <w:rFonts w:ascii="Times New Roman" w:eastAsia="方正书宋简体"/>
                <w:b/>
                <w:color w:val="000000"/>
                <w:kern w:val="0"/>
                <w:sz w:val="24"/>
                <w:szCs w:val="24"/>
              </w:rPr>
            </w:pPr>
            <w:r>
              <w:rPr>
                <w:rFonts w:ascii="Times New Roman" w:eastAsia="方正书宋简体"/>
                <w:b/>
                <w:color w:val="000000"/>
                <w:kern w:val="0"/>
                <w:sz w:val="24"/>
                <w:szCs w:val="24"/>
              </w:rPr>
              <w:t>装备制造、商贸物流业</w:t>
            </w:r>
          </w:p>
        </w:tc>
      </w:tr>
      <w:tr>
        <w:tblPrEx>
          <w:tblCellMar>
            <w:top w:w="0" w:type="dxa"/>
            <w:left w:w="108" w:type="dxa"/>
            <w:bottom w:w="0" w:type="dxa"/>
            <w:right w:w="108" w:type="dxa"/>
          </w:tblCellMar>
        </w:tblPrEx>
        <w:trPr>
          <w:wBefore w:w="0" w:type="dxa"/>
          <w:wAfter w:w="0" w:type="dxa"/>
          <w:trHeight w:val="567" w:hRule="exact"/>
          <w:jc w:val="center"/>
        </w:trPr>
        <w:tc>
          <w:tcPr>
            <w:tcW w:w="2807"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spacing w:line="400" w:lineRule="exact"/>
              <w:ind w:firstLine="0" w:firstLineChars="0"/>
              <w:jc w:val="center"/>
              <w:rPr>
                <w:rFonts w:ascii="Times New Roman" w:eastAsia="方正书宋简体"/>
                <w:b/>
                <w:color w:val="000000"/>
                <w:kern w:val="0"/>
                <w:sz w:val="24"/>
                <w:szCs w:val="24"/>
              </w:rPr>
            </w:pPr>
            <w:r>
              <w:rPr>
                <w:rFonts w:ascii="Times New Roman" w:eastAsia="方正书宋简体"/>
                <w:b/>
                <w:color w:val="000000"/>
                <w:sz w:val="24"/>
                <w:szCs w:val="24"/>
              </w:rPr>
              <w:t>永寿县</w:t>
            </w:r>
          </w:p>
        </w:tc>
        <w:tc>
          <w:tcPr>
            <w:tcW w:w="6037"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spacing w:line="400" w:lineRule="exact"/>
              <w:ind w:firstLine="0" w:firstLineChars="0"/>
              <w:jc w:val="center"/>
              <w:rPr>
                <w:rFonts w:ascii="Times New Roman" w:eastAsia="方正书宋简体"/>
                <w:b/>
                <w:color w:val="000000"/>
                <w:kern w:val="0"/>
                <w:sz w:val="24"/>
                <w:szCs w:val="24"/>
              </w:rPr>
            </w:pPr>
            <w:r>
              <w:rPr>
                <w:rFonts w:ascii="Times New Roman" w:eastAsia="方正书宋简体"/>
                <w:b/>
                <w:color w:val="000000"/>
                <w:kern w:val="0"/>
                <w:sz w:val="24"/>
                <w:szCs w:val="24"/>
              </w:rPr>
              <w:t>绿色食品、生态民俗旅游业</w:t>
            </w:r>
          </w:p>
        </w:tc>
      </w:tr>
      <w:tr>
        <w:tblPrEx>
          <w:tblCellMar>
            <w:top w:w="0" w:type="dxa"/>
            <w:left w:w="108" w:type="dxa"/>
            <w:bottom w:w="0" w:type="dxa"/>
            <w:right w:w="108" w:type="dxa"/>
          </w:tblCellMar>
        </w:tblPrEx>
        <w:trPr>
          <w:wBefore w:w="0" w:type="dxa"/>
          <w:wAfter w:w="0" w:type="dxa"/>
          <w:trHeight w:val="567" w:hRule="exact"/>
          <w:jc w:val="center"/>
        </w:trPr>
        <w:tc>
          <w:tcPr>
            <w:tcW w:w="2807" w:type="dxa"/>
            <w:tcBorders>
              <w:top w:val="single" w:color="auto" w:sz="8" w:space="0"/>
              <w:left w:val="single" w:color="auto" w:sz="8" w:space="0"/>
              <w:bottom w:val="single" w:color="auto" w:sz="8" w:space="0"/>
              <w:right w:val="single" w:color="auto" w:sz="8" w:space="0"/>
            </w:tcBorders>
            <w:noWrap w:val="0"/>
            <w:vAlign w:val="center"/>
          </w:tcPr>
          <w:p>
            <w:pPr>
              <w:adjustRightInd w:val="0"/>
              <w:snapToGrid w:val="0"/>
              <w:spacing w:line="400" w:lineRule="exact"/>
              <w:ind w:firstLine="0" w:firstLineChars="0"/>
              <w:jc w:val="center"/>
              <w:rPr>
                <w:rFonts w:ascii="Times New Roman" w:eastAsia="方正书宋简体"/>
                <w:b/>
                <w:color w:val="000000"/>
                <w:kern w:val="0"/>
                <w:sz w:val="24"/>
                <w:szCs w:val="24"/>
              </w:rPr>
            </w:pPr>
            <w:r>
              <w:rPr>
                <w:rFonts w:ascii="Times New Roman" w:eastAsia="方正书宋简体"/>
                <w:b/>
                <w:color w:val="000000"/>
                <w:sz w:val="24"/>
                <w:szCs w:val="24"/>
              </w:rPr>
              <w:t>彬  县</w:t>
            </w:r>
          </w:p>
        </w:tc>
        <w:tc>
          <w:tcPr>
            <w:tcW w:w="6037" w:type="dxa"/>
            <w:tcBorders>
              <w:top w:val="single" w:color="auto" w:sz="8" w:space="0"/>
              <w:left w:val="nil"/>
              <w:bottom w:val="single" w:color="auto" w:sz="8" w:space="0"/>
              <w:right w:val="single" w:color="auto" w:sz="8" w:space="0"/>
            </w:tcBorders>
            <w:noWrap w:val="0"/>
            <w:vAlign w:val="center"/>
          </w:tcPr>
          <w:p>
            <w:pPr>
              <w:adjustRightInd w:val="0"/>
              <w:snapToGrid w:val="0"/>
              <w:spacing w:line="400" w:lineRule="exact"/>
              <w:ind w:firstLine="0" w:firstLineChars="0"/>
              <w:jc w:val="center"/>
              <w:rPr>
                <w:rFonts w:ascii="Times New Roman" w:eastAsia="方正书宋简体"/>
                <w:b/>
                <w:color w:val="000000"/>
                <w:kern w:val="0"/>
                <w:sz w:val="24"/>
                <w:szCs w:val="24"/>
              </w:rPr>
            </w:pPr>
            <w:r>
              <w:rPr>
                <w:rFonts w:ascii="Times New Roman" w:eastAsia="方正书宋简体"/>
                <w:b/>
                <w:color w:val="000000"/>
                <w:kern w:val="0"/>
                <w:sz w:val="24"/>
                <w:szCs w:val="24"/>
              </w:rPr>
              <w:t>高端能源化工、现代服务业</w:t>
            </w:r>
          </w:p>
        </w:tc>
      </w:tr>
      <w:tr>
        <w:tblPrEx>
          <w:tblCellMar>
            <w:top w:w="0" w:type="dxa"/>
            <w:left w:w="108" w:type="dxa"/>
            <w:bottom w:w="0" w:type="dxa"/>
            <w:right w:w="108" w:type="dxa"/>
          </w:tblCellMar>
        </w:tblPrEx>
        <w:trPr>
          <w:wBefore w:w="0" w:type="dxa"/>
          <w:wAfter w:w="0" w:type="dxa"/>
          <w:trHeight w:val="567" w:hRule="exact"/>
          <w:jc w:val="center"/>
        </w:trPr>
        <w:tc>
          <w:tcPr>
            <w:tcW w:w="2807" w:type="dxa"/>
            <w:tcBorders>
              <w:top w:val="nil"/>
              <w:left w:val="single" w:color="auto" w:sz="8" w:space="0"/>
              <w:bottom w:val="single" w:color="auto" w:sz="8" w:space="0"/>
              <w:right w:val="single" w:color="auto" w:sz="8" w:space="0"/>
            </w:tcBorders>
            <w:noWrap w:val="0"/>
            <w:vAlign w:val="center"/>
          </w:tcPr>
          <w:p>
            <w:pPr>
              <w:adjustRightInd w:val="0"/>
              <w:snapToGrid w:val="0"/>
              <w:spacing w:line="400" w:lineRule="exact"/>
              <w:ind w:firstLine="0" w:firstLineChars="0"/>
              <w:jc w:val="center"/>
              <w:rPr>
                <w:rFonts w:ascii="Times New Roman" w:eastAsia="方正书宋简体"/>
                <w:b/>
                <w:color w:val="000000"/>
                <w:kern w:val="0"/>
                <w:sz w:val="24"/>
                <w:szCs w:val="24"/>
              </w:rPr>
            </w:pPr>
            <w:r>
              <w:rPr>
                <w:rFonts w:ascii="Times New Roman" w:eastAsia="方正书宋简体"/>
                <w:b/>
                <w:color w:val="000000"/>
                <w:sz w:val="24"/>
                <w:szCs w:val="24"/>
              </w:rPr>
              <w:t>长武县</w:t>
            </w:r>
          </w:p>
        </w:tc>
        <w:tc>
          <w:tcPr>
            <w:tcW w:w="6037" w:type="dxa"/>
            <w:tcBorders>
              <w:top w:val="nil"/>
              <w:left w:val="nil"/>
              <w:bottom w:val="single" w:color="auto" w:sz="8" w:space="0"/>
              <w:right w:val="single" w:color="auto" w:sz="8" w:space="0"/>
            </w:tcBorders>
            <w:noWrap w:val="0"/>
            <w:vAlign w:val="center"/>
          </w:tcPr>
          <w:p>
            <w:pPr>
              <w:adjustRightInd w:val="0"/>
              <w:snapToGrid w:val="0"/>
              <w:spacing w:line="400" w:lineRule="exact"/>
              <w:ind w:firstLine="0" w:firstLineChars="0"/>
              <w:jc w:val="center"/>
              <w:rPr>
                <w:rFonts w:ascii="Times New Roman" w:eastAsia="方正书宋简体"/>
                <w:b/>
                <w:color w:val="000000"/>
                <w:kern w:val="0"/>
                <w:sz w:val="24"/>
                <w:szCs w:val="24"/>
              </w:rPr>
            </w:pPr>
            <w:r>
              <w:rPr>
                <w:rFonts w:ascii="Times New Roman" w:eastAsia="方正书宋简体"/>
                <w:b/>
                <w:color w:val="000000"/>
                <w:kern w:val="0"/>
                <w:sz w:val="24"/>
                <w:szCs w:val="24"/>
              </w:rPr>
              <w:t>高端能源化工、现代物流业</w:t>
            </w:r>
          </w:p>
        </w:tc>
      </w:tr>
      <w:tr>
        <w:tblPrEx>
          <w:tblCellMar>
            <w:top w:w="0" w:type="dxa"/>
            <w:left w:w="108" w:type="dxa"/>
            <w:bottom w:w="0" w:type="dxa"/>
            <w:right w:w="108" w:type="dxa"/>
          </w:tblCellMar>
        </w:tblPrEx>
        <w:trPr>
          <w:wBefore w:w="0" w:type="dxa"/>
          <w:wAfter w:w="0" w:type="dxa"/>
          <w:trHeight w:val="567" w:hRule="exact"/>
          <w:jc w:val="center"/>
        </w:trPr>
        <w:tc>
          <w:tcPr>
            <w:tcW w:w="2807" w:type="dxa"/>
            <w:tcBorders>
              <w:top w:val="nil"/>
              <w:left w:val="single" w:color="auto" w:sz="8" w:space="0"/>
              <w:bottom w:val="single" w:color="auto" w:sz="8" w:space="0"/>
              <w:right w:val="single" w:color="auto" w:sz="8" w:space="0"/>
            </w:tcBorders>
            <w:noWrap w:val="0"/>
            <w:vAlign w:val="center"/>
          </w:tcPr>
          <w:p>
            <w:pPr>
              <w:adjustRightInd w:val="0"/>
              <w:snapToGrid w:val="0"/>
              <w:spacing w:line="400" w:lineRule="exact"/>
              <w:ind w:firstLine="0" w:firstLineChars="0"/>
              <w:jc w:val="center"/>
              <w:rPr>
                <w:rFonts w:ascii="Times New Roman" w:eastAsia="方正书宋简体"/>
                <w:b/>
                <w:color w:val="000000"/>
                <w:kern w:val="0"/>
                <w:sz w:val="24"/>
                <w:szCs w:val="24"/>
              </w:rPr>
            </w:pPr>
            <w:r>
              <w:rPr>
                <w:rFonts w:ascii="Times New Roman" w:eastAsia="方正书宋简体"/>
                <w:b/>
                <w:color w:val="000000"/>
                <w:sz w:val="24"/>
                <w:szCs w:val="24"/>
              </w:rPr>
              <w:t>旬邑县</w:t>
            </w:r>
          </w:p>
        </w:tc>
        <w:tc>
          <w:tcPr>
            <w:tcW w:w="6037" w:type="dxa"/>
            <w:tcBorders>
              <w:top w:val="nil"/>
              <w:left w:val="nil"/>
              <w:bottom w:val="single" w:color="auto" w:sz="8" w:space="0"/>
              <w:right w:val="single" w:color="auto" w:sz="8" w:space="0"/>
            </w:tcBorders>
            <w:noWrap w:val="0"/>
            <w:vAlign w:val="center"/>
          </w:tcPr>
          <w:p>
            <w:pPr>
              <w:adjustRightInd w:val="0"/>
              <w:snapToGrid w:val="0"/>
              <w:spacing w:line="400" w:lineRule="exact"/>
              <w:ind w:firstLine="0" w:firstLineChars="0"/>
              <w:jc w:val="center"/>
              <w:rPr>
                <w:rFonts w:ascii="Times New Roman" w:eastAsia="方正书宋简体"/>
                <w:b/>
                <w:color w:val="000000"/>
                <w:kern w:val="0"/>
                <w:sz w:val="24"/>
                <w:szCs w:val="24"/>
              </w:rPr>
            </w:pPr>
            <w:r>
              <w:rPr>
                <w:rFonts w:ascii="Times New Roman" w:eastAsia="方正书宋简体"/>
                <w:b/>
                <w:color w:val="000000"/>
                <w:kern w:val="0"/>
                <w:sz w:val="24"/>
                <w:szCs w:val="24"/>
              </w:rPr>
              <w:t>高端能源化工、生态红色旅游业</w:t>
            </w:r>
          </w:p>
        </w:tc>
      </w:tr>
      <w:tr>
        <w:tblPrEx>
          <w:tblCellMar>
            <w:top w:w="0" w:type="dxa"/>
            <w:left w:w="108" w:type="dxa"/>
            <w:bottom w:w="0" w:type="dxa"/>
            <w:right w:w="108" w:type="dxa"/>
          </w:tblCellMar>
        </w:tblPrEx>
        <w:trPr>
          <w:wBefore w:w="0" w:type="dxa"/>
          <w:wAfter w:w="0" w:type="dxa"/>
          <w:trHeight w:val="567" w:hRule="exact"/>
          <w:jc w:val="center"/>
        </w:trPr>
        <w:tc>
          <w:tcPr>
            <w:tcW w:w="2807" w:type="dxa"/>
            <w:tcBorders>
              <w:top w:val="nil"/>
              <w:left w:val="single" w:color="auto" w:sz="8" w:space="0"/>
              <w:bottom w:val="single" w:color="auto" w:sz="8" w:space="0"/>
              <w:right w:val="single" w:color="auto" w:sz="8" w:space="0"/>
            </w:tcBorders>
            <w:noWrap w:val="0"/>
            <w:vAlign w:val="center"/>
          </w:tcPr>
          <w:p>
            <w:pPr>
              <w:adjustRightInd w:val="0"/>
              <w:snapToGrid w:val="0"/>
              <w:spacing w:line="400" w:lineRule="exact"/>
              <w:ind w:firstLine="0" w:firstLineChars="0"/>
              <w:jc w:val="center"/>
              <w:rPr>
                <w:rFonts w:ascii="Times New Roman" w:eastAsia="方正书宋简体"/>
                <w:b/>
                <w:color w:val="000000"/>
                <w:kern w:val="0"/>
                <w:sz w:val="24"/>
                <w:szCs w:val="24"/>
              </w:rPr>
            </w:pPr>
            <w:r>
              <w:rPr>
                <w:rFonts w:ascii="Times New Roman" w:eastAsia="方正书宋简体"/>
                <w:b/>
                <w:color w:val="000000"/>
                <w:sz w:val="24"/>
                <w:szCs w:val="24"/>
              </w:rPr>
              <w:t>淳化县</w:t>
            </w:r>
          </w:p>
        </w:tc>
        <w:tc>
          <w:tcPr>
            <w:tcW w:w="6037" w:type="dxa"/>
            <w:tcBorders>
              <w:top w:val="nil"/>
              <w:left w:val="nil"/>
              <w:bottom w:val="single" w:color="auto" w:sz="8" w:space="0"/>
              <w:right w:val="single" w:color="auto" w:sz="8" w:space="0"/>
            </w:tcBorders>
            <w:noWrap w:val="0"/>
            <w:vAlign w:val="center"/>
          </w:tcPr>
          <w:p>
            <w:pPr>
              <w:adjustRightInd w:val="0"/>
              <w:snapToGrid w:val="0"/>
              <w:spacing w:line="400" w:lineRule="exact"/>
              <w:ind w:firstLine="0" w:firstLineChars="0"/>
              <w:jc w:val="center"/>
              <w:rPr>
                <w:rFonts w:ascii="Times New Roman" w:eastAsia="方正书宋简体"/>
                <w:b/>
                <w:color w:val="000000"/>
                <w:kern w:val="0"/>
                <w:sz w:val="24"/>
                <w:szCs w:val="24"/>
              </w:rPr>
            </w:pPr>
            <w:r>
              <w:rPr>
                <w:rFonts w:ascii="Times New Roman" w:eastAsia="方正书宋简体"/>
                <w:b/>
                <w:color w:val="000000"/>
                <w:kern w:val="0"/>
                <w:sz w:val="24"/>
                <w:szCs w:val="24"/>
              </w:rPr>
              <w:t>绿色食品、生态民俗旅游业</w:t>
            </w:r>
          </w:p>
        </w:tc>
      </w:tr>
    </w:tbl>
    <w:p>
      <w:pPr>
        <w:keepNext/>
        <w:keepLines/>
        <w:spacing w:line="300" w:lineRule="exact"/>
        <w:ind w:firstLine="0" w:firstLineChars="0"/>
        <w:jc w:val="center"/>
        <w:outlineLvl w:val="3"/>
        <w:rPr>
          <w:rFonts w:ascii="Times New Roman" w:eastAsia="宋体"/>
          <w:b/>
          <w:color w:val="000000"/>
          <w:sz w:val="32"/>
          <w:szCs w:val="32"/>
        </w:rPr>
      </w:pPr>
    </w:p>
    <w:p>
      <w:pPr>
        <w:pBdr>
          <w:bottom w:val="single" w:color="FFFFFF" w:sz="4" w:space="31"/>
        </w:pBdr>
        <w:spacing w:line="600" w:lineRule="exact"/>
        <w:ind w:firstLine="0" w:firstLineChars="0"/>
        <w:jc w:val="center"/>
        <w:rPr>
          <w:rFonts w:ascii="Times New Roman" w:eastAsia="宋体"/>
          <w:b/>
          <w:color w:val="000000"/>
          <w:sz w:val="32"/>
          <w:szCs w:val="32"/>
        </w:rPr>
      </w:pPr>
      <w:r>
        <w:rPr>
          <w:rFonts w:ascii="Times New Roman" w:eastAsia="宋体"/>
          <w:b/>
          <w:color w:val="000000"/>
          <w:sz w:val="32"/>
          <w:szCs w:val="32"/>
        </w:rPr>
        <w:t>第四节  加快重点园区建设</w:t>
      </w:r>
    </w:p>
    <w:p>
      <w:pPr>
        <w:pBdr>
          <w:bottom w:val="single" w:color="FFFFFF" w:sz="4" w:space="31"/>
        </w:pBdr>
        <w:spacing w:line="300" w:lineRule="exact"/>
        <w:ind w:firstLine="667"/>
        <w:rPr>
          <w:rFonts w:ascii="Times New Roman"/>
          <w:b/>
          <w:color w:val="000000"/>
          <w:spacing w:val="6"/>
          <w:sz w:val="32"/>
          <w:szCs w:val="32"/>
        </w:rPr>
      </w:pPr>
    </w:p>
    <w:p>
      <w:pPr>
        <w:pBdr>
          <w:bottom w:val="single" w:color="FFFFFF" w:sz="4" w:space="31"/>
        </w:pBdr>
        <w:spacing w:line="600" w:lineRule="exact"/>
        <w:ind w:firstLine="667"/>
        <w:rPr>
          <w:rFonts w:ascii="Times New Roman"/>
          <w:b/>
          <w:color w:val="000000"/>
          <w:spacing w:val="6"/>
          <w:sz w:val="32"/>
          <w:szCs w:val="32"/>
        </w:rPr>
      </w:pPr>
      <w:r>
        <w:rPr>
          <w:rFonts w:ascii="Times New Roman"/>
          <w:b/>
          <w:color w:val="000000"/>
          <w:spacing w:val="6"/>
          <w:sz w:val="32"/>
          <w:szCs w:val="32"/>
        </w:rPr>
        <w:t>加快重点产业园区整合、扩容、升级，逐步形成布局合理、功能明确、分工协作、竞争有序的产业区域布局。进一步明晰各重点园区发展定位和产业重点，统筹考虑重大项目布局。</w:t>
      </w:r>
    </w:p>
    <w:p>
      <w:pPr>
        <w:pBdr>
          <w:bottom w:val="single" w:color="FFFFFF" w:sz="4" w:space="31"/>
        </w:pBdr>
        <w:spacing w:line="600" w:lineRule="exact"/>
        <w:ind w:firstLine="667"/>
        <w:rPr>
          <w:rFonts w:ascii="Times New Roman"/>
          <w:b/>
          <w:color w:val="000000"/>
          <w:spacing w:val="6"/>
          <w:sz w:val="32"/>
          <w:szCs w:val="32"/>
        </w:rPr>
      </w:pPr>
      <w:r>
        <w:rPr>
          <w:rFonts w:ascii="Times New Roman" w:eastAsia="楷体_GB2312"/>
          <w:b/>
          <w:color w:val="000000"/>
          <w:spacing w:val="6"/>
          <w:sz w:val="32"/>
          <w:szCs w:val="32"/>
        </w:rPr>
        <w:t>咸阳高新区。</w:t>
      </w:r>
      <w:r>
        <w:rPr>
          <w:rFonts w:ascii="Times New Roman"/>
          <w:b/>
          <w:color w:val="000000"/>
          <w:spacing w:val="6"/>
          <w:sz w:val="32"/>
          <w:szCs w:val="32"/>
        </w:rPr>
        <w:t>围绕电子信息、生物医药、新型合成材料三大核心支柱产业，全面提升自主创新能力、规模经济水平、产业竞争力和辐射带动力。到</w:t>
      </w:r>
      <w:r>
        <w:rPr>
          <w:rFonts w:ascii="Times New Roman"/>
          <w:b/>
          <w:color w:val="000000"/>
          <w:spacing w:val="6"/>
          <w:kern w:val="0"/>
          <w:sz w:val="32"/>
          <w:szCs w:val="32"/>
        </w:rPr>
        <w:t>2020年</w:t>
      </w:r>
      <w:r>
        <w:rPr>
          <w:rFonts w:ascii="Times New Roman"/>
          <w:b/>
          <w:color w:val="000000"/>
          <w:spacing w:val="6"/>
          <w:sz w:val="32"/>
          <w:szCs w:val="32"/>
        </w:rPr>
        <w:t>，高新区建成区面积达30平方公里，城市人口突破18万，产值过亿元的企业达到40家，高新技术企业总数达到50家，全区工业总产值突破1000亿元。</w:t>
      </w:r>
    </w:p>
    <w:p>
      <w:pPr>
        <w:pBdr>
          <w:bottom w:val="single" w:color="FFFFFF" w:sz="4" w:space="31"/>
        </w:pBdr>
        <w:spacing w:line="600" w:lineRule="exact"/>
        <w:ind w:firstLine="0" w:firstLineChars="0"/>
        <w:rPr>
          <w:rFonts w:ascii="Times New Roman"/>
          <w:b/>
          <w:color w:val="000000"/>
          <w:spacing w:val="6"/>
          <w:sz w:val="32"/>
          <w:szCs w:val="32"/>
        </w:rPr>
      </w:pPr>
      <w:r>
        <w:rPr>
          <w:rFonts w:ascii="Times New Roman" w:eastAsia="楷体_GB2312"/>
          <w:b/>
          <w:color w:val="000000"/>
          <w:spacing w:val="6"/>
          <w:kern w:val="0"/>
          <w:sz w:val="32"/>
          <w:szCs w:val="32"/>
        </w:rPr>
        <w:t xml:space="preserve">    中韩产业园。</w:t>
      </w:r>
      <w:r>
        <w:rPr>
          <w:rFonts w:ascii="Times New Roman"/>
          <w:b/>
          <w:color w:val="000000"/>
          <w:spacing w:val="6"/>
          <w:sz w:val="32"/>
          <w:szCs w:val="32"/>
        </w:rPr>
        <w:t>在咸阳高新区、大西安（咸阳）文化体育功能区和乾县建设中韩产业园，积极吸引韩国企业落户，重点发展电子信息、智能制造、医药及化妆品、文化旅游、节能环保、健康养老、物流电商等七大产业，</w:t>
      </w:r>
      <w:r>
        <w:rPr>
          <w:rFonts w:ascii="Times New Roman"/>
          <w:b/>
          <w:color w:val="000000"/>
          <w:spacing w:val="6"/>
          <w:kern w:val="0"/>
          <w:sz w:val="32"/>
          <w:szCs w:val="32"/>
        </w:rPr>
        <w:t>构建丝绸之路经济带国际合作“中韩智造城，共赢示范区”。到2020年，园区总产值超过300亿元，拉动关联产业产值超过900亿元，直接就业人数达到3万人以上。</w:t>
      </w:r>
    </w:p>
    <w:p>
      <w:pPr>
        <w:pBdr>
          <w:bottom w:val="single" w:color="FFFFFF" w:sz="4" w:space="31"/>
        </w:pBdr>
        <w:spacing w:line="600" w:lineRule="exact"/>
        <w:ind w:firstLine="667"/>
        <w:rPr>
          <w:rFonts w:ascii="Times New Roman"/>
          <w:b/>
          <w:color w:val="000000"/>
          <w:spacing w:val="6"/>
          <w:sz w:val="32"/>
          <w:szCs w:val="32"/>
        </w:rPr>
      </w:pPr>
      <w:r>
        <w:rPr>
          <w:rFonts w:ascii="Times New Roman" w:eastAsia="楷体_GB2312"/>
          <w:b/>
          <w:color w:val="000000"/>
          <w:spacing w:val="6"/>
          <w:sz w:val="32"/>
          <w:szCs w:val="32"/>
        </w:rPr>
        <w:t>咸阳新兴纺织工业园。</w:t>
      </w:r>
      <w:r>
        <w:rPr>
          <w:rFonts w:ascii="Times New Roman"/>
          <w:b/>
          <w:color w:val="000000"/>
          <w:spacing w:val="6"/>
          <w:sz w:val="32"/>
          <w:szCs w:val="32"/>
        </w:rPr>
        <w:t>以“商贸带动、服务支撑、做强终端、做优下游、延伸产业链、提升价值链”为引领，坚持特色化发展，以推进产业集群式发展为重点，以园区服务功能和招商引资为抓手，力争在棉纺织、功能性和品牌型服装家纺、特色产业用纺织品等重点领域形成优势，将园区打造成中国西部纺织产业最具实力的示范区。纺织设备制造业、纺织服装商贸集散中心初具规模，纺织技术研发中心和物流配送基地启动建设。</w:t>
      </w:r>
      <w:r>
        <w:rPr>
          <w:rFonts w:ascii="Times New Roman"/>
          <w:b/>
          <w:color w:val="000000"/>
          <w:spacing w:val="6"/>
          <w:kern w:val="0"/>
          <w:sz w:val="32"/>
          <w:szCs w:val="32"/>
        </w:rPr>
        <w:t>到2020年</w:t>
      </w:r>
      <w:r>
        <w:rPr>
          <w:rFonts w:ascii="Times New Roman"/>
          <w:b/>
          <w:color w:val="000000"/>
          <w:spacing w:val="6"/>
          <w:sz w:val="32"/>
          <w:szCs w:val="32"/>
        </w:rPr>
        <w:t>，园区工业总产值突破200亿元，从业人员6万人左右。</w:t>
      </w:r>
    </w:p>
    <w:p>
      <w:pPr>
        <w:pBdr>
          <w:bottom w:val="single" w:color="FFFFFF" w:sz="4" w:space="31"/>
        </w:pBdr>
        <w:spacing w:line="600" w:lineRule="exact"/>
        <w:ind w:firstLine="667"/>
        <w:rPr>
          <w:rFonts w:ascii="Times New Roman"/>
          <w:b/>
          <w:color w:val="000000"/>
          <w:spacing w:val="6"/>
          <w:sz w:val="32"/>
          <w:szCs w:val="32"/>
        </w:rPr>
      </w:pPr>
      <w:r>
        <w:rPr>
          <w:rFonts w:ascii="Times New Roman" w:eastAsia="楷体_GB2312"/>
          <w:b/>
          <w:color w:val="000000"/>
          <w:spacing w:val="6"/>
          <w:sz w:val="32"/>
          <w:szCs w:val="32"/>
        </w:rPr>
        <w:t>大西安（咸阳）文化体育功能区（咸阳经济技术开发区）。</w:t>
      </w:r>
      <w:r>
        <w:rPr>
          <w:rFonts w:ascii="Times New Roman"/>
          <w:b/>
          <w:color w:val="000000"/>
          <w:spacing w:val="6"/>
          <w:sz w:val="32"/>
          <w:szCs w:val="32"/>
        </w:rPr>
        <w:t>加大基础设施投入力度，大力发展文化体育、电子商务、文化旅游、临空物流等产业，打造咸阳市区北部拓展区、大西安城市群文化体育中心、现代服务业和制造业聚集区、统筹城乡发展示范区。到</w:t>
      </w:r>
      <w:r>
        <w:rPr>
          <w:rFonts w:ascii="Times New Roman"/>
          <w:b/>
          <w:color w:val="000000"/>
          <w:spacing w:val="6"/>
          <w:kern w:val="0"/>
          <w:sz w:val="32"/>
          <w:szCs w:val="32"/>
        </w:rPr>
        <w:t>2020年</w:t>
      </w:r>
      <w:r>
        <w:rPr>
          <w:rFonts w:ascii="Times New Roman"/>
          <w:b/>
          <w:color w:val="000000"/>
          <w:spacing w:val="6"/>
          <w:sz w:val="32"/>
          <w:szCs w:val="32"/>
        </w:rPr>
        <w:t>，功能区建设初具规模，建成区面积达到11平方公里，城市人口达到13万人。</w:t>
      </w:r>
    </w:p>
    <w:p>
      <w:pPr>
        <w:pBdr>
          <w:bottom w:val="single" w:color="FFFFFF" w:sz="4" w:space="31"/>
        </w:pBdr>
        <w:spacing w:line="600" w:lineRule="exact"/>
        <w:ind w:firstLine="667"/>
        <w:rPr>
          <w:rFonts w:ascii="Times New Roman"/>
          <w:b/>
          <w:color w:val="000000"/>
          <w:spacing w:val="6"/>
          <w:sz w:val="32"/>
          <w:szCs w:val="32"/>
        </w:rPr>
      </w:pPr>
      <w:r>
        <w:rPr>
          <w:rFonts w:ascii="Times New Roman" w:eastAsia="楷体_GB2312"/>
          <w:b/>
          <w:color w:val="000000"/>
          <w:spacing w:val="6"/>
          <w:sz w:val="32"/>
          <w:szCs w:val="32"/>
        </w:rPr>
        <w:t>咸阳精细化工产业园</w:t>
      </w:r>
      <w:r>
        <w:rPr>
          <w:rFonts w:ascii="Times New Roman"/>
          <w:b/>
          <w:color w:val="000000"/>
          <w:spacing w:val="6"/>
          <w:sz w:val="32"/>
          <w:szCs w:val="32"/>
        </w:rPr>
        <w:t>。依托彬长旬高端能源化工基地和承接大西安能化产业转移，重点发展精细化工、化工新材料、石油化工等精细化工产业，形成上下游产品关联产业链，打造产业特色鲜明的精细化工产业园。</w:t>
      </w:r>
    </w:p>
    <w:p>
      <w:pPr>
        <w:pBdr>
          <w:bottom w:val="single" w:color="FFFFFF" w:sz="4" w:space="31"/>
        </w:pBdr>
        <w:spacing w:line="600" w:lineRule="exact"/>
        <w:ind w:firstLine="667"/>
        <w:rPr>
          <w:rFonts w:ascii="Times New Roman"/>
          <w:b/>
          <w:color w:val="000000"/>
          <w:spacing w:val="6"/>
          <w:kern w:val="0"/>
          <w:sz w:val="32"/>
          <w:szCs w:val="32"/>
        </w:rPr>
      </w:pPr>
      <w:r>
        <w:rPr>
          <w:rFonts w:ascii="Times New Roman" w:eastAsia="楷体_GB2312"/>
          <w:b/>
          <w:color w:val="000000"/>
          <w:spacing w:val="6"/>
          <w:kern w:val="0"/>
          <w:sz w:val="32"/>
          <w:szCs w:val="32"/>
        </w:rPr>
        <w:t>三原高新区。</w:t>
      </w:r>
      <w:r>
        <w:rPr>
          <w:rFonts w:ascii="Times New Roman"/>
          <w:b/>
          <w:color w:val="000000"/>
          <w:spacing w:val="6"/>
          <w:kern w:val="0"/>
          <w:sz w:val="32"/>
          <w:szCs w:val="32"/>
        </w:rPr>
        <w:t>加快先进制造技术、食品、生物医药等产业发展，打造高新技术引进应用成效显著、产城关系统筹协调发展、生态环境品质建设良好的特色高新技术产业园区、现代科技产业新城。到2020年，园区工业产值突破300亿元,高新技术企业达到30户, 高新技术产业产值占比达到30%。</w:t>
      </w:r>
    </w:p>
    <w:p>
      <w:pPr>
        <w:pBdr>
          <w:bottom w:val="single" w:color="FFFFFF" w:sz="4" w:space="31"/>
        </w:pBdr>
        <w:spacing w:line="600" w:lineRule="exact"/>
        <w:ind w:firstLine="643"/>
        <w:rPr>
          <w:rFonts w:ascii="Times New Roman"/>
          <w:b/>
          <w:color w:val="000000"/>
          <w:kern w:val="0"/>
          <w:sz w:val="32"/>
          <w:szCs w:val="32"/>
        </w:rPr>
      </w:pPr>
      <w:r>
        <w:rPr>
          <w:rFonts w:ascii="Times New Roman" w:eastAsia="楷体_GB2312"/>
          <w:b/>
          <w:color w:val="000000"/>
          <w:kern w:val="0"/>
          <w:sz w:val="32"/>
          <w:szCs w:val="32"/>
        </w:rPr>
        <w:t>县域工业集中区。</w:t>
      </w:r>
      <w:r>
        <w:rPr>
          <w:rFonts w:ascii="Times New Roman"/>
          <w:b/>
          <w:color w:val="000000"/>
          <w:kern w:val="0"/>
          <w:sz w:val="32"/>
          <w:szCs w:val="32"/>
        </w:rPr>
        <w:t>以增强产业综合配套能力为重点，整合提升现有各县市县域工业集中区，提高投资强度、土地集约利用率和资源能源利用效率，积极争取有条件的县域工业集中区升级为省级开发区，打造支撑县域经济重要增长极。到2020年，全市各重点县域工业集中区全面实现“七通一平”，综合承载能力明显提升，南部8个县域工业集中区产值平均达到500亿元以上，北部5个县域工业集中区产值平均达到200亿元以上。</w:t>
      </w:r>
      <w:bookmarkStart w:id="29" w:name="_Toc439878088"/>
    </w:p>
    <w:p>
      <w:pPr>
        <w:pBdr>
          <w:bottom w:val="single" w:color="FFFFFF" w:sz="4" w:space="31"/>
        </w:pBdr>
        <w:spacing w:line="300" w:lineRule="exact"/>
        <w:ind w:firstLine="0" w:firstLineChars="0"/>
        <w:jc w:val="center"/>
        <w:rPr>
          <w:rFonts w:ascii="Times New Roman" w:eastAsia="黑体"/>
          <w:b/>
          <w:color w:val="000000"/>
          <w:spacing w:val="6"/>
          <w:kern w:val="0"/>
          <w:sz w:val="32"/>
          <w:szCs w:val="32"/>
        </w:rPr>
      </w:pPr>
    </w:p>
    <w:p>
      <w:pPr>
        <w:pBdr>
          <w:bottom w:val="single" w:color="FFFFFF" w:sz="4" w:space="31"/>
        </w:pBdr>
        <w:spacing w:line="600" w:lineRule="exact"/>
        <w:ind w:firstLine="0" w:firstLineChars="0"/>
        <w:jc w:val="center"/>
        <w:rPr>
          <w:rFonts w:ascii="Times New Roman" w:eastAsia="黑体"/>
          <w:b/>
          <w:color w:val="000000"/>
          <w:spacing w:val="6"/>
          <w:kern w:val="0"/>
          <w:sz w:val="32"/>
          <w:szCs w:val="32"/>
        </w:rPr>
      </w:pPr>
      <w:r>
        <w:rPr>
          <w:rFonts w:ascii="Times New Roman" w:eastAsia="黑体"/>
          <w:b/>
          <w:color w:val="000000"/>
          <w:spacing w:val="6"/>
          <w:kern w:val="0"/>
          <w:sz w:val="32"/>
          <w:szCs w:val="32"/>
        </w:rPr>
        <w:t>第十一章  促进城乡协调发展</w:t>
      </w:r>
      <w:bookmarkEnd w:id="29"/>
    </w:p>
    <w:p>
      <w:pPr>
        <w:pBdr>
          <w:bottom w:val="single" w:color="FFFFFF" w:sz="4" w:space="31"/>
        </w:pBdr>
        <w:spacing w:line="300" w:lineRule="exact"/>
        <w:ind w:firstLine="0" w:firstLineChars="0"/>
        <w:jc w:val="center"/>
        <w:rPr>
          <w:rFonts w:ascii="Times New Roman" w:eastAsia="黑体"/>
          <w:b/>
          <w:color w:val="000000"/>
          <w:spacing w:val="6"/>
          <w:kern w:val="0"/>
          <w:sz w:val="32"/>
          <w:szCs w:val="32"/>
        </w:rPr>
      </w:pPr>
    </w:p>
    <w:p>
      <w:pPr>
        <w:pBdr>
          <w:bottom w:val="single" w:color="FFFFFF" w:sz="4" w:space="31"/>
        </w:pBdr>
        <w:spacing w:line="600" w:lineRule="exact"/>
        <w:ind w:firstLine="667"/>
        <w:jc w:val="left"/>
        <w:rPr>
          <w:rFonts w:ascii="Times New Roman"/>
          <w:b/>
          <w:color w:val="000000"/>
          <w:sz w:val="32"/>
          <w:szCs w:val="32"/>
        </w:rPr>
      </w:pPr>
      <w:r>
        <w:rPr>
          <w:rFonts w:ascii="Times New Roman"/>
          <w:b/>
          <w:color w:val="000000"/>
          <w:spacing w:val="6"/>
          <w:sz w:val="32"/>
          <w:szCs w:val="32"/>
        </w:rPr>
        <w:t>按照“以人为本、四化同步、优化布局、生态文明、文化传承”的新型城镇化总体要求，以中心城市发展建设为引领、以大西安（咸阳）文化体育功能区及咸兴之间产业与城镇化对接为重点，以关中城市群核心区县城为支撑，大力推进与西咸新区有机融合，辐射带动全部县城和建制镇建设，不断优化城镇体系，完善城镇功能，提升城镇综合承载力，增强城镇要素聚集</w:t>
      </w:r>
      <w:r>
        <w:rPr>
          <w:rFonts w:ascii="Times New Roman"/>
          <w:b/>
          <w:color w:val="000000"/>
          <w:sz w:val="32"/>
          <w:szCs w:val="32"/>
        </w:rPr>
        <w:t>能力。优化提升城镇形态和功能布局，不断加快以人为核心的新型城镇化进程。</w:t>
      </w:r>
      <w:bookmarkStart w:id="30" w:name="_Toc439877168"/>
      <w:bookmarkStart w:id="31" w:name="_Toc439878089"/>
    </w:p>
    <w:p>
      <w:pPr>
        <w:pBdr>
          <w:bottom w:val="single" w:color="FFFFFF" w:sz="4" w:space="31"/>
        </w:pBdr>
        <w:spacing w:line="300" w:lineRule="exact"/>
        <w:ind w:firstLine="0" w:firstLineChars="0"/>
        <w:jc w:val="left"/>
        <w:rPr>
          <w:rFonts w:hint="eastAsia" w:ascii="Times New Roman" w:eastAsia="宋体"/>
          <w:b/>
          <w:color w:val="000000"/>
          <w:sz w:val="32"/>
          <w:szCs w:val="32"/>
        </w:rPr>
      </w:pPr>
    </w:p>
    <w:p>
      <w:pPr>
        <w:pBdr>
          <w:bottom w:val="single" w:color="FFFFFF" w:sz="4" w:space="31"/>
        </w:pBdr>
        <w:spacing w:line="600" w:lineRule="exact"/>
        <w:ind w:firstLine="0" w:firstLineChars="0"/>
        <w:jc w:val="center"/>
        <w:rPr>
          <w:rFonts w:ascii="Times New Roman" w:eastAsia="宋体"/>
          <w:b/>
          <w:color w:val="000000"/>
          <w:kern w:val="0"/>
          <w:sz w:val="32"/>
          <w:szCs w:val="32"/>
        </w:rPr>
      </w:pPr>
      <w:r>
        <w:rPr>
          <w:rFonts w:hint="eastAsia" w:ascii="Times New Roman" w:eastAsia="宋体"/>
          <w:b/>
          <w:color w:val="000000"/>
          <w:sz w:val="32"/>
          <w:szCs w:val="32"/>
        </w:rPr>
        <w:t xml:space="preserve">第一节  </w:t>
      </w:r>
      <w:r>
        <w:rPr>
          <w:rFonts w:ascii="Times New Roman" w:eastAsia="宋体"/>
          <w:b/>
          <w:color w:val="000000"/>
          <w:kern w:val="0"/>
          <w:sz w:val="32"/>
          <w:szCs w:val="32"/>
        </w:rPr>
        <w:t>加快构</w:t>
      </w:r>
      <w:r>
        <w:rPr>
          <w:rFonts w:ascii="Times New Roman" w:eastAsia="宋体"/>
          <w:b/>
          <w:color w:val="000000"/>
          <w:sz w:val="32"/>
          <w:szCs w:val="32"/>
        </w:rPr>
        <w:t>建</w:t>
      </w:r>
      <w:r>
        <w:rPr>
          <w:rFonts w:ascii="Times New Roman" w:eastAsia="宋体"/>
          <w:b/>
          <w:color w:val="000000"/>
          <w:kern w:val="0"/>
          <w:sz w:val="32"/>
          <w:szCs w:val="32"/>
        </w:rPr>
        <w:t>新型城镇体系</w:t>
      </w:r>
      <w:bookmarkEnd w:id="30"/>
      <w:bookmarkEnd w:id="31"/>
    </w:p>
    <w:p>
      <w:pPr>
        <w:pBdr>
          <w:bottom w:val="single" w:color="FFFFFF" w:sz="4" w:space="31"/>
        </w:pBdr>
        <w:spacing w:line="300" w:lineRule="exact"/>
        <w:ind w:firstLine="0" w:firstLineChars="0"/>
        <w:jc w:val="left"/>
        <w:rPr>
          <w:rFonts w:ascii="Times New Roman" w:eastAsia="宋体"/>
          <w:b/>
          <w:color w:val="000000"/>
          <w:kern w:val="0"/>
          <w:sz w:val="32"/>
          <w:szCs w:val="32"/>
        </w:rPr>
      </w:pPr>
    </w:p>
    <w:p>
      <w:pPr>
        <w:pBdr>
          <w:bottom w:val="single" w:color="FFFFFF" w:sz="4" w:space="31"/>
        </w:pBdr>
        <w:spacing w:line="600" w:lineRule="exact"/>
        <w:ind w:firstLine="643"/>
        <w:jc w:val="left"/>
        <w:rPr>
          <w:rFonts w:ascii="Times New Roman"/>
          <w:b/>
          <w:color w:val="000000"/>
          <w:sz w:val="32"/>
          <w:szCs w:val="32"/>
        </w:rPr>
      </w:pPr>
      <w:r>
        <w:rPr>
          <w:rFonts w:ascii="Times New Roman"/>
          <w:b/>
          <w:color w:val="000000"/>
          <w:sz w:val="32"/>
          <w:szCs w:val="32"/>
        </w:rPr>
        <w:t>依托关中环线、西宝高速、福银高速、咸旬高速，加快构建“一主一副双核心和两环两轴多辐射”新型城镇体系。一主一副双核心即中心城区主核心，彬县副核心，两环即关中大环线、西咸北环线，两轴即西北部彬长城镇轴，东北部的旬淳城镇发展轴，多辐射即312国道、211国道、108国道、福银高速、咸旬高速、西宝高速、包茂高速沿线形成的城镇。</w:t>
      </w:r>
    </w:p>
    <w:p>
      <w:pPr>
        <w:pBdr>
          <w:bottom w:val="single" w:color="FFFFFF" w:sz="4" w:space="31"/>
        </w:pBdr>
        <w:spacing w:line="600" w:lineRule="exact"/>
        <w:ind w:firstLine="643"/>
        <w:jc w:val="left"/>
        <w:rPr>
          <w:rFonts w:ascii="Times New Roman"/>
          <w:b/>
          <w:color w:val="000000"/>
          <w:sz w:val="32"/>
          <w:szCs w:val="32"/>
        </w:rPr>
      </w:pPr>
      <w:r>
        <w:rPr>
          <w:rFonts w:ascii="Times New Roman" w:eastAsia="楷体_GB2312"/>
          <w:b/>
          <w:color w:val="000000"/>
          <w:sz w:val="32"/>
          <w:szCs w:val="32"/>
        </w:rPr>
        <w:t>优化中心城区功能。</w:t>
      </w:r>
      <w:r>
        <w:rPr>
          <w:rFonts w:ascii="Times New Roman"/>
          <w:b/>
          <w:color w:val="000000"/>
          <w:sz w:val="32"/>
          <w:szCs w:val="32"/>
        </w:rPr>
        <w:t>按照“积极北上、合理西扩、适度南跨、稳步东进”的城市发展方向，加快构建以咸阳主城区为核心，以高新区、大西安（咸阳）文化体育功能区、新兴纺织工业园区为支撑，五陵塬景观带和渭河景观带为间隔的“三城两带”发展格局。增强城市内部布局的合理性，提升城市的通透性和微循环能力。提升城市建设水平，加强城市地下和地上基础设施建设，加快棚户区和危房改造，有序推进老旧住宅小区综合整治。按照绿色循环低碳的理念，科学规划、高标准建设城市交通、能源、供排水、供热、污水、垃圾处理等基础设施，建设海绵城市。加强对城市的空间立体性、平面协调性、风貌整体性、文脉延续性等方面的规划和管控，留住城市特有的地域环境、文化特色、建筑风格等“基因”。加强文化遗产保护，延续城市历史文脉，打造精品城市名片。强化区域服务功能，增强高端要素集聚和辐射能力，着力提升金融服务、商贸物流、研发创新、文化创意、旅游休闲、教育卫生等功能，不断丰富城市内涵，提升综合服务功能。到2020年，中心城区建成区面积达到150平方公里，人口发展到150万人以上，发展成为引领和辐射带动全市发展的增长极。</w:t>
      </w:r>
    </w:p>
    <w:p>
      <w:pPr>
        <w:pBdr>
          <w:bottom w:val="single" w:color="FFFFFF" w:sz="4" w:space="31"/>
        </w:pBdr>
        <w:spacing w:line="600" w:lineRule="exact"/>
        <w:ind w:firstLine="643"/>
        <w:jc w:val="left"/>
        <w:rPr>
          <w:rFonts w:ascii="Times New Roman"/>
          <w:b/>
          <w:color w:val="000000"/>
          <w:sz w:val="32"/>
          <w:szCs w:val="32"/>
        </w:rPr>
      </w:pPr>
      <w:r>
        <w:rPr>
          <w:rFonts w:ascii="Times New Roman" w:eastAsia="楷体_GB2312"/>
          <w:b/>
          <w:color w:val="000000"/>
          <w:sz w:val="32"/>
          <w:szCs w:val="32"/>
        </w:rPr>
        <w:t>建设彬县副中心城市。</w:t>
      </w:r>
      <w:r>
        <w:rPr>
          <w:rFonts w:ascii="Times New Roman"/>
          <w:b/>
          <w:color w:val="000000"/>
          <w:sz w:val="32"/>
          <w:szCs w:val="32"/>
        </w:rPr>
        <w:t>以彬县为中心，联合长武、旬邑、麟游等，突破行政区划限制，打造陕甘宁毗邻区域中心城市。推进彬县城区规模扩张，加快基础设施建设步伐，全面提高供水等城市综合承载能力，切实转型发展煤炭、煤化工、电力、建材产业，做强做优特色农业、设施农业，做活三产，强化与“主核心”的分工协作，带动市域北部地区发展，构建北部综合发展城镇群。鼓励各县因地制宜、彰显特色、优化环境，集聚人口，提升城镇可持续发展水平。将永寿打造成生态旅游示范重点县。将旬邑、淳化打造为渭北旅游休闲度假胜地、关中优质生态农产品供应基地。将长武打造成为咸阳庆阳交界地区重要的商贸中心和能源装备基地。</w:t>
      </w:r>
    </w:p>
    <w:p>
      <w:pPr>
        <w:pBdr>
          <w:bottom w:val="single" w:color="FFFFFF" w:sz="4" w:space="31"/>
        </w:pBdr>
        <w:spacing w:line="600" w:lineRule="exact"/>
        <w:ind w:firstLine="643"/>
        <w:jc w:val="left"/>
        <w:rPr>
          <w:rFonts w:ascii="Times New Roman"/>
          <w:b/>
          <w:color w:val="000000"/>
          <w:sz w:val="32"/>
          <w:szCs w:val="32"/>
        </w:rPr>
      </w:pPr>
      <w:r>
        <w:rPr>
          <w:rFonts w:ascii="Times New Roman" w:eastAsia="楷体_GB2312"/>
          <w:b/>
          <w:color w:val="000000"/>
          <w:sz w:val="32"/>
          <w:szCs w:val="32"/>
        </w:rPr>
        <w:t>积极推进县域城镇化。</w:t>
      </w:r>
      <w:r>
        <w:rPr>
          <w:rFonts w:ascii="Times New Roman"/>
          <w:b/>
          <w:color w:val="000000"/>
          <w:sz w:val="32"/>
          <w:szCs w:val="32"/>
        </w:rPr>
        <w:t>按照现代城市规划建设标准，进一步合理配置城镇资源，有序引导人口、产业及各类要素合理集聚，</w:t>
      </w:r>
      <w:r>
        <w:rPr>
          <w:rFonts w:ascii="Times New Roman"/>
          <w:b/>
          <w:color w:val="000000"/>
          <w:sz w:val="31"/>
        </w:rPr>
        <w:t>加快关中城市群核心区县城发展，</w:t>
      </w:r>
      <w:r>
        <w:rPr>
          <w:rFonts w:ascii="Times New Roman"/>
          <w:b/>
          <w:color w:val="000000"/>
          <w:sz w:val="32"/>
          <w:szCs w:val="32"/>
        </w:rPr>
        <w:t>主动承接大西安的产业转移和社会公共服务功能疏解。将兴平市作为咸阳主城区空间拓展及产业转移的承接地。将泾阳打造成西咸大都市区域重要的生态宜居城市及未来发展战略储备区。</w:t>
      </w:r>
      <w:r>
        <w:rPr>
          <w:rFonts w:hint="eastAsia" w:ascii="Times New Roman"/>
          <w:b/>
          <w:color w:val="000000"/>
          <w:sz w:val="32"/>
          <w:szCs w:val="32"/>
        </w:rPr>
        <w:t>支持三原融入渭河北岸区域板块，</w:t>
      </w:r>
      <w:r>
        <w:rPr>
          <w:rFonts w:ascii="Times New Roman"/>
          <w:b/>
          <w:color w:val="000000"/>
          <w:sz w:val="32"/>
          <w:szCs w:val="32"/>
        </w:rPr>
        <w:t>打造成</w:t>
      </w:r>
      <w:r>
        <w:rPr>
          <w:rFonts w:hint="eastAsia" w:ascii="Times New Roman"/>
          <w:b/>
          <w:color w:val="000000"/>
          <w:sz w:val="32"/>
          <w:szCs w:val="32"/>
        </w:rPr>
        <w:t>大西安城市副中心县，</w:t>
      </w:r>
      <w:r>
        <w:rPr>
          <w:rFonts w:ascii="Times New Roman"/>
          <w:b/>
          <w:color w:val="000000"/>
          <w:sz w:val="32"/>
          <w:szCs w:val="32"/>
        </w:rPr>
        <w:t>将礼泉、乾县打造成大唐文化旅游名县、丝绸之路世界文化遗产旅游目的地。将武功打造成关中地区现代化农业示范区。</w:t>
      </w:r>
    </w:p>
    <w:p>
      <w:pPr>
        <w:pBdr>
          <w:bottom w:val="single" w:color="FFFFFF" w:sz="4" w:space="31"/>
        </w:pBdr>
        <w:spacing w:line="600" w:lineRule="exact"/>
        <w:ind w:firstLine="643"/>
        <w:jc w:val="left"/>
        <w:rPr>
          <w:rFonts w:ascii="Times New Roman" w:eastAsia="楷体_GB2312"/>
          <w:b/>
          <w:color w:val="000000"/>
          <w:sz w:val="32"/>
          <w:szCs w:val="32"/>
        </w:rPr>
      </w:pPr>
      <w:r>
        <w:rPr>
          <w:rFonts w:ascii="Times New Roman" w:eastAsia="楷体_GB2312"/>
          <w:b/>
          <w:color w:val="000000"/>
          <w:sz w:val="32"/>
          <w:szCs w:val="32"/>
        </w:rPr>
        <w:t>推进重点镇和农村新型社区建设。</w:t>
      </w:r>
      <w:r>
        <w:rPr>
          <w:rFonts w:ascii="Times New Roman"/>
          <w:b/>
          <w:color w:val="000000"/>
          <w:sz w:val="32"/>
          <w:szCs w:val="32"/>
        </w:rPr>
        <w:t>以省市级重点示范镇、文化旅游名镇为带动,加快小城镇建设。加快实施镇村综合改革,支持符合条件的重点镇设立镇级市，推动重点镇向小城市转型。支持引导小城镇发展成为工业重镇、商贸强镇、生态靓镇、休闲名镇等特色镇。统筹建设新型农村社区。</w:t>
      </w:r>
      <w:r>
        <w:rPr>
          <w:rFonts w:ascii="Times New Roman"/>
          <w:b/>
          <w:color w:val="000000"/>
          <w:sz w:val="31"/>
        </w:rPr>
        <w:t>按照就近合并、中心聚集、节约资源、利于发展的原则，启动实施“社区化新农村建设工程”，</w:t>
      </w:r>
      <w:r>
        <w:rPr>
          <w:rFonts w:ascii="Times New Roman"/>
          <w:b/>
          <w:color w:val="000000"/>
          <w:sz w:val="32"/>
          <w:szCs w:val="32"/>
        </w:rPr>
        <w:t>科学推进中心村整合，</w:t>
      </w:r>
      <w:r>
        <w:rPr>
          <w:rFonts w:ascii="Times New Roman"/>
          <w:b/>
          <w:color w:val="000000"/>
          <w:sz w:val="31"/>
        </w:rPr>
        <w:t>积极打造新型农村社区，到2020年，全市建成200个左右标准化新型农村社区。采取“一村一特”、“一村一策”办法，因村制宜，分级保护传统民俗文化村落，到2020年，全市规划提升保护传统民俗文化村落100个。</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jc w:val="center"/>
        </w:trPr>
        <w:tc>
          <w:tcPr>
            <w:tcW w:w="8844" w:type="dxa"/>
            <w:noWrap w:val="0"/>
            <w:vAlign w:val="top"/>
          </w:tcPr>
          <w:p>
            <w:pPr>
              <w:spacing w:line="560" w:lineRule="exact"/>
              <w:ind w:firstLine="0" w:firstLineChars="0"/>
              <w:jc w:val="center"/>
              <w:rPr>
                <w:rFonts w:ascii="Times New Roman" w:eastAsia="黑体"/>
                <w:b/>
                <w:color w:val="000000"/>
                <w:sz w:val="28"/>
                <w:szCs w:val="28"/>
              </w:rPr>
            </w:pPr>
          </w:p>
          <w:p>
            <w:pPr>
              <w:spacing w:line="560" w:lineRule="exact"/>
              <w:ind w:firstLine="0" w:firstLineChars="0"/>
              <w:jc w:val="center"/>
              <w:rPr>
                <w:rFonts w:ascii="Times New Roman" w:eastAsia="黑体"/>
                <w:b/>
                <w:color w:val="000000"/>
                <w:sz w:val="32"/>
                <w:szCs w:val="32"/>
              </w:rPr>
            </w:pPr>
            <w:r>
              <w:rPr>
                <w:rFonts w:ascii="Times New Roman" w:eastAsia="黑体"/>
                <w:b/>
                <w:color w:val="000000"/>
                <w:sz w:val="32"/>
                <w:szCs w:val="32"/>
              </w:rPr>
              <w:t>专栏3-5  咸阳重点镇</w:t>
            </w:r>
          </w:p>
          <w:p>
            <w:pPr>
              <w:spacing w:line="560" w:lineRule="exact"/>
              <w:ind w:firstLine="0" w:firstLineChars="0"/>
              <w:jc w:val="center"/>
              <w:rPr>
                <w:rFonts w:ascii="Times New Roman" w:eastAsia="黑体"/>
                <w:b/>
                <w:color w:val="000000"/>
                <w:sz w:val="28"/>
                <w:szCs w:val="28"/>
              </w:rPr>
            </w:pPr>
          </w:p>
          <w:p>
            <w:pPr>
              <w:spacing w:line="560" w:lineRule="exact"/>
              <w:ind w:firstLine="562"/>
              <w:rPr>
                <w:rFonts w:ascii="Times New Roman" w:eastAsia="宋体-PUA"/>
                <w:b/>
                <w:color w:val="000000"/>
                <w:kern w:val="0"/>
                <w:sz w:val="28"/>
                <w:szCs w:val="28"/>
              </w:rPr>
            </w:pPr>
            <w:r>
              <w:rPr>
                <w:rFonts w:ascii="Times New Roman" w:eastAsia="宋体-PUA"/>
                <w:b/>
                <w:color w:val="000000"/>
                <w:kern w:val="0"/>
                <w:sz w:val="28"/>
                <w:szCs w:val="28"/>
              </w:rPr>
              <w:t>4个省级重点示范镇：长武县亭口镇、兴平市西吴镇、礼泉县烟霞镇、彬县新民镇。</w:t>
            </w:r>
            <w:r>
              <w:rPr>
                <w:rFonts w:ascii="Times New Roman" w:eastAsia="宋体-PUA"/>
                <w:b/>
                <w:color w:val="000000"/>
                <w:kern w:val="0"/>
                <w:sz w:val="28"/>
                <w:szCs w:val="28"/>
              </w:rPr>
              <w:br w:type="textWrapping"/>
            </w:r>
            <w:r>
              <w:rPr>
                <w:rFonts w:ascii="Times New Roman" w:eastAsia="宋体-PUA"/>
                <w:b/>
                <w:color w:val="000000"/>
                <w:kern w:val="0"/>
                <w:sz w:val="28"/>
                <w:szCs w:val="28"/>
              </w:rPr>
              <w:t xml:space="preserve">    10个市级示范镇：秦都区马庄镇、渭城区渭城镇、淳化县润镇、武功县武功镇、乾县阳洪镇、永寿县常宁镇、三原县陵前镇、泾阳县云阳镇、彬县北极镇和旬邑县太村镇。</w:t>
            </w:r>
          </w:p>
          <w:p>
            <w:pPr>
              <w:spacing w:line="560" w:lineRule="exact"/>
              <w:ind w:firstLine="562"/>
              <w:rPr>
                <w:rFonts w:ascii="Times New Roman"/>
                <w:b/>
                <w:color w:val="000000"/>
                <w:kern w:val="0"/>
                <w:sz w:val="28"/>
                <w:szCs w:val="28"/>
              </w:rPr>
            </w:pPr>
            <w:r>
              <w:rPr>
                <w:rFonts w:ascii="Times New Roman" w:eastAsia="宋体-PUA"/>
                <w:b/>
                <w:color w:val="000000"/>
                <w:kern w:val="0"/>
                <w:sz w:val="28"/>
                <w:szCs w:val="28"/>
              </w:rPr>
              <w:t>2个文化旅游名镇：武功县武功镇、永寿县永平镇。</w:t>
            </w:r>
          </w:p>
        </w:tc>
      </w:tr>
    </w:tbl>
    <w:p>
      <w:pPr>
        <w:keepNext/>
        <w:keepLines/>
        <w:spacing w:line="300" w:lineRule="exact"/>
        <w:ind w:firstLine="636" w:firstLineChars="198"/>
        <w:jc w:val="center"/>
        <w:outlineLvl w:val="2"/>
        <w:rPr>
          <w:rFonts w:ascii="Times New Roman" w:eastAsia="宋体"/>
          <w:b/>
          <w:color w:val="000000"/>
          <w:kern w:val="0"/>
          <w:sz w:val="32"/>
          <w:szCs w:val="32"/>
        </w:rPr>
      </w:pPr>
    </w:p>
    <w:p>
      <w:pPr>
        <w:keepNext/>
        <w:keepLines/>
        <w:spacing w:line="600" w:lineRule="exact"/>
        <w:ind w:firstLine="636" w:firstLineChars="198"/>
        <w:jc w:val="center"/>
        <w:outlineLvl w:val="2"/>
        <w:rPr>
          <w:rFonts w:ascii="Times New Roman" w:eastAsia="宋体"/>
          <w:b/>
          <w:color w:val="000000"/>
          <w:kern w:val="0"/>
          <w:sz w:val="32"/>
          <w:szCs w:val="32"/>
        </w:rPr>
      </w:pPr>
      <w:bookmarkStart w:id="32" w:name="_Toc439878090"/>
      <w:bookmarkStart w:id="33" w:name="_Toc439877169"/>
      <w:r>
        <w:rPr>
          <w:rFonts w:ascii="Times New Roman" w:eastAsia="宋体"/>
          <w:b/>
          <w:color w:val="000000"/>
          <w:kern w:val="0"/>
          <w:sz w:val="32"/>
          <w:szCs w:val="32"/>
        </w:rPr>
        <w:t xml:space="preserve">第二节  </w:t>
      </w:r>
      <w:r>
        <w:rPr>
          <w:rFonts w:ascii="Times New Roman" w:eastAsia="宋体"/>
          <w:b/>
          <w:color w:val="000000"/>
          <w:sz w:val="32"/>
          <w:szCs w:val="32"/>
        </w:rPr>
        <w:t>有序推进农业转移人口市民化</w:t>
      </w:r>
      <w:bookmarkEnd w:id="32"/>
      <w:bookmarkEnd w:id="33"/>
    </w:p>
    <w:p>
      <w:pPr>
        <w:spacing w:line="3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r>
        <w:rPr>
          <w:rFonts w:ascii="Times New Roman"/>
          <w:b/>
          <w:color w:val="000000"/>
          <w:sz w:val="32"/>
          <w:szCs w:val="32"/>
        </w:rPr>
        <w:t>按照“尊重意愿、自主选择，因地制宜、分步推进，存量优先、带动增量”的原则，统筹推进户籍制度改革和基本公共服务均等化，有序推进农业转移人口市民化。到2020年，全市常住人口城镇化率达到60%，户籍人口城镇化率达到45%，达到全省平均水平。</w:t>
      </w:r>
    </w:p>
    <w:p>
      <w:pPr>
        <w:spacing w:line="600" w:lineRule="exact"/>
        <w:ind w:firstLine="643"/>
        <w:rPr>
          <w:rFonts w:ascii="Times New Roman"/>
          <w:b/>
          <w:color w:val="000000"/>
          <w:sz w:val="32"/>
          <w:szCs w:val="32"/>
        </w:rPr>
      </w:pPr>
      <w:r>
        <w:rPr>
          <w:rFonts w:ascii="Times New Roman" w:eastAsia="楷体_GB2312"/>
          <w:b/>
          <w:color w:val="000000"/>
          <w:sz w:val="32"/>
          <w:szCs w:val="32"/>
        </w:rPr>
        <w:t>深化户籍制度改革。</w:t>
      </w:r>
      <w:r>
        <w:rPr>
          <w:rFonts w:ascii="Times New Roman"/>
          <w:b/>
          <w:color w:val="000000"/>
          <w:sz w:val="32"/>
          <w:szCs w:val="32"/>
        </w:rPr>
        <w:t>促进有能力在城镇稳定就业和生活的农业转移人口举家进城落户，并与城镇居民有同等权利和义务。实施居住证制度，努力实现基本公共服务常住人口全覆盖。着力促进30万已经在城镇稳定就业和生活的农业转移人口举家落户在城镇，解决涉及30万人的城中村和城镇棚户区改造问题，建设新型农村社区，实现30万农村居民就地城镇化。</w:t>
      </w:r>
    </w:p>
    <w:p>
      <w:pPr>
        <w:spacing w:line="600" w:lineRule="exact"/>
        <w:ind w:firstLine="643"/>
        <w:rPr>
          <w:rFonts w:ascii="Times New Roman"/>
          <w:b/>
          <w:color w:val="000000"/>
          <w:sz w:val="32"/>
          <w:szCs w:val="32"/>
        </w:rPr>
      </w:pPr>
      <w:r>
        <w:rPr>
          <w:rFonts w:ascii="Times New Roman" w:eastAsia="楷体_GB2312"/>
          <w:b/>
          <w:color w:val="000000"/>
          <w:sz w:val="32"/>
          <w:szCs w:val="32"/>
        </w:rPr>
        <w:t>推进农业转移人口享有城镇基本公共服务。</w:t>
      </w:r>
      <w:r>
        <w:rPr>
          <w:rFonts w:ascii="Times New Roman"/>
          <w:b/>
          <w:color w:val="000000"/>
          <w:sz w:val="32"/>
          <w:szCs w:val="32"/>
        </w:rPr>
        <w:t>促进城乡公共资源均衡配置，把社会事业发展重点放在农村和接纳农业转移人口较多的城镇。稳步推进城镇基本公共服务常住人口全覆盖，保障农民工随迁子女平等享有受教育权利，健全覆盖农民工的公共就业服务体系，扩大农民工城镇社会保障覆盖面，改善农民工基本医疗卫生条件，拓宽农民工住房保障渠道，使全体居民共享城镇化发展成果。</w:t>
      </w:r>
    </w:p>
    <w:p>
      <w:pPr>
        <w:spacing w:line="600" w:lineRule="exact"/>
        <w:ind w:firstLine="643"/>
        <w:rPr>
          <w:rFonts w:ascii="Times New Roman"/>
          <w:b/>
          <w:color w:val="000000"/>
          <w:sz w:val="32"/>
          <w:szCs w:val="32"/>
        </w:rPr>
      </w:pPr>
      <w:r>
        <w:rPr>
          <w:rFonts w:ascii="Times New Roman" w:eastAsia="楷体_GB2312"/>
          <w:b/>
          <w:color w:val="000000"/>
          <w:sz w:val="32"/>
          <w:szCs w:val="32"/>
        </w:rPr>
        <w:t>建立健全农业转移人口市民化推进机制。</w:t>
      </w:r>
      <w:r>
        <w:rPr>
          <w:rFonts w:ascii="Times New Roman"/>
          <w:b/>
          <w:color w:val="000000"/>
          <w:sz w:val="32"/>
          <w:szCs w:val="32"/>
        </w:rPr>
        <w:t>健全财政转移支付同农业转移人口市民化挂钩机制，建立城镇建设用地增加规模同吸纳农业转移人口落户数量挂钩机制。维护进城落户农民土地承包权、宅基地使用权、集体收益分配权，支持引导其依法自愿有偿转让上述权益。完善农民工社会参与机制。推进农民工融入企业、子女融入学校、家庭融入社区、群体融入社会，建设包容性城市。</w:t>
      </w:r>
    </w:p>
    <w:p>
      <w:pPr>
        <w:keepNext/>
        <w:keepLines/>
        <w:spacing w:line="300" w:lineRule="exact"/>
        <w:ind w:firstLine="0" w:firstLineChars="0"/>
        <w:outlineLvl w:val="2"/>
        <w:rPr>
          <w:rFonts w:ascii="Times New Roman" w:eastAsia="黑体"/>
          <w:b/>
          <w:color w:val="000000"/>
          <w:kern w:val="0"/>
          <w:sz w:val="32"/>
          <w:szCs w:val="32"/>
        </w:rPr>
      </w:pPr>
    </w:p>
    <w:p>
      <w:pPr>
        <w:keepNext/>
        <w:keepLines/>
        <w:spacing w:line="600" w:lineRule="exact"/>
        <w:ind w:firstLine="0" w:firstLineChars="0"/>
        <w:jc w:val="center"/>
        <w:outlineLvl w:val="2"/>
        <w:rPr>
          <w:rFonts w:ascii="Times New Roman" w:eastAsia="宋体"/>
          <w:b/>
          <w:color w:val="000000"/>
          <w:kern w:val="0"/>
          <w:sz w:val="32"/>
          <w:szCs w:val="32"/>
        </w:rPr>
      </w:pPr>
      <w:bookmarkStart w:id="34" w:name="_Toc439877170"/>
      <w:bookmarkStart w:id="35" w:name="_Toc439878091"/>
      <w:r>
        <w:rPr>
          <w:rFonts w:ascii="Times New Roman" w:eastAsia="宋体"/>
          <w:b/>
          <w:color w:val="000000"/>
          <w:kern w:val="0"/>
          <w:sz w:val="32"/>
          <w:szCs w:val="32"/>
        </w:rPr>
        <w:t>第三节  推动城乡一体化发展</w:t>
      </w:r>
      <w:bookmarkEnd w:id="34"/>
      <w:bookmarkEnd w:id="35"/>
    </w:p>
    <w:p>
      <w:pPr>
        <w:spacing w:line="3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r>
        <w:rPr>
          <w:rFonts w:ascii="Times New Roman"/>
          <w:b/>
          <w:color w:val="000000"/>
          <w:sz w:val="32"/>
          <w:szCs w:val="32"/>
        </w:rPr>
        <w:t>统筹城乡发展规划，推进城乡基础设施、公共服务、社会管理一体化，推进城乡要素平等交换、合理配置，促进新型城镇化和新农村建设协调推进。</w:t>
      </w:r>
    </w:p>
    <w:p>
      <w:pPr>
        <w:spacing w:line="600" w:lineRule="exact"/>
        <w:ind w:firstLine="643"/>
        <w:rPr>
          <w:rFonts w:ascii="Times New Roman"/>
          <w:b/>
          <w:color w:val="000000"/>
          <w:sz w:val="32"/>
          <w:szCs w:val="32"/>
        </w:rPr>
      </w:pPr>
      <w:r>
        <w:rPr>
          <w:rFonts w:ascii="Times New Roman" w:eastAsia="楷体_GB2312"/>
          <w:b/>
          <w:color w:val="000000"/>
          <w:sz w:val="32"/>
          <w:szCs w:val="32"/>
        </w:rPr>
        <w:t>推进城乡规划一体化。</w:t>
      </w:r>
      <w:r>
        <w:rPr>
          <w:rFonts w:ascii="Times New Roman"/>
          <w:b/>
          <w:color w:val="000000"/>
          <w:sz w:val="32"/>
          <w:szCs w:val="32"/>
        </w:rPr>
        <w:t>全面落实《咸阳市城乡发展一体化战略规划（2014-2020年）》，合理安排城镇建设、农田保护、产业聚集、村落分布、生态涵养等空间布局。加强城镇规划与周边乡村规划在产业布局、基础设施网络、公共服务设施、生态空间布局等方面的衔接协调。</w:t>
      </w:r>
    </w:p>
    <w:p>
      <w:pPr>
        <w:spacing w:line="600" w:lineRule="exact"/>
        <w:ind w:firstLine="643"/>
        <w:rPr>
          <w:rFonts w:ascii="Times New Roman"/>
          <w:b/>
          <w:color w:val="000000"/>
          <w:sz w:val="32"/>
          <w:szCs w:val="32"/>
        </w:rPr>
      </w:pPr>
      <w:r>
        <w:rPr>
          <w:rFonts w:ascii="Times New Roman" w:eastAsia="楷体_GB2312"/>
          <w:b/>
          <w:color w:val="000000"/>
          <w:sz w:val="32"/>
          <w:szCs w:val="32"/>
        </w:rPr>
        <w:t>推进城乡基础设施一体化。</w:t>
      </w:r>
      <w:r>
        <w:rPr>
          <w:rFonts w:ascii="Times New Roman"/>
          <w:b/>
          <w:color w:val="000000"/>
          <w:sz w:val="32"/>
          <w:szCs w:val="32"/>
        </w:rPr>
        <w:t>健全农村基础设施投入长效机制，强化城乡基础设施连接，推动水电路气等基础设施城乡联网、共建共享。把交通一体化作为推进城乡一体化的突破口，尽快形成内外衔接、城乡互通、方便快捷的交通网络。</w:t>
      </w:r>
      <w:bookmarkStart w:id="36" w:name="_Toc275281945"/>
      <w:bookmarkStart w:id="37" w:name="_Toc278114644"/>
      <w:bookmarkStart w:id="38" w:name="_Toc275281005"/>
    </w:p>
    <w:p>
      <w:pPr>
        <w:spacing w:line="600" w:lineRule="exact"/>
        <w:ind w:firstLine="643"/>
        <w:rPr>
          <w:rFonts w:ascii="Times New Roman"/>
          <w:b/>
          <w:color w:val="000000"/>
          <w:spacing w:val="-5"/>
          <w:sz w:val="32"/>
          <w:szCs w:val="32"/>
        </w:rPr>
      </w:pPr>
      <w:r>
        <w:rPr>
          <w:rFonts w:ascii="Times New Roman" w:eastAsia="楷体_GB2312"/>
          <w:b/>
          <w:color w:val="000000"/>
          <w:sz w:val="32"/>
          <w:szCs w:val="32"/>
        </w:rPr>
        <w:t>构建城乡统一生产要素市场</w:t>
      </w:r>
      <w:bookmarkEnd w:id="36"/>
      <w:bookmarkEnd w:id="37"/>
      <w:bookmarkEnd w:id="38"/>
      <w:r>
        <w:rPr>
          <w:rFonts w:ascii="Times New Roman" w:eastAsia="楷体_GB2312"/>
          <w:b/>
          <w:color w:val="000000"/>
          <w:sz w:val="32"/>
          <w:szCs w:val="32"/>
        </w:rPr>
        <w:t>。</w:t>
      </w:r>
      <w:r>
        <w:rPr>
          <w:rFonts w:ascii="Times New Roman"/>
          <w:b/>
          <w:color w:val="000000"/>
          <w:spacing w:val="-5"/>
          <w:sz w:val="32"/>
          <w:szCs w:val="32"/>
        </w:rPr>
        <w:t>加快农村产权制度改革，搭建农村集体土地使用权流转平台，建立集体建设用地使用权交易市场。建立农村剩余劳动力自由流动的长效机制，构建城乡统一的劳动力市场。加快土地市场、金融市场和其它要素市场建设，促进生产要素在城乡间自由有序流动。</w:t>
      </w:r>
      <w:bookmarkStart w:id="39" w:name="_Toc278114645"/>
      <w:bookmarkStart w:id="40" w:name="_Toc275281007"/>
      <w:bookmarkStart w:id="41" w:name="_Toc275281947"/>
    </w:p>
    <w:p>
      <w:pPr>
        <w:spacing w:line="600" w:lineRule="exact"/>
        <w:ind w:firstLine="643"/>
        <w:rPr>
          <w:rFonts w:ascii="Times New Roman"/>
          <w:b/>
          <w:color w:val="000000"/>
          <w:spacing w:val="-8"/>
          <w:sz w:val="32"/>
          <w:szCs w:val="32"/>
        </w:rPr>
      </w:pPr>
      <w:r>
        <w:rPr>
          <w:rFonts w:ascii="Times New Roman" w:eastAsia="楷体_GB2312"/>
          <w:b/>
          <w:color w:val="000000"/>
          <w:sz w:val="32"/>
          <w:szCs w:val="32"/>
        </w:rPr>
        <w:t>推进城乡基本公共服务均等化</w:t>
      </w:r>
      <w:bookmarkEnd w:id="39"/>
      <w:bookmarkEnd w:id="40"/>
      <w:bookmarkEnd w:id="41"/>
      <w:r>
        <w:rPr>
          <w:rFonts w:ascii="Times New Roman" w:eastAsia="楷体_GB2312"/>
          <w:b/>
          <w:color w:val="000000"/>
          <w:sz w:val="32"/>
          <w:szCs w:val="32"/>
        </w:rPr>
        <w:t>。</w:t>
      </w:r>
      <w:r>
        <w:rPr>
          <w:rFonts w:ascii="Times New Roman"/>
          <w:b/>
          <w:color w:val="000000"/>
          <w:spacing w:val="-5"/>
          <w:sz w:val="32"/>
          <w:szCs w:val="32"/>
        </w:rPr>
        <w:t>以完善农村公共服务投入机制为重点，推动城镇公共服务向农村延伸，</w:t>
      </w:r>
      <w:r>
        <w:rPr>
          <w:rFonts w:ascii="Times New Roman"/>
          <w:b/>
          <w:color w:val="000000"/>
          <w:sz w:val="32"/>
          <w:szCs w:val="32"/>
        </w:rPr>
        <w:t>全面推行新型农村社会养老保险制度，完善被征地农民基本生活保障制度，建立健全</w:t>
      </w:r>
      <w:r>
        <w:rPr>
          <w:rFonts w:ascii="Times New Roman"/>
          <w:b/>
          <w:color w:val="000000"/>
          <w:spacing w:val="-8"/>
          <w:sz w:val="32"/>
          <w:szCs w:val="32"/>
        </w:rPr>
        <w:t>覆盖城乡的基本医疗卫生服务制度，推动城乡基本公共服务均等化。</w:t>
      </w:r>
    </w:p>
    <w:p>
      <w:pPr>
        <w:spacing w:line="300" w:lineRule="exact"/>
        <w:ind w:firstLine="611"/>
        <w:jc w:val="distribute"/>
        <w:rPr>
          <w:rFonts w:ascii="Times New Roman"/>
          <w:b/>
          <w:color w:val="000000"/>
          <w:spacing w:val="-8"/>
          <w:sz w:val="32"/>
          <w:szCs w:val="32"/>
        </w:rPr>
      </w:pPr>
    </w:p>
    <w:p>
      <w:pPr>
        <w:keepNext/>
        <w:keepLines/>
        <w:spacing w:line="600" w:lineRule="exact"/>
        <w:ind w:firstLine="0" w:firstLineChars="0"/>
        <w:jc w:val="center"/>
        <w:outlineLvl w:val="2"/>
        <w:rPr>
          <w:rFonts w:ascii="Times New Roman" w:eastAsia="黑体"/>
          <w:b/>
          <w:color w:val="000000"/>
          <w:kern w:val="0"/>
          <w:sz w:val="32"/>
          <w:szCs w:val="32"/>
        </w:rPr>
      </w:pPr>
      <w:bookmarkStart w:id="42" w:name="_Toc439878092"/>
      <w:r>
        <w:rPr>
          <w:rFonts w:ascii="Times New Roman" w:eastAsia="黑体"/>
          <w:b/>
          <w:color w:val="000000"/>
          <w:kern w:val="0"/>
          <w:sz w:val="32"/>
          <w:szCs w:val="32"/>
        </w:rPr>
        <w:t>第十二章  深度融入大西安</w:t>
      </w:r>
      <w:bookmarkEnd w:id="42"/>
    </w:p>
    <w:p>
      <w:pPr>
        <w:spacing w:line="300" w:lineRule="exact"/>
        <w:ind w:firstLine="623"/>
        <w:jc w:val="distribute"/>
        <w:rPr>
          <w:rFonts w:ascii="Times New Roman"/>
          <w:b/>
          <w:color w:val="000000"/>
          <w:spacing w:val="-5"/>
          <w:sz w:val="32"/>
          <w:szCs w:val="32"/>
        </w:rPr>
      </w:pPr>
    </w:p>
    <w:p>
      <w:pPr>
        <w:spacing w:line="600" w:lineRule="exact"/>
        <w:ind w:firstLine="623"/>
        <w:rPr>
          <w:rFonts w:ascii="Times New Roman"/>
          <w:b/>
          <w:color w:val="000000"/>
          <w:spacing w:val="-5"/>
          <w:sz w:val="32"/>
          <w:szCs w:val="32"/>
        </w:rPr>
      </w:pPr>
      <w:r>
        <w:rPr>
          <w:rFonts w:ascii="Times New Roman"/>
          <w:b/>
          <w:color w:val="000000"/>
          <w:spacing w:val="-5"/>
          <w:sz w:val="32"/>
          <w:szCs w:val="32"/>
        </w:rPr>
        <w:t>按照对外开放上融合、城市建设上对接、产业发展上互补、民生改善上同步、社会管理上一体的思路，树立融合、协同、错位发展理念，与西咸新区共建一体化发展的国际大都市，壮大创新驱动的现代工业产业聚集区，构筑文化生态大融合的国际旅游目的地，营造开放包容的内陆开放开发高地。</w:t>
      </w:r>
    </w:p>
    <w:p>
      <w:pPr>
        <w:shd w:val="clear" w:color="auto" w:fill="FFFFFF"/>
        <w:autoSpaceDE w:val="0"/>
        <w:spacing w:line="600" w:lineRule="exact"/>
        <w:ind w:firstLine="623"/>
        <w:rPr>
          <w:rFonts w:ascii="Times New Roman"/>
          <w:b/>
          <w:color w:val="000000"/>
          <w:spacing w:val="-5"/>
          <w:sz w:val="32"/>
          <w:szCs w:val="32"/>
        </w:rPr>
      </w:pPr>
      <w:r>
        <w:rPr>
          <w:rFonts w:ascii="Times New Roman"/>
          <w:b/>
          <w:color w:val="000000"/>
          <w:spacing w:val="-5"/>
          <w:sz w:val="32"/>
          <w:szCs w:val="32"/>
        </w:rPr>
        <w:t>全面对接西咸新区，优化咸阳主城区与西咸新区各城区的功能定位，打造国家向西开放的重要枢纽、西部大开发的新引擎和中国特色新型城镇化的范例，共建共融西咸新区。依托空港新城重点发展临空经济、现代服务业；融汇秦汉新城重点发展文化旅游、生态休闲、创意文化等产业；借力沣西新城重点发展新一代信息技术等战略性新兴产业和国际化教育产业；携手泾河新城重点发展都市农业、高端装备制造等产业。服务西咸新区能源金贸中心建设，打造中国向西开放的桥头堡，与欧亚各国能源合作的核心区、金融合作的经贸平台和互联互通的经济激活点。支持西咸新区国际文教园区建设，重点发展国际文化、教育、医养、科研产业，创建具有国际特色的丝绸之路文化教育新市镇，打造对外开放窗口。每年将新区一批重大项目列入全市重点建设项目计划共同推进，及时协调解决项目建设中的困难和问题。加快西安北客站至咸阳机场轻轨、地铁一号线二期工程建设，推动交通设施无缝对接。</w:t>
      </w:r>
    </w:p>
    <w:p>
      <w:pPr>
        <w:shd w:val="clear" w:color="auto" w:fill="FFFFFF"/>
        <w:autoSpaceDE w:val="0"/>
        <w:spacing w:line="600" w:lineRule="exact"/>
        <w:ind w:firstLine="623"/>
        <w:rPr>
          <w:rFonts w:ascii="Times New Roman"/>
          <w:b/>
          <w:color w:val="000000"/>
          <w:spacing w:val="-5"/>
          <w:sz w:val="32"/>
          <w:szCs w:val="32"/>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noWrap w:val="0"/>
            <w:vAlign w:val="top"/>
          </w:tcPr>
          <w:p>
            <w:pPr>
              <w:spacing w:line="560" w:lineRule="exact"/>
              <w:ind w:firstLine="0" w:firstLineChars="0"/>
              <w:jc w:val="center"/>
              <w:rPr>
                <w:rFonts w:ascii="Times New Roman" w:eastAsia="黑体"/>
                <w:b/>
                <w:color w:val="000000"/>
                <w:sz w:val="28"/>
                <w:szCs w:val="28"/>
              </w:rPr>
            </w:pPr>
          </w:p>
          <w:p>
            <w:pPr>
              <w:spacing w:line="560" w:lineRule="exact"/>
              <w:ind w:firstLine="0" w:firstLineChars="0"/>
              <w:jc w:val="center"/>
              <w:rPr>
                <w:rFonts w:ascii="Times New Roman" w:eastAsia="黑体"/>
                <w:b/>
                <w:color w:val="000000"/>
                <w:sz w:val="32"/>
                <w:szCs w:val="32"/>
              </w:rPr>
            </w:pPr>
            <w:r>
              <w:rPr>
                <w:rFonts w:ascii="Times New Roman" w:eastAsia="黑体"/>
                <w:b/>
                <w:color w:val="000000"/>
                <w:sz w:val="32"/>
                <w:szCs w:val="32"/>
              </w:rPr>
              <w:t>专栏3-6  西咸新区重点建设项目</w:t>
            </w:r>
          </w:p>
          <w:p>
            <w:pPr>
              <w:spacing w:line="560" w:lineRule="exact"/>
              <w:ind w:firstLine="0" w:firstLineChars="0"/>
              <w:jc w:val="center"/>
              <w:rPr>
                <w:rFonts w:ascii="Times New Roman" w:eastAsia="黑体"/>
                <w:b/>
                <w:color w:val="000000"/>
                <w:sz w:val="28"/>
                <w:szCs w:val="28"/>
              </w:rPr>
            </w:pPr>
          </w:p>
          <w:p>
            <w:pPr>
              <w:spacing w:line="560" w:lineRule="exact"/>
              <w:ind w:firstLine="562"/>
              <w:rPr>
                <w:rFonts w:ascii="Times New Roman" w:eastAsia="宋体-PUA"/>
                <w:b/>
                <w:color w:val="000000"/>
                <w:sz w:val="28"/>
                <w:szCs w:val="28"/>
              </w:rPr>
            </w:pPr>
            <w:r>
              <w:rPr>
                <w:rFonts w:ascii="Times New Roman" w:eastAsia="宋体-PUA"/>
                <w:b/>
                <w:color w:val="000000"/>
                <w:sz w:val="28"/>
                <w:szCs w:val="28"/>
              </w:rPr>
              <w:t>空港新城：建设空港国际航空物流枢纽、西咸保税物流中心、中意航空谷、空港中吉丝绸之路产业园、枫叶国际学校、空港高效农业示范园、航空公司综合运营基地、圆通速递西北转运中心、普洛斯空港航空国际物流枢纽航港基地、申通快递西北地区转运中心、中国邮政速递物流西北航空电商物流中心、巴夫洛电商冷链物流园、对外文化贸易基地等一批项目。</w:t>
            </w:r>
          </w:p>
          <w:p>
            <w:pPr>
              <w:spacing w:line="560" w:lineRule="exact"/>
              <w:ind w:firstLine="562"/>
              <w:rPr>
                <w:rFonts w:ascii="Times New Roman" w:eastAsia="宋体-PUA"/>
                <w:b/>
                <w:color w:val="000000"/>
                <w:sz w:val="28"/>
                <w:szCs w:val="28"/>
              </w:rPr>
            </w:pPr>
            <w:r>
              <w:rPr>
                <w:rFonts w:ascii="Times New Roman" w:eastAsia="宋体-PUA"/>
                <w:b/>
                <w:color w:val="000000"/>
                <w:sz w:val="28"/>
                <w:szCs w:val="28"/>
              </w:rPr>
              <w:t>秦汉新城：建设第四军医大学医教研综合园区、西安交通大学医学院第二附属医院秦汉新区分院、大秦文明园、瑞高高性能压电陶瓷新材料产业基地项目、际华园、周陵新兴产业园、新丝路数字文化创意（产业）基地信息平台、周礼小镇、生态田园休闲观光、西部芳香植物园、秦汉森林公园、秦汉皇家花园等一批项目。</w:t>
            </w:r>
          </w:p>
          <w:p>
            <w:pPr>
              <w:spacing w:line="560" w:lineRule="exact"/>
              <w:ind w:firstLine="562"/>
              <w:rPr>
                <w:rFonts w:ascii="Times New Roman" w:eastAsia="宋体-PUA"/>
                <w:b/>
                <w:color w:val="000000"/>
                <w:sz w:val="28"/>
                <w:szCs w:val="28"/>
              </w:rPr>
            </w:pPr>
            <w:r>
              <w:rPr>
                <w:rFonts w:ascii="Times New Roman" w:eastAsia="宋体-PUA"/>
                <w:b/>
                <w:color w:val="000000"/>
                <w:sz w:val="28"/>
                <w:szCs w:val="28"/>
              </w:rPr>
              <w:t>沣西新城：建设能源金融贸易中心、中国西部科技创新港、陕西软件园、中小企业园、海绵城市示范、沣西绿廊、都市农业园等一批项目。</w:t>
            </w:r>
          </w:p>
          <w:p>
            <w:pPr>
              <w:spacing w:line="560" w:lineRule="exact"/>
              <w:ind w:firstLine="562"/>
              <w:rPr>
                <w:rFonts w:ascii="Times New Roman"/>
                <w:b/>
                <w:color w:val="000000"/>
                <w:sz w:val="28"/>
                <w:szCs w:val="28"/>
              </w:rPr>
            </w:pPr>
            <w:r>
              <w:rPr>
                <w:rFonts w:ascii="Times New Roman" w:eastAsia="宋体-PUA"/>
                <w:b/>
                <w:color w:val="000000"/>
                <w:sz w:val="28"/>
                <w:szCs w:val="28"/>
              </w:rPr>
              <w:t>泾河新城：建设新能源新材料制造产业园、科技文化产业园、秦龙现代生态智能创意农业园、乐华国际商业街、乐华优美小镇、崇文重点示范镇、崇文塔景区、茯茶小镇、泾河田园文化小镇、秦坊汉苑、泾河特拉福德中心等一批项目。</w:t>
            </w:r>
          </w:p>
        </w:tc>
      </w:tr>
    </w:tbl>
    <w:p>
      <w:pPr>
        <w:keepNext/>
        <w:keepLines/>
        <w:spacing w:line="600" w:lineRule="exact"/>
        <w:ind w:firstLine="0" w:firstLineChars="0"/>
        <w:jc w:val="center"/>
        <w:outlineLvl w:val="1"/>
        <w:rPr>
          <w:rFonts w:ascii="Times New Roman" w:eastAsia="方正小标宋简体"/>
          <w:b/>
          <w:color w:val="000000"/>
          <w:kern w:val="0"/>
          <w:sz w:val="36"/>
          <w:szCs w:val="36"/>
        </w:rPr>
      </w:pPr>
      <w:bookmarkStart w:id="43" w:name="_Toc439878093"/>
    </w:p>
    <w:p>
      <w:pPr>
        <w:spacing w:line="600" w:lineRule="exact"/>
        <w:ind w:firstLine="0" w:firstLineChars="0"/>
        <w:jc w:val="center"/>
        <w:outlineLvl w:val="1"/>
        <w:rPr>
          <w:rFonts w:hint="eastAsia" w:ascii="方正小标宋_GBK" w:hAnsi="方正小标宋_GBK" w:eastAsia="方正小标宋_GBK" w:cs="方正小标宋_GBK"/>
          <w:b/>
          <w:color w:val="000000"/>
          <w:kern w:val="0"/>
          <w:sz w:val="44"/>
          <w:szCs w:val="44"/>
        </w:rPr>
      </w:pPr>
      <w:r>
        <w:rPr>
          <w:rFonts w:ascii="Times New Roman" w:eastAsia="方正小标宋简体"/>
          <w:b/>
          <w:color w:val="000000"/>
          <w:kern w:val="0"/>
          <w:sz w:val="44"/>
          <w:szCs w:val="44"/>
        </w:rPr>
        <w:br w:type="page"/>
      </w:r>
    </w:p>
    <w:p>
      <w:pPr>
        <w:spacing w:line="600" w:lineRule="exact"/>
        <w:ind w:firstLine="0" w:firstLineChars="0"/>
        <w:jc w:val="center"/>
        <w:outlineLvl w:val="1"/>
        <w:rPr>
          <w:rFonts w:hint="eastAsia" w:ascii="方正小标宋_GBK" w:hAnsi="方正小标宋_GBK" w:eastAsia="方正小标宋_GBK" w:cs="方正小标宋_GBK"/>
          <w:b/>
          <w:color w:val="000000"/>
          <w:kern w:val="0"/>
          <w:sz w:val="44"/>
          <w:szCs w:val="44"/>
        </w:rPr>
      </w:pPr>
      <w:r>
        <w:rPr>
          <w:rFonts w:hint="eastAsia" w:ascii="方正小标宋_GBK" w:hAnsi="方正小标宋_GBK" w:eastAsia="方正小标宋_GBK" w:cs="方正小标宋_GBK"/>
          <w:b/>
          <w:color w:val="000000"/>
          <w:kern w:val="0"/>
          <w:sz w:val="44"/>
          <w:szCs w:val="44"/>
        </w:rPr>
        <w:t>第四篇  聚焦绿色发展  建设生态文明新家园</w:t>
      </w:r>
      <w:bookmarkEnd w:id="43"/>
    </w:p>
    <w:p>
      <w:pPr>
        <w:spacing w:line="600" w:lineRule="exact"/>
        <w:ind w:firstLine="883"/>
        <w:jc w:val="center"/>
        <w:rPr>
          <w:rFonts w:hint="eastAsia" w:ascii="方正小标宋_GBK" w:hAnsi="方正小标宋_GBK" w:eastAsia="方正小标宋_GBK" w:cs="方正小标宋_GBK"/>
          <w:b/>
          <w:color w:val="000000"/>
          <w:sz w:val="44"/>
          <w:szCs w:val="44"/>
        </w:rPr>
      </w:pPr>
    </w:p>
    <w:p>
      <w:pPr>
        <w:spacing w:line="600" w:lineRule="exact"/>
        <w:ind w:firstLine="643"/>
        <w:rPr>
          <w:rFonts w:ascii="Times New Roman"/>
          <w:b/>
          <w:color w:val="000000"/>
          <w:sz w:val="32"/>
          <w:szCs w:val="32"/>
          <w:shd w:val="clear" w:color="auto" w:fill="FFFFFF"/>
        </w:rPr>
      </w:pPr>
      <w:r>
        <w:rPr>
          <w:rFonts w:ascii="Times New Roman"/>
          <w:b/>
          <w:color w:val="000000"/>
          <w:sz w:val="32"/>
          <w:szCs w:val="32"/>
          <w:shd w:val="clear" w:color="auto" w:fill="FFFFFF"/>
        </w:rPr>
        <w:t>坚持节约优先、保护优先、自然恢复为主，以提高环境质量为核心，以健全生态文明制度体系为重点，全面促进资源节约利用，加大环境保护力度，大力推进绿色发展、循环发展、低碳发展，建设天蓝、地绿、水净的美丽咸阳。</w:t>
      </w:r>
    </w:p>
    <w:p>
      <w:pPr>
        <w:keepNext/>
        <w:keepLines/>
        <w:spacing w:line="300" w:lineRule="exact"/>
        <w:ind w:firstLine="636" w:firstLineChars="198"/>
        <w:outlineLvl w:val="2"/>
        <w:rPr>
          <w:rFonts w:ascii="Times New Roman" w:eastAsia="黑体"/>
          <w:b/>
          <w:color w:val="000000"/>
          <w:kern w:val="0"/>
          <w:sz w:val="32"/>
          <w:szCs w:val="32"/>
        </w:rPr>
      </w:pPr>
    </w:p>
    <w:p>
      <w:pPr>
        <w:keepNext/>
        <w:keepLines/>
        <w:spacing w:line="600" w:lineRule="exact"/>
        <w:ind w:firstLine="0" w:firstLineChars="0"/>
        <w:jc w:val="center"/>
        <w:outlineLvl w:val="2"/>
        <w:rPr>
          <w:rFonts w:ascii="Times New Roman" w:eastAsia="黑体"/>
          <w:b/>
          <w:color w:val="000000"/>
          <w:kern w:val="0"/>
          <w:sz w:val="32"/>
          <w:szCs w:val="32"/>
        </w:rPr>
      </w:pPr>
      <w:bookmarkStart w:id="44" w:name="_Toc439878094"/>
      <w:r>
        <w:rPr>
          <w:rFonts w:ascii="Times New Roman" w:eastAsia="黑体"/>
          <w:b/>
          <w:color w:val="000000"/>
          <w:kern w:val="0"/>
          <w:sz w:val="32"/>
          <w:szCs w:val="32"/>
        </w:rPr>
        <w:t>第十三章  强化环境综合治理</w:t>
      </w:r>
      <w:bookmarkEnd w:id="44"/>
    </w:p>
    <w:p>
      <w:pPr>
        <w:spacing w:line="300" w:lineRule="exact"/>
        <w:ind w:firstLine="643"/>
        <w:rPr>
          <w:rFonts w:ascii="Times New Roman"/>
          <w:b/>
          <w:color w:val="000000"/>
          <w:sz w:val="32"/>
          <w:szCs w:val="32"/>
          <w:shd w:val="clear" w:color="auto" w:fill="FFFFFF"/>
        </w:rPr>
      </w:pPr>
    </w:p>
    <w:p>
      <w:pPr>
        <w:spacing w:line="600" w:lineRule="exact"/>
        <w:ind w:firstLine="643"/>
        <w:rPr>
          <w:rFonts w:ascii="Times New Roman"/>
          <w:b/>
          <w:color w:val="000000"/>
          <w:sz w:val="32"/>
          <w:szCs w:val="32"/>
        </w:rPr>
      </w:pPr>
      <w:r>
        <w:rPr>
          <w:rFonts w:ascii="Times New Roman"/>
          <w:b/>
          <w:color w:val="000000"/>
          <w:sz w:val="32"/>
          <w:szCs w:val="32"/>
          <w:shd w:val="clear" w:color="auto" w:fill="FFFFFF"/>
        </w:rPr>
        <w:t>按照以人为本、防治结合、标本兼治、综合施策的原则，建立以保障人的健康为核心、以改善环境质量为目标、以防控环境风险为基线的环境管理体系，健全跨区域污染防治协调机制，加快解决人民群众反映强烈的大气、水、土壤污染等突出环境问题。</w:t>
      </w:r>
      <w:r>
        <w:rPr>
          <w:rFonts w:ascii="Times New Roman"/>
          <w:b/>
          <w:color w:val="000000"/>
          <w:sz w:val="32"/>
          <w:szCs w:val="32"/>
        </w:rPr>
        <w:t>到2020年，全市二氧化硫、氮氧化物、化学需氧量、氨氮排放量与2015年相比分别下降8%，颗粒物排放下降20%，空气和水环境质量总体改善。</w:t>
      </w:r>
    </w:p>
    <w:p>
      <w:pPr>
        <w:spacing w:line="600" w:lineRule="exact"/>
        <w:ind w:firstLine="643"/>
        <w:rPr>
          <w:rFonts w:ascii="Times New Roman"/>
          <w:b/>
          <w:color w:val="000000"/>
          <w:sz w:val="32"/>
          <w:szCs w:val="32"/>
        </w:rPr>
      </w:pPr>
      <w:r>
        <w:rPr>
          <w:rFonts w:ascii="Times New Roman" w:eastAsia="楷体_GB2312"/>
          <w:b/>
          <w:color w:val="000000"/>
          <w:sz w:val="32"/>
          <w:szCs w:val="32"/>
        </w:rPr>
        <w:t>大气污染防治。</w:t>
      </w:r>
      <w:r>
        <w:rPr>
          <w:rFonts w:ascii="Times New Roman"/>
          <w:b/>
          <w:color w:val="000000"/>
          <w:sz w:val="32"/>
          <w:szCs w:val="32"/>
        </w:rPr>
        <w:t>继续加大大气污染综合治理，实施“治污降霾·保卫蓝天”五年行动计划，逐渐消除重污染天气，切实改善大气环境质量。全面实施火电、水泥、燃煤锅炉现有除尘器提标改造。加快火电、水泥等重点行业脱硫设施建设及改造，推进燃煤锅炉和工业窑炉低氮燃烧改造和脱硝设施建设。综合整治城市扬尘，开展餐饮油烟污染治理，加强机动车污染防治，推进挥发性有机物污染治理，协同实施多污染物控制。降低秸杆烧用水平，推广农村洁净能源。</w:t>
      </w:r>
    </w:p>
    <w:p>
      <w:pPr>
        <w:spacing w:line="600" w:lineRule="exact"/>
        <w:ind w:firstLine="643"/>
        <w:rPr>
          <w:rFonts w:ascii="Times New Roman"/>
          <w:b/>
          <w:color w:val="000000"/>
          <w:sz w:val="32"/>
          <w:szCs w:val="32"/>
        </w:rPr>
      </w:pPr>
      <w:r>
        <w:rPr>
          <w:rFonts w:ascii="Times New Roman" w:eastAsia="楷体_GB2312"/>
          <w:b/>
          <w:color w:val="000000"/>
          <w:sz w:val="32"/>
          <w:szCs w:val="32"/>
        </w:rPr>
        <w:t>污水治理。</w:t>
      </w:r>
      <w:r>
        <w:rPr>
          <w:rFonts w:ascii="Times New Roman"/>
          <w:b/>
          <w:color w:val="000000"/>
          <w:sz w:val="32"/>
          <w:szCs w:val="32"/>
        </w:rPr>
        <w:t>贯彻落实“水十条”，实施新一轮渭河三年行动计划，加强泾河干流治理力度。建立地下水污染防治分区管理体系，强化化工等行业地下水污染源头预防。</w:t>
      </w:r>
      <w:r>
        <w:rPr>
          <w:rFonts w:ascii="Times New Roman"/>
          <w:b/>
          <w:color w:val="000000"/>
          <w:sz w:val="32"/>
          <w:szCs w:val="32"/>
          <w:shd w:val="clear" w:color="auto" w:fill="FFFFFF"/>
        </w:rPr>
        <w:t>严格饮用水源保护，全面推进涵养区、源头区等水源地环境整治，加强供水全过程管理，确保饮用水安全。</w:t>
      </w:r>
      <w:r>
        <w:rPr>
          <w:rFonts w:ascii="Times New Roman"/>
          <w:b/>
          <w:color w:val="000000"/>
          <w:sz w:val="32"/>
          <w:szCs w:val="32"/>
        </w:rPr>
        <w:t>加大城乡生活污水及工业废水治理力度，加快推进城乡污水处理设施及污水收集管网建设，健全能有效覆盖成本的收费运营机制。加强污水处理厂污泥无害化处理力度。到2020年，建成污水处理能力91.2万吨，城市污水处理率达到95%以上</w:t>
      </w:r>
      <w:r>
        <w:rPr>
          <w:rFonts w:ascii="Times New Roman"/>
          <w:b/>
          <w:color w:val="000000"/>
          <w:kern w:val="0"/>
          <w:sz w:val="32"/>
          <w:szCs w:val="32"/>
        </w:rPr>
        <w:t>。</w:t>
      </w:r>
    </w:p>
    <w:p>
      <w:pPr>
        <w:snapToGrid w:val="0"/>
        <w:spacing w:line="600" w:lineRule="exact"/>
        <w:ind w:firstLine="643"/>
        <w:textAlignment w:val="baseline"/>
        <w:rPr>
          <w:rFonts w:ascii="Times New Roman"/>
          <w:b/>
          <w:color w:val="000000"/>
        </w:rPr>
      </w:pPr>
      <w:r>
        <w:rPr>
          <w:rFonts w:ascii="Times New Roman" w:eastAsia="楷体_GB2312"/>
          <w:b/>
          <w:color w:val="000000"/>
          <w:sz w:val="32"/>
          <w:szCs w:val="32"/>
        </w:rPr>
        <w:t>垃圾处理。</w:t>
      </w:r>
      <w:r>
        <w:rPr>
          <w:rFonts w:ascii="Times New Roman"/>
          <w:b/>
          <w:color w:val="000000"/>
          <w:sz w:val="31"/>
        </w:rPr>
        <w:t>按照城镇“散点收集、集中转运、统一处理”，镇村“村收集、镇转运、县处理”的环卫工程发展策略，建立先进的环保型垃圾收运、处理体系，提高垃圾无害化处理水平。加快</w:t>
      </w:r>
      <w:r>
        <w:rPr>
          <w:rFonts w:ascii="Times New Roman"/>
          <w:b/>
          <w:color w:val="000000"/>
          <w:sz w:val="32"/>
          <w:szCs w:val="32"/>
        </w:rPr>
        <w:t>推进生活垃圾焚烧、生化处理设施和餐厨垃圾、建筑垃圾资源化处置设施建设，完成餐厨垃圾无害化处理和资源化利用试点城市建设。</w:t>
      </w:r>
      <w:r>
        <w:rPr>
          <w:rFonts w:ascii="Times New Roman"/>
          <w:b/>
          <w:color w:val="000000"/>
          <w:sz w:val="31"/>
        </w:rPr>
        <w:t>到2020年，新建扩建垃圾处理厂15 个，</w:t>
      </w:r>
      <w:r>
        <w:rPr>
          <w:rFonts w:ascii="Times New Roman"/>
          <w:b/>
          <w:color w:val="000000"/>
          <w:sz w:val="32"/>
          <w:szCs w:val="32"/>
        </w:rPr>
        <w:t>城市生活垃圾无害化处理率达到95％</w:t>
      </w:r>
      <w:r>
        <w:rPr>
          <w:rFonts w:hint="eastAsia" w:ascii="Times New Roman"/>
          <w:b/>
          <w:color w:val="000000"/>
          <w:sz w:val="32"/>
          <w:szCs w:val="32"/>
        </w:rPr>
        <w:t>以上</w:t>
      </w:r>
      <w:r>
        <w:rPr>
          <w:rFonts w:ascii="Times New Roman"/>
          <w:b/>
          <w:color w:val="000000"/>
          <w:sz w:val="31"/>
        </w:rPr>
        <w:t>，再生资源回收利用率达80%。</w:t>
      </w:r>
    </w:p>
    <w:p>
      <w:pPr>
        <w:spacing w:line="600" w:lineRule="exact"/>
        <w:ind w:firstLine="643"/>
        <w:rPr>
          <w:rFonts w:ascii="Times New Roman"/>
          <w:b/>
          <w:color w:val="000000"/>
          <w:sz w:val="32"/>
          <w:szCs w:val="32"/>
        </w:rPr>
      </w:pPr>
      <w:r>
        <w:rPr>
          <w:rFonts w:ascii="Times New Roman" w:eastAsia="楷体_GB2312"/>
          <w:b/>
          <w:color w:val="000000"/>
          <w:sz w:val="32"/>
          <w:szCs w:val="32"/>
        </w:rPr>
        <w:t>农村环境治理。</w:t>
      </w:r>
      <w:r>
        <w:rPr>
          <w:rFonts w:ascii="Times New Roman"/>
          <w:b/>
          <w:color w:val="000000"/>
          <w:sz w:val="32"/>
          <w:szCs w:val="32"/>
        </w:rPr>
        <w:t>加大农村生活垃圾、生活污水处理力度，制定实施土壤污染防治行动计划，优先保护耕地土壤环境，加强农业面源污染防治，加大种养业特别是规模化畜禽养殖污染防治力度，科学施用化肥、农药，推广节能环保型炉灶。强化农村饮用水源地保护，持续开展城乡环境卫生综合整治，推动城乡环境保护工作统筹协调发展，全面提升美丽乡村建设水平。以礼泉、兴平、三原、渭城等区域为重点，加强涉重金属污染物排放企业监管力度，进一步降低重金属污染物排放量。</w:t>
      </w:r>
    </w:p>
    <w:p>
      <w:pPr>
        <w:keepNext/>
        <w:keepLines/>
        <w:spacing w:line="300" w:lineRule="exact"/>
        <w:ind w:firstLine="0" w:firstLineChars="0"/>
        <w:outlineLvl w:val="2"/>
        <w:rPr>
          <w:rFonts w:ascii="Times New Roman" w:eastAsia="黑体"/>
          <w:b/>
          <w:color w:val="000000"/>
          <w:kern w:val="0"/>
          <w:sz w:val="32"/>
          <w:szCs w:val="32"/>
        </w:rPr>
      </w:pPr>
    </w:p>
    <w:p>
      <w:pPr>
        <w:keepNext/>
        <w:keepLines/>
        <w:spacing w:line="600" w:lineRule="exact"/>
        <w:ind w:firstLine="0" w:firstLineChars="0"/>
        <w:jc w:val="center"/>
        <w:outlineLvl w:val="2"/>
        <w:rPr>
          <w:rFonts w:ascii="Times New Roman" w:eastAsia="黑体"/>
          <w:b/>
          <w:color w:val="000000"/>
          <w:kern w:val="0"/>
          <w:sz w:val="32"/>
          <w:szCs w:val="32"/>
        </w:rPr>
      </w:pPr>
      <w:bookmarkStart w:id="45" w:name="_Toc439878095"/>
      <w:r>
        <w:rPr>
          <w:rFonts w:ascii="Times New Roman" w:eastAsia="黑体"/>
          <w:b/>
          <w:color w:val="000000"/>
          <w:kern w:val="0"/>
          <w:sz w:val="32"/>
          <w:szCs w:val="32"/>
        </w:rPr>
        <w:t>第十四章  节约高效利用资源</w:t>
      </w:r>
      <w:bookmarkEnd w:id="45"/>
    </w:p>
    <w:p>
      <w:pPr>
        <w:spacing w:line="300" w:lineRule="exact"/>
        <w:ind w:firstLine="0" w:firstLineChars="0"/>
        <w:rPr>
          <w:rFonts w:ascii="Times New Roman" w:eastAsia="黑体"/>
          <w:b/>
          <w:color w:val="000000"/>
          <w:sz w:val="32"/>
          <w:szCs w:val="32"/>
        </w:rPr>
      </w:pPr>
    </w:p>
    <w:p>
      <w:pPr>
        <w:spacing w:line="600" w:lineRule="exact"/>
        <w:ind w:firstLine="643"/>
        <w:rPr>
          <w:rFonts w:ascii="Times New Roman"/>
          <w:b/>
          <w:color w:val="000000"/>
          <w:sz w:val="32"/>
          <w:szCs w:val="32"/>
        </w:rPr>
      </w:pPr>
      <w:r>
        <w:rPr>
          <w:rFonts w:ascii="Times New Roman"/>
          <w:b/>
          <w:color w:val="000000"/>
          <w:sz w:val="32"/>
          <w:szCs w:val="32"/>
        </w:rPr>
        <w:t>按照减量化、再利用、资源化的原则，大力实施循环发展引领计划，强化资源节约集约利用，推行企业循环式生产、产业循环式组合、园区循环式改造，加快建立循环型工业、农业、服务业体系。</w:t>
      </w:r>
    </w:p>
    <w:p>
      <w:pPr>
        <w:spacing w:line="300" w:lineRule="exact"/>
        <w:ind w:firstLine="643"/>
        <w:jc w:val="center"/>
        <w:rPr>
          <w:rFonts w:ascii="Times New Roman" w:eastAsia="宋体"/>
          <w:b/>
          <w:color w:val="000000"/>
          <w:sz w:val="32"/>
          <w:szCs w:val="32"/>
        </w:rPr>
      </w:pPr>
    </w:p>
    <w:p>
      <w:pPr>
        <w:numPr>
          <w:ilvl w:val="0"/>
          <w:numId w:val="10"/>
        </w:numPr>
        <w:spacing w:line="600" w:lineRule="exact"/>
        <w:ind w:firstLine="0" w:firstLineChars="0"/>
        <w:jc w:val="center"/>
        <w:rPr>
          <w:rFonts w:ascii="Times New Roman" w:eastAsia="宋体"/>
          <w:b/>
          <w:color w:val="000000"/>
          <w:sz w:val="32"/>
          <w:szCs w:val="32"/>
        </w:rPr>
      </w:pPr>
      <w:r>
        <w:rPr>
          <w:rFonts w:ascii="Times New Roman" w:eastAsia="宋体"/>
          <w:b/>
          <w:color w:val="000000"/>
          <w:sz w:val="32"/>
          <w:szCs w:val="32"/>
        </w:rPr>
        <w:t xml:space="preserve"> 深入推进节能减排</w:t>
      </w:r>
    </w:p>
    <w:p>
      <w:pPr>
        <w:spacing w:line="300" w:lineRule="exact"/>
        <w:ind w:firstLine="0" w:firstLineChars="0"/>
        <w:rPr>
          <w:rFonts w:ascii="Times New Roman" w:eastAsia="宋体"/>
          <w:b/>
          <w:color w:val="000000"/>
          <w:sz w:val="32"/>
          <w:szCs w:val="32"/>
        </w:rPr>
      </w:pPr>
    </w:p>
    <w:p>
      <w:pPr>
        <w:spacing w:line="600" w:lineRule="exact"/>
        <w:ind w:firstLine="667"/>
        <w:rPr>
          <w:rFonts w:ascii="Times New Roman"/>
          <w:b/>
          <w:color w:val="000000"/>
          <w:spacing w:val="9"/>
          <w:sz w:val="32"/>
          <w:szCs w:val="32"/>
        </w:rPr>
      </w:pPr>
      <w:r>
        <w:rPr>
          <w:rFonts w:ascii="Times New Roman"/>
          <w:b/>
          <w:color w:val="000000"/>
          <w:spacing w:val="6"/>
          <w:sz w:val="32"/>
          <w:szCs w:val="32"/>
        </w:rPr>
        <w:t>落</w:t>
      </w:r>
      <w:r>
        <w:rPr>
          <w:rFonts w:ascii="Times New Roman"/>
          <w:b/>
          <w:color w:val="000000"/>
          <w:spacing w:val="9"/>
          <w:sz w:val="32"/>
          <w:szCs w:val="32"/>
        </w:rPr>
        <w:t>实能源消费总量和能源消耗强度下降机制，全面推动重点领域节能减排和重点用能单位能源计量审查。重点推进工业锅炉（窑炉）节能改造、热电联产、集中供热，余热余压利用、电机系统节能改造、能量系统优化、建筑节能、绿色照明、政府机构节能、先进节能技术应用、燃煤锅炉能效测试等节能工程建设。大力开发利用地热能、太阳能、风能等清洁能源，努力改善全市能源消费结构。充分发挥节能评估审查、环境影响评价等“关口”作用，对“两高”行业的新增产能，实行能耗、排污总量减量置换。加快淘汰落后产能，坚持承接产业转移高标准，禁止落后产能转入我市。推进交通运输低碳发展，实行公共交通优先，加强轨道交通建设，鼓励自行车等绿色出行。推动汽车油改气工作。实施新能源汽车推广计划，提高电动车产业化水平。提高建筑节能标准，推广绿色建筑和建材。深入开展节能减排全民行动，开展能效、水效领跑者引领行动，倡导绿色生产生活新模式。到2020年，全市万元生产总值能耗较2015年下降16%，单位生产总值二氧化碳排放下降18%，非化石能源占一次能源消费的比重达到13%左右。</w:t>
      </w:r>
    </w:p>
    <w:p>
      <w:pPr>
        <w:spacing w:line="300" w:lineRule="exact"/>
        <w:ind w:firstLine="667"/>
        <w:rPr>
          <w:rFonts w:ascii="Times New Roman"/>
          <w:b/>
          <w:color w:val="000000"/>
          <w:spacing w:val="6"/>
          <w:sz w:val="32"/>
          <w:szCs w:val="32"/>
        </w:rPr>
      </w:pPr>
    </w:p>
    <w:p>
      <w:pPr>
        <w:numPr>
          <w:ilvl w:val="0"/>
          <w:numId w:val="10"/>
        </w:numPr>
        <w:spacing w:line="600" w:lineRule="exact"/>
        <w:ind w:firstLine="0" w:firstLineChars="0"/>
        <w:jc w:val="center"/>
        <w:rPr>
          <w:rFonts w:ascii="Times New Roman" w:eastAsia="宋体"/>
          <w:b/>
          <w:color w:val="000000"/>
          <w:spacing w:val="6"/>
          <w:sz w:val="32"/>
          <w:szCs w:val="32"/>
        </w:rPr>
      </w:pPr>
      <w:r>
        <w:rPr>
          <w:rFonts w:ascii="Times New Roman" w:eastAsia="宋体"/>
          <w:b/>
          <w:color w:val="000000"/>
          <w:spacing w:val="6"/>
          <w:sz w:val="32"/>
          <w:szCs w:val="32"/>
        </w:rPr>
        <w:t xml:space="preserve"> 大力发展循环经济</w:t>
      </w:r>
    </w:p>
    <w:p>
      <w:pPr>
        <w:spacing w:line="300" w:lineRule="exact"/>
        <w:ind w:firstLine="0" w:firstLineChars="0"/>
        <w:rPr>
          <w:rFonts w:ascii="Times New Roman" w:eastAsia="宋体"/>
          <w:b/>
          <w:color w:val="000000"/>
          <w:spacing w:val="6"/>
          <w:sz w:val="32"/>
          <w:szCs w:val="32"/>
        </w:rPr>
      </w:pPr>
    </w:p>
    <w:p>
      <w:pPr>
        <w:spacing w:line="600" w:lineRule="exact"/>
        <w:ind w:firstLine="667"/>
        <w:rPr>
          <w:rFonts w:ascii="Times New Roman"/>
          <w:b/>
          <w:color w:val="000000"/>
          <w:spacing w:val="6"/>
          <w:sz w:val="32"/>
          <w:szCs w:val="32"/>
        </w:rPr>
      </w:pPr>
      <w:r>
        <w:rPr>
          <w:rFonts w:ascii="Times New Roman"/>
          <w:b/>
          <w:color w:val="000000"/>
          <w:spacing w:val="6"/>
          <w:sz w:val="32"/>
          <w:szCs w:val="32"/>
        </w:rPr>
        <w:t>积极推进陕西再生资源产业园国家“城市矿产”示范基地建设。完善再生资源回收体系，开展垃圾分类回收试点，推进秸秆等农林废弃物以及建筑垃圾、餐厨废弃物资源化利用，鼓励纺织品、汽车轮胎等废旧物</w:t>
      </w:r>
      <w:r>
        <w:rPr>
          <w:rFonts w:ascii="Times New Roman"/>
          <w:b/>
          <w:color w:val="000000"/>
          <w:spacing w:val="6"/>
          <w:sz w:val="32"/>
          <w:szCs w:val="32"/>
          <w:shd w:val="clear" w:color="auto" w:fill="FFFFFF"/>
        </w:rPr>
        <w:t>品回收利用。</w:t>
      </w:r>
      <w:r>
        <w:rPr>
          <w:rFonts w:ascii="Times New Roman"/>
          <w:b/>
          <w:color w:val="000000"/>
          <w:spacing w:val="6"/>
          <w:sz w:val="32"/>
          <w:szCs w:val="32"/>
        </w:rPr>
        <w:t>大力开展园区循环化改造和清洁生产，重点发展“补链”项目和“延伸”项目，引导园区企业相互配套、专业协作,实现园区资源的高效利用、物料的闭路循环，构建高效的循环经济主导产业链和辅助产业链。以石化、煤炭行业为重点，</w:t>
      </w:r>
      <w:r>
        <w:rPr>
          <w:rFonts w:ascii="Times New Roman"/>
          <w:b/>
          <w:color w:val="000000"/>
          <w:spacing w:val="6"/>
          <w:sz w:val="32"/>
          <w:szCs w:val="32"/>
          <w:shd w:val="clear" w:color="auto" w:fill="FFFFFF"/>
        </w:rPr>
        <w:t>推进</w:t>
      </w:r>
      <w:r>
        <w:rPr>
          <w:rFonts w:ascii="Times New Roman"/>
          <w:b/>
          <w:color w:val="000000"/>
          <w:spacing w:val="6"/>
          <w:sz w:val="31"/>
          <w:szCs w:val="31"/>
          <w:shd w:val="clear" w:color="auto" w:fill="FFFFFF"/>
        </w:rPr>
        <w:t>粉煤灰、煤矸石、煤层气等工业废弃物的综合利用。</w:t>
      </w:r>
      <w:r>
        <w:rPr>
          <w:rFonts w:ascii="Times New Roman"/>
          <w:b/>
          <w:color w:val="000000"/>
          <w:spacing w:val="6"/>
          <w:sz w:val="32"/>
          <w:szCs w:val="32"/>
        </w:rPr>
        <w:t>建设一批循环经济示范工程，</w:t>
      </w:r>
      <w:r>
        <w:rPr>
          <w:rFonts w:ascii="Times New Roman"/>
          <w:b/>
          <w:color w:val="000000"/>
          <w:spacing w:val="6"/>
          <w:sz w:val="32"/>
          <w:szCs w:val="32"/>
          <w:shd w:val="clear" w:color="auto" w:fill="FFFFFF"/>
        </w:rPr>
        <w:t>推进产业循环式组合，促进生产和生活系统的循环链接，构建覆盖全社会的资源循环利用体系。</w:t>
      </w:r>
      <w:r>
        <w:rPr>
          <w:rFonts w:ascii="Times New Roman"/>
          <w:b/>
          <w:color w:val="000000"/>
          <w:spacing w:val="6"/>
          <w:sz w:val="32"/>
          <w:szCs w:val="32"/>
        </w:rPr>
        <w:t>到2020年，全市各类废弃物综合利用率达到95%以上。</w:t>
      </w:r>
    </w:p>
    <w:p>
      <w:pPr>
        <w:spacing w:line="300" w:lineRule="exact"/>
        <w:ind w:firstLine="0" w:firstLineChars="0"/>
        <w:rPr>
          <w:rFonts w:ascii="Times New Roman" w:eastAsia="宋体"/>
          <w:b/>
          <w:color w:val="000000"/>
          <w:spacing w:val="6"/>
          <w:sz w:val="32"/>
          <w:szCs w:val="32"/>
        </w:rPr>
      </w:pPr>
    </w:p>
    <w:p>
      <w:pPr>
        <w:keepNext/>
        <w:keepLines/>
        <w:numPr>
          <w:ilvl w:val="0"/>
          <w:numId w:val="10"/>
        </w:numPr>
        <w:spacing w:line="600" w:lineRule="exact"/>
        <w:ind w:firstLine="0" w:firstLineChars="0"/>
        <w:jc w:val="center"/>
        <w:outlineLvl w:val="3"/>
        <w:rPr>
          <w:rFonts w:ascii="Times New Roman" w:eastAsia="宋体"/>
          <w:b/>
          <w:color w:val="000000"/>
          <w:sz w:val="32"/>
          <w:szCs w:val="32"/>
        </w:rPr>
      </w:pPr>
      <w:r>
        <w:rPr>
          <w:rFonts w:ascii="Times New Roman" w:eastAsia="宋体"/>
          <w:b/>
          <w:color w:val="000000"/>
          <w:sz w:val="32"/>
          <w:szCs w:val="32"/>
        </w:rPr>
        <w:t xml:space="preserve"> 提高集约利用水平</w:t>
      </w:r>
    </w:p>
    <w:p>
      <w:pPr>
        <w:spacing w:line="300" w:lineRule="exact"/>
        <w:ind w:firstLine="0" w:firstLineChars="0"/>
        <w:rPr>
          <w:rFonts w:ascii="Times New Roman" w:eastAsia="宋体"/>
          <w:b/>
          <w:color w:val="000000"/>
          <w:spacing w:val="6"/>
          <w:sz w:val="32"/>
          <w:szCs w:val="32"/>
        </w:rPr>
      </w:pPr>
    </w:p>
    <w:p>
      <w:pPr>
        <w:spacing w:line="600" w:lineRule="exact"/>
        <w:ind w:firstLine="643"/>
        <w:rPr>
          <w:rFonts w:ascii="Times New Roman" w:eastAsia="黑体"/>
          <w:b/>
          <w:color w:val="000000"/>
          <w:kern w:val="0"/>
          <w:sz w:val="32"/>
          <w:szCs w:val="32"/>
        </w:rPr>
      </w:pPr>
      <w:r>
        <w:rPr>
          <w:rFonts w:ascii="Times New Roman"/>
          <w:b/>
          <w:color w:val="000000"/>
          <w:sz w:val="32"/>
          <w:szCs w:val="32"/>
          <w:shd w:val="clear" w:color="auto" w:fill="FFFFFF"/>
        </w:rPr>
        <w:t>集约节约利用土地、水、矿产等资源，提高节地、节水、节材、节矿标准，加强全过程管理，大幅降低资源消耗强度。坚持量水发展理念，大力发展节水灌溉技术，实施好大中型灌区续建配套与节水改造项目，普及井灌区暗管，渠灌区渠道硬化和设施栽培微灌。加强工业中水回用，大力推进再生水、矿井水和苦咸水利用。培养城乡居民生活节约用水意识，创建节水型示范城市。严守耕地和基本农田保护红线，大力推进土地综合整治，保障土地资源可持续利用。在优先划定耕地和永久基本农田、生态保护红线的基础上，合理确定城市开发边界，扎实做好“三线”划定，积极争取中省新增建设用地指标，科学调整用地布局，合理安排各类各业用地。有序推进历史遗留工矿废弃地复垦利用试点、城乡建设用地增减挂钩试点工作。探索创新地下空间建设用地使用权开发管理。发展绿色矿业，强化矿产资源节约与综合利用，提高矿产资源开采回采率、选矿回收率和综合利用率。</w:t>
      </w:r>
    </w:p>
    <w:p>
      <w:pPr>
        <w:spacing w:line="300" w:lineRule="exact"/>
        <w:ind w:firstLine="0" w:firstLineChars="0"/>
        <w:rPr>
          <w:rFonts w:ascii="Times New Roman" w:eastAsia="宋体"/>
          <w:b/>
          <w:color w:val="000000"/>
          <w:spacing w:val="6"/>
          <w:sz w:val="32"/>
          <w:szCs w:val="32"/>
        </w:rPr>
      </w:pPr>
    </w:p>
    <w:p>
      <w:pPr>
        <w:keepNext/>
        <w:keepLines/>
        <w:spacing w:line="600" w:lineRule="exact"/>
        <w:ind w:firstLine="0" w:firstLineChars="0"/>
        <w:jc w:val="center"/>
        <w:outlineLvl w:val="2"/>
        <w:rPr>
          <w:rFonts w:ascii="Times New Roman" w:eastAsia="黑体"/>
          <w:b/>
          <w:color w:val="000000"/>
          <w:kern w:val="0"/>
          <w:sz w:val="32"/>
          <w:szCs w:val="32"/>
        </w:rPr>
      </w:pPr>
      <w:bookmarkStart w:id="46" w:name="_Toc439878096"/>
      <w:r>
        <w:rPr>
          <w:rFonts w:ascii="Times New Roman" w:eastAsia="黑体"/>
          <w:b/>
          <w:color w:val="000000"/>
          <w:kern w:val="0"/>
          <w:sz w:val="32"/>
          <w:szCs w:val="32"/>
        </w:rPr>
        <w:t>第十五章  加快生态文明建设</w:t>
      </w:r>
      <w:bookmarkEnd w:id="46"/>
    </w:p>
    <w:p>
      <w:pPr>
        <w:spacing w:line="300" w:lineRule="exact"/>
        <w:ind w:firstLine="0" w:firstLineChars="0"/>
        <w:rPr>
          <w:rFonts w:ascii="Times New Roman" w:eastAsia="宋体"/>
          <w:b/>
          <w:color w:val="000000"/>
          <w:spacing w:val="6"/>
          <w:sz w:val="32"/>
          <w:szCs w:val="32"/>
        </w:rPr>
      </w:pPr>
    </w:p>
    <w:p>
      <w:pPr>
        <w:keepNext/>
        <w:keepLines/>
        <w:spacing w:line="600" w:lineRule="exact"/>
        <w:ind w:firstLine="0" w:firstLineChars="0"/>
        <w:jc w:val="center"/>
        <w:outlineLvl w:val="2"/>
        <w:rPr>
          <w:rFonts w:ascii="Times New Roman" w:eastAsia="宋体"/>
          <w:b/>
          <w:color w:val="000000"/>
          <w:sz w:val="32"/>
          <w:szCs w:val="32"/>
        </w:rPr>
      </w:pPr>
      <w:bookmarkStart w:id="47" w:name="_Toc439877176"/>
      <w:bookmarkStart w:id="48" w:name="_Toc439878097"/>
      <w:r>
        <w:rPr>
          <w:rFonts w:ascii="Times New Roman" w:eastAsia="宋体"/>
          <w:b/>
          <w:color w:val="000000"/>
          <w:kern w:val="0"/>
          <w:sz w:val="32"/>
          <w:szCs w:val="32"/>
        </w:rPr>
        <w:t>第一节  构建绿色生态体系</w:t>
      </w:r>
      <w:bookmarkEnd w:id="47"/>
      <w:bookmarkEnd w:id="48"/>
    </w:p>
    <w:p>
      <w:pPr>
        <w:spacing w:line="300" w:lineRule="exact"/>
        <w:ind w:firstLine="0" w:firstLineChars="0"/>
        <w:rPr>
          <w:rFonts w:ascii="Times New Roman" w:eastAsia="宋体"/>
          <w:b/>
          <w:color w:val="000000"/>
          <w:spacing w:val="6"/>
          <w:sz w:val="32"/>
          <w:szCs w:val="32"/>
        </w:rPr>
      </w:pPr>
    </w:p>
    <w:p>
      <w:pPr>
        <w:spacing w:line="600" w:lineRule="exact"/>
        <w:ind w:firstLine="643"/>
        <w:rPr>
          <w:rFonts w:ascii="Times New Roman"/>
          <w:b/>
          <w:color w:val="000000"/>
          <w:spacing w:val="-6"/>
          <w:sz w:val="32"/>
          <w:szCs w:val="32"/>
        </w:rPr>
      </w:pPr>
      <w:r>
        <w:rPr>
          <w:rFonts w:ascii="Times New Roman"/>
          <w:b/>
          <w:color w:val="000000"/>
          <w:sz w:val="32"/>
          <w:szCs w:val="32"/>
        </w:rPr>
        <w:t>深</w:t>
      </w:r>
      <w:r>
        <w:rPr>
          <w:rFonts w:ascii="Times New Roman"/>
          <w:b/>
          <w:color w:val="000000"/>
          <w:spacing w:val="-6"/>
          <w:sz w:val="32"/>
          <w:szCs w:val="32"/>
        </w:rPr>
        <w:t>入实施“北部森林化、中部果林化、南部园林化”生态工程，到2020年,全市林地面积稳定在595.3万亩，森林覆盖率达到3</w:t>
      </w:r>
      <w:r>
        <w:rPr>
          <w:rFonts w:hint="eastAsia" w:ascii="Times New Roman"/>
          <w:b/>
          <w:color w:val="000000"/>
          <w:spacing w:val="-6"/>
          <w:sz w:val="32"/>
          <w:szCs w:val="32"/>
        </w:rPr>
        <w:t>9</w:t>
      </w:r>
      <w:r>
        <w:rPr>
          <w:rFonts w:ascii="Times New Roman"/>
          <w:b/>
          <w:color w:val="000000"/>
          <w:spacing w:val="-6"/>
          <w:sz w:val="32"/>
          <w:szCs w:val="32"/>
        </w:rPr>
        <w:t>%。</w:t>
      </w:r>
    </w:p>
    <w:p>
      <w:pPr>
        <w:adjustRightInd w:val="0"/>
        <w:snapToGrid w:val="0"/>
        <w:spacing w:line="600" w:lineRule="exact"/>
        <w:ind w:firstLine="643"/>
        <w:rPr>
          <w:rFonts w:ascii="Times New Roman"/>
          <w:b/>
          <w:color w:val="000000"/>
          <w:sz w:val="32"/>
          <w:szCs w:val="32"/>
        </w:rPr>
      </w:pPr>
      <w:r>
        <w:rPr>
          <w:rFonts w:ascii="Times New Roman" w:eastAsia="楷体_GB2312"/>
          <w:b/>
          <w:color w:val="000000"/>
          <w:kern w:val="0"/>
          <w:sz w:val="32"/>
          <w:szCs w:val="32"/>
        </w:rPr>
        <w:t>构建“一城两河三区三带十线多点”生态安全格局。</w:t>
      </w:r>
      <w:r>
        <w:rPr>
          <w:rFonts w:ascii="Times New Roman"/>
          <w:b/>
          <w:color w:val="000000"/>
          <w:sz w:val="32"/>
          <w:szCs w:val="32"/>
        </w:rPr>
        <w:t>一城，即咸阳主城区和西咸新区（秦汉新城、沣西新城、空港新城、沣东新城、泾河新城）构成的大城区绿化；两河，即渭河、泾河市域内干、支流区域绿化；三区，即北部黄土高原生态公益型防护林区、中部黄土台塬生态经济型防护林区、南部关中平原田园生态型景观区；三带，即渭河生态景观林带、五陵塬森林生态文化旅游带、渭北</w:t>
      </w:r>
      <w:r>
        <w:rPr>
          <w:rFonts w:hint="eastAsia" w:ascii="Times New Roman"/>
          <w:b/>
          <w:color w:val="000000"/>
          <w:sz w:val="32"/>
          <w:szCs w:val="32"/>
        </w:rPr>
        <w:t>“</w:t>
      </w:r>
      <w:r>
        <w:rPr>
          <w:rFonts w:ascii="Times New Roman"/>
          <w:b/>
          <w:color w:val="000000"/>
          <w:sz w:val="32"/>
          <w:szCs w:val="32"/>
        </w:rPr>
        <w:t>旱腰带</w:t>
      </w:r>
      <w:r>
        <w:rPr>
          <w:rFonts w:hint="eastAsia" w:ascii="Times New Roman"/>
          <w:b/>
          <w:color w:val="000000"/>
          <w:sz w:val="32"/>
          <w:szCs w:val="32"/>
        </w:rPr>
        <w:t>”</w:t>
      </w:r>
      <w:r>
        <w:rPr>
          <w:rFonts w:ascii="Times New Roman"/>
          <w:b/>
          <w:color w:val="000000"/>
          <w:sz w:val="32"/>
          <w:szCs w:val="32"/>
        </w:rPr>
        <w:t>杂果经济林带；十线，即包茂高速、连霍高速、福银高速、咸旬高速、铜旬高速、关中环线、西咸环线、西延新线、312国道、211国道10条公路交通廊道绿化；多点，即除“一城”外的城镇、村庄、工矿区、风景区绿化。</w:t>
      </w:r>
    </w:p>
    <w:p>
      <w:pPr>
        <w:spacing w:line="600" w:lineRule="exact"/>
        <w:ind w:firstLine="643"/>
        <w:rPr>
          <w:rFonts w:ascii="Times New Roman"/>
          <w:b/>
          <w:color w:val="000000"/>
          <w:sz w:val="32"/>
          <w:szCs w:val="32"/>
        </w:rPr>
      </w:pPr>
      <w:r>
        <w:rPr>
          <w:rFonts w:ascii="Times New Roman" w:eastAsia="楷体_GB2312"/>
          <w:b/>
          <w:color w:val="000000"/>
          <w:sz w:val="32"/>
          <w:szCs w:val="32"/>
        </w:rPr>
        <w:t>加强生态屏障建设。</w:t>
      </w:r>
      <w:r>
        <w:rPr>
          <w:rFonts w:ascii="Times New Roman"/>
          <w:b/>
          <w:color w:val="000000"/>
          <w:sz w:val="32"/>
          <w:szCs w:val="32"/>
        </w:rPr>
        <w:t>继续实施国家天保二期工程，不断增加和恢复天保工程区林草植被，改善渭河流域的生态环境。继续实施天然林保护、三北防护林体系建设、退耕还林、重点区域绿化、森林抚育等工程，增强森林及生态系统碳汇能力。加强水土流失治理，在渭河、泾河、沣河流域实施湿地保护与恢复工程，力争到2020年，建成淳化冶峪河、三原清峪河、旬邑马栏河三个国家级湿地公园，争取咸阳沣渭（咸阳湖、咸阳湖二期、沣河、沿渭）湿地公园和彬县泾河公刘（彬湖）湿地公园列入国家湿地公园试点建设。将咸阳奥体（文体功能区）湿地公园、泾阳泾河湿地公园、武功五彩渭水园湿地公园、兴平渭河千亩荷塘（包括纺织工业园）湿地公园、乾县乾坤湖湿地公园等5个湿地公园纳入中省湿地保护与恢复项目。在泾河东庄水库、黑河亭口水库建设中，规划建设好两个库区的湿地保护与恢复项目，栽植湿地保护和水源涵养林，维护库区的生物多样性，探索湿地保护与自然生态保护新途径，到2020年全市湿地保护面积达到15.4万亩。</w:t>
      </w:r>
    </w:p>
    <w:p>
      <w:pPr>
        <w:spacing w:line="600" w:lineRule="exact"/>
        <w:ind w:firstLine="638"/>
        <w:rPr>
          <w:rFonts w:ascii="Times New Roman"/>
          <w:b/>
          <w:color w:val="000000"/>
          <w:spacing w:val="-1"/>
          <w:sz w:val="32"/>
          <w:szCs w:val="32"/>
        </w:rPr>
      </w:pPr>
      <w:r>
        <w:rPr>
          <w:rFonts w:ascii="Times New Roman" w:eastAsia="楷体_GB2312"/>
          <w:b/>
          <w:color w:val="000000"/>
          <w:spacing w:val="-1"/>
          <w:kern w:val="0"/>
          <w:sz w:val="32"/>
          <w:szCs w:val="32"/>
        </w:rPr>
        <w:t>实施重大生态修复工程。</w:t>
      </w:r>
      <w:r>
        <w:rPr>
          <w:rFonts w:ascii="Times New Roman"/>
          <w:b/>
          <w:color w:val="000000"/>
          <w:spacing w:val="-1"/>
          <w:kern w:val="0"/>
          <w:sz w:val="32"/>
          <w:szCs w:val="32"/>
        </w:rPr>
        <w:t>按照“大思路、大规划、大实施、大成果”理念，加快实施</w:t>
      </w:r>
      <w:r>
        <w:rPr>
          <w:rFonts w:hint="eastAsia" w:ascii="Times New Roman"/>
          <w:b/>
          <w:color w:val="000000"/>
          <w:spacing w:val="-1"/>
          <w:kern w:val="0"/>
          <w:sz w:val="32"/>
          <w:szCs w:val="32"/>
        </w:rPr>
        <w:t>“</w:t>
      </w:r>
      <w:r>
        <w:rPr>
          <w:rFonts w:ascii="Times New Roman"/>
          <w:b/>
          <w:color w:val="000000"/>
          <w:spacing w:val="-1"/>
          <w:kern w:val="0"/>
          <w:sz w:val="32"/>
          <w:szCs w:val="32"/>
        </w:rPr>
        <w:t>旱腰带</w:t>
      </w:r>
      <w:r>
        <w:rPr>
          <w:rFonts w:hint="eastAsia" w:ascii="Times New Roman"/>
          <w:b/>
          <w:color w:val="000000"/>
          <w:spacing w:val="-1"/>
          <w:kern w:val="0"/>
          <w:sz w:val="32"/>
          <w:szCs w:val="32"/>
        </w:rPr>
        <w:t>”</w:t>
      </w:r>
      <w:r>
        <w:rPr>
          <w:rFonts w:ascii="Times New Roman"/>
          <w:b/>
          <w:color w:val="000000"/>
          <w:spacing w:val="-1"/>
          <w:kern w:val="0"/>
          <w:sz w:val="32"/>
          <w:szCs w:val="32"/>
        </w:rPr>
        <w:t>地区生态修复工程，着力打造光伏发电带、畜牧养殖带、景观旅游带、建材产业带和生态保护屏障带，推动</w:t>
      </w:r>
      <w:r>
        <w:rPr>
          <w:rFonts w:hint="eastAsia" w:ascii="Times New Roman"/>
          <w:b/>
          <w:color w:val="000000"/>
          <w:spacing w:val="-1"/>
          <w:kern w:val="0"/>
          <w:sz w:val="32"/>
          <w:szCs w:val="32"/>
        </w:rPr>
        <w:t>“</w:t>
      </w:r>
      <w:r>
        <w:rPr>
          <w:rFonts w:ascii="Times New Roman"/>
          <w:b/>
          <w:color w:val="000000"/>
          <w:spacing w:val="-1"/>
          <w:kern w:val="0"/>
          <w:sz w:val="32"/>
          <w:szCs w:val="32"/>
        </w:rPr>
        <w:t>旱腰带</w:t>
      </w:r>
      <w:r>
        <w:rPr>
          <w:rFonts w:hint="eastAsia" w:ascii="Times New Roman"/>
          <w:b/>
          <w:color w:val="000000"/>
          <w:spacing w:val="-1"/>
          <w:kern w:val="0"/>
          <w:sz w:val="32"/>
          <w:szCs w:val="32"/>
        </w:rPr>
        <w:t>”</w:t>
      </w:r>
      <w:r>
        <w:rPr>
          <w:rFonts w:ascii="Times New Roman"/>
          <w:b/>
          <w:color w:val="000000"/>
          <w:spacing w:val="-1"/>
          <w:kern w:val="0"/>
          <w:sz w:val="32"/>
          <w:szCs w:val="32"/>
        </w:rPr>
        <w:t>地区发展方式和生态环境实现质的转变。加快实施新一轮退耕还林工程，积极稳妥地推进25度以上坡耕地退耕还林，对符合条件的疏林地、无林地实施封山育林。结合移民搬迁，重点抓好生态脆弱区、渭北旱塬水土流失严重区退耕还林和生态修复</w:t>
      </w:r>
      <w:r>
        <w:rPr>
          <w:rFonts w:ascii="Times New Roman"/>
          <w:b/>
          <w:color w:val="000000"/>
          <w:spacing w:val="-1"/>
          <w:sz w:val="32"/>
          <w:szCs w:val="32"/>
        </w:rPr>
        <w:t>。加快推进渭北</w:t>
      </w:r>
      <w:r>
        <w:rPr>
          <w:rFonts w:hint="eastAsia" w:ascii="Times New Roman"/>
          <w:b/>
          <w:color w:val="000000"/>
          <w:spacing w:val="-1"/>
          <w:sz w:val="32"/>
          <w:szCs w:val="32"/>
        </w:rPr>
        <w:t>“</w:t>
      </w:r>
      <w:r>
        <w:rPr>
          <w:rFonts w:ascii="Times New Roman"/>
          <w:b/>
          <w:color w:val="000000"/>
          <w:spacing w:val="-1"/>
          <w:sz w:val="32"/>
          <w:szCs w:val="32"/>
        </w:rPr>
        <w:t>旱腰带</w:t>
      </w:r>
      <w:r>
        <w:rPr>
          <w:rFonts w:hint="eastAsia" w:ascii="Times New Roman"/>
          <w:b/>
          <w:color w:val="000000"/>
          <w:spacing w:val="-1"/>
          <w:sz w:val="32"/>
          <w:szCs w:val="32"/>
        </w:rPr>
        <w:t>”</w:t>
      </w:r>
      <w:r>
        <w:rPr>
          <w:rFonts w:ascii="Times New Roman"/>
          <w:b/>
          <w:color w:val="000000"/>
          <w:spacing w:val="-1"/>
          <w:sz w:val="32"/>
          <w:szCs w:val="32"/>
        </w:rPr>
        <w:t>石灰石开采区、彬长旬煤矿采空区自然生态环境的综合治理，促进工矿区生态恢复。强化重点区域绿化建设，加快形成道路河流林带化、城镇乡村园林化、环城坡面风景化、矿区景点生态化的造林绿化新格局，“十三五”期间重点完成马栏、乾陵、昭陵核心景区绿化3万亩；新建成干线公路两侧各1000米范围内直观坡面绿化率达到60%以上，80%以上的县城环城林带初步形成，城市建成区绿地率达到35%以上。</w:t>
      </w:r>
    </w:p>
    <w:p>
      <w:pPr>
        <w:spacing w:line="600" w:lineRule="exact"/>
        <w:ind w:firstLine="643"/>
        <w:rPr>
          <w:rFonts w:ascii="Times New Roman"/>
          <w:b/>
          <w:color w:val="000000"/>
          <w:sz w:val="32"/>
          <w:szCs w:val="32"/>
        </w:rPr>
      </w:pPr>
      <w:r>
        <w:rPr>
          <w:rFonts w:ascii="Times New Roman" w:eastAsia="楷体_GB2312"/>
          <w:b/>
          <w:color w:val="000000"/>
          <w:kern w:val="0"/>
          <w:sz w:val="32"/>
          <w:szCs w:val="32"/>
        </w:rPr>
        <w:t>持续推进绿色家园建设。</w:t>
      </w:r>
      <w:r>
        <w:rPr>
          <w:rFonts w:ascii="Times New Roman"/>
          <w:b/>
          <w:color w:val="000000"/>
          <w:sz w:val="32"/>
          <w:szCs w:val="32"/>
        </w:rPr>
        <w:t>巩固扩大创建全国绿化模范城市成果，持续提升城乡绿化水平，初步形成城市森林化、城区园林化、通道林荫化、农村片林化的城乡一体化新格局。以创建“绿色村庄、绿色庭院、绿色道路、绿色校园、绿色单位、绿色县城”为主题，高标准建设“三化一片林”绿色家园示范村100个。</w:t>
      </w:r>
    </w:p>
    <w:p>
      <w:pPr>
        <w:spacing w:line="300" w:lineRule="exact"/>
        <w:ind w:firstLine="0" w:firstLineChars="0"/>
        <w:rPr>
          <w:rFonts w:ascii="Times New Roman" w:eastAsia="宋体"/>
          <w:b/>
          <w:color w:val="000000"/>
          <w:spacing w:val="6"/>
          <w:sz w:val="32"/>
          <w:szCs w:val="32"/>
        </w:rPr>
      </w:pPr>
    </w:p>
    <w:p>
      <w:pPr>
        <w:numPr>
          <w:ilvl w:val="0"/>
          <w:numId w:val="11"/>
        </w:numPr>
        <w:spacing w:line="600" w:lineRule="exact"/>
        <w:ind w:firstLine="0" w:firstLineChars="0"/>
        <w:jc w:val="center"/>
        <w:rPr>
          <w:rFonts w:ascii="Times New Roman" w:eastAsia="宋体"/>
          <w:b/>
          <w:color w:val="000000"/>
          <w:kern w:val="0"/>
          <w:sz w:val="32"/>
          <w:szCs w:val="32"/>
        </w:rPr>
      </w:pPr>
      <w:r>
        <w:rPr>
          <w:rFonts w:ascii="Times New Roman" w:eastAsia="宋体"/>
          <w:b/>
          <w:color w:val="000000"/>
          <w:kern w:val="0"/>
          <w:sz w:val="32"/>
          <w:szCs w:val="32"/>
        </w:rPr>
        <w:t xml:space="preserve"> 完善生态文明制度</w:t>
      </w:r>
    </w:p>
    <w:p>
      <w:pPr>
        <w:spacing w:line="300" w:lineRule="exact"/>
        <w:ind w:firstLine="0" w:firstLineChars="0"/>
        <w:rPr>
          <w:rFonts w:ascii="Times New Roman" w:eastAsia="宋体"/>
          <w:b/>
          <w:color w:val="000000"/>
          <w:spacing w:val="6"/>
          <w:sz w:val="32"/>
          <w:szCs w:val="32"/>
        </w:rPr>
      </w:pPr>
    </w:p>
    <w:p>
      <w:pPr>
        <w:spacing w:line="600" w:lineRule="exact"/>
        <w:ind w:firstLine="602"/>
        <w:jc w:val="left"/>
        <w:rPr>
          <w:rFonts w:ascii="Times New Roman" w:eastAsia="黑体"/>
          <w:b/>
          <w:color w:val="000000"/>
        </w:rPr>
      </w:pPr>
      <w:r>
        <w:rPr>
          <w:rFonts w:ascii="Times New Roman"/>
          <w:b/>
          <w:color w:val="000000"/>
        </w:rPr>
        <w:t>全面落实生态空间用途管制，实施生态保护红线管理制度和生态补偿制度。完善生态文明绩效评价考核和责任追究制度，制定完善生</w:t>
      </w:r>
      <w:r>
        <w:rPr>
          <w:rFonts w:ascii="Times New Roman"/>
          <w:b/>
          <w:color w:val="000000"/>
          <w:shd w:val="clear" w:color="auto" w:fill="FFFFFF"/>
        </w:rPr>
        <w:t>态文明建设目标体系，建立资源环境承载能力监测预警机制，探索开展领导干部自然资源资产离任审计试点，建立生态环境损害责任终身追究制。大力支持开展环境污染第三方治理试点。探索推行用能权、用水权、排污权和碳排放权初始分配制度，加快环境污染责任保险和重污染企业退出机制建设。加大生态环境保护投入力度，进一步健全完善农村环境保护监管机制。积极应对气候变化，</w:t>
      </w:r>
      <w:r>
        <w:rPr>
          <w:rFonts w:ascii="Times New Roman"/>
          <w:b/>
          <w:color w:val="000000"/>
        </w:rPr>
        <w:t>编制《咸阳市气候清单》。落实碳排放总量控制制度，探索开展企业碳排放权交易。</w:t>
      </w:r>
      <w:r>
        <w:rPr>
          <w:rFonts w:ascii="Times New Roman"/>
          <w:b/>
          <w:color w:val="000000"/>
          <w:shd w:val="clear" w:color="auto" w:fill="FFFFFF"/>
        </w:rPr>
        <w:t>加强防灾减灾体系建设，有效减轻极端及灾害气候对经济社会发展的影响。完善环保信息公开和举报制度，强化生产性企业污染物排放情况执法监管和社会监督。</w:t>
      </w:r>
      <w:r>
        <w:rPr>
          <w:rFonts w:ascii="Times New Roman" w:eastAsia="黑体"/>
          <w:b/>
          <w:color w:val="000000"/>
        </w:rPr>
        <w:br w:type="page"/>
      </w:r>
      <w:bookmarkStart w:id="49" w:name="_Toc439878098"/>
    </w:p>
    <w:p>
      <w:pPr>
        <w:spacing w:line="600" w:lineRule="exact"/>
        <w:ind w:firstLine="0" w:firstLineChars="0"/>
        <w:jc w:val="center"/>
        <w:rPr>
          <w:rFonts w:hint="eastAsia" w:ascii="方正小标宋_GBK" w:hAnsi="方正小标宋_GBK" w:eastAsia="方正小标宋_GBK" w:cs="方正小标宋_GBK"/>
          <w:b/>
          <w:color w:val="000000"/>
          <w:kern w:val="0"/>
          <w:sz w:val="44"/>
          <w:szCs w:val="44"/>
        </w:rPr>
      </w:pPr>
      <w:r>
        <w:rPr>
          <w:rFonts w:hint="eastAsia" w:ascii="方正小标宋_GBK" w:hAnsi="方正小标宋_GBK" w:eastAsia="方正小标宋_GBK" w:cs="方正小标宋_GBK"/>
          <w:b/>
          <w:color w:val="000000"/>
          <w:kern w:val="0"/>
          <w:sz w:val="44"/>
          <w:szCs w:val="44"/>
        </w:rPr>
        <w:t>第五篇  聚焦开放发展  打造改革开放新高地</w:t>
      </w:r>
      <w:bookmarkEnd w:id="49"/>
    </w:p>
    <w:p>
      <w:pPr>
        <w:spacing w:line="600" w:lineRule="exact"/>
        <w:ind w:firstLine="883"/>
        <w:jc w:val="center"/>
        <w:rPr>
          <w:rFonts w:hint="eastAsia" w:ascii="方正小标宋_GBK" w:hAnsi="方正小标宋_GBK" w:eastAsia="方正小标宋_GBK" w:cs="方正小标宋_GBK"/>
          <w:b/>
          <w:color w:val="000000"/>
          <w:kern w:val="0"/>
          <w:sz w:val="44"/>
          <w:szCs w:val="44"/>
        </w:rPr>
      </w:pPr>
    </w:p>
    <w:p>
      <w:pPr>
        <w:spacing w:line="600" w:lineRule="exact"/>
        <w:ind w:firstLine="643"/>
        <w:rPr>
          <w:rFonts w:ascii="Times New Roman"/>
          <w:b/>
          <w:color w:val="000000"/>
          <w:sz w:val="32"/>
          <w:szCs w:val="32"/>
        </w:rPr>
      </w:pPr>
      <w:r>
        <w:rPr>
          <w:rFonts w:ascii="Times New Roman"/>
          <w:b/>
          <w:color w:val="000000"/>
          <w:sz w:val="32"/>
          <w:szCs w:val="32"/>
        </w:rPr>
        <w:t>坚持以开放促改革、以改革促发展，深入推进重点领域和关键环节改革，着力破解制约经济社会发展的体制机制障碍，进一步解放和发展社会生产力。积极主动融入“一带一路”建设，推动对内对外开放相互促进、“引进来”和“走出去”更好结合。</w:t>
      </w:r>
    </w:p>
    <w:p>
      <w:pPr>
        <w:spacing w:line="300" w:lineRule="exact"/>
        <w:ind w:firstLine="0" w:firstLineChars="0"/>
        <w:rPr>
          <w:rFonts w:ascii="Times New Roman" w:eastAsia="宋体"/>
          <w:b/>
          <w:color w:val="000000"/>
          <w:spacing w:val="6"/>
          <w:sz w:val="32"/>
          <w:szCs w:val="32"/>
        </w:rPr>
      </w:pPr>
    </w:p>
    <w:p>
      <w:pPr>
        <w:keepNext/>
        <w:keepLines/>
        <w:spacing w:line="600" w:lineRule="exact"/>
        <w:ind w:firstLine="0" w:firstLineChars="0"/>
        <w:jc w:val="center"/>
        <w:outlineLvl w:val="2"/>
        <w:rPr>
          <w:rFonts w:ascii="Times New Roman" w:eastAsia="黑体"/>
          <w:b/>
          <w:color w:val="000000"/>
          <w:kern w:val="0"/>
          <w:sz w:val="32"/>
          <w:szCs w:val="32"/>
        </w:rPr>
      </w:pPr>
      <w:bookmarkStart w:id="50" w:name="_Toc439878099"/>
      <w:r>
        <w:rPr>
          <w:rFonts w:ascii="Times New Roman" w:eastAsia="黑体"/>
          <w:b/>
          <w:color w:val="000000"/>
          <w:kern w:val="0"/>
          <w:sz w:val="32"/>
          <w:szCs w:val="32"/>
        </w:rPr>
        <w:t>第十六章  推进供给侧结构性改革</w:t>
      </w:r>
      <w:bookmarkEnd w:id="50"/>
      <w:r>
        <w:rPr>
          <w:rFonts w:ascii="Times New Roman" w:eastAsia="黑体"/>
          <w:b/>
          <w:color w:val="000000"/>
          <w:kern w:val="0"/>
          <w:sz w:val="32"/>
          <w:szCs w:val="32"/>
        </w:rPr>
        <w:t xml:space="preserve">                                                                          </w:t>
      </w:r>
    </w:p>
    <w:p>
      <w:pPr>
        <w:spacing w:line="300" w:lineRule="exact"/>
        <w:ind w:firstLine="643"/>
        <w:rPr>
          <w:rFonts w:ascii="Times New Roman"/>
          <w:b/>
          <w:color w:val="000000"/>
          <w:kern w:val="0"/>
          <w:sz w:val="32"/>
          <w:szCs w:val="32"/>
        </w:rPr>
      </w:pPr>
    </w:p>
    <w:p>
      <w:pPr>
        <w:spacing w:line="600" w:lineRule="exact"/>
        <w:ind w:firstLine="643"/>
        <w:rPr>
          <w:rFonts w:ascii="Times New Roman"/>
          <w:b/>
          <w:color w:val="000000"/>
          <w:sz w:val="32"/>
          <w:szCs w:val="32"/>
        </w:rPr>
      </w:pPr>
      <w:r>
        <w:rPr>
          <w:rFonts w:ascii="Times New Roman"/>
          <w:b/>
          <w:color w:val="000000"/>
          <w:sz w:val="32"/>
          <w:szCs w:val="32"/>
        </w:rPr>
        <w:t>正确处理好政府和市场的关系，使市场在资源配置中起决定性作用和更好发挥政府作用，以打好“去产能、去库存、去杠杆、降成本、补短板”五大任务的歼灭战为突破口，努力在重点领域和关键环节改革上取得决定性成果，形成系统完备、科学规范、运行有效的制度体系，推动经济社会持续健康发展。</w:t>
      </w:r>
    </w:p>
    <w:p>
      <w:pPr>
        <w:spacing w:line="300" w:lineRule="exact"/>
        <w:ind w:firstLine="0" w:firstLineChars="0"/>
        <w:rPr>
          <w:rFonts w:ascii="Times New Roman" w:eastAsia="宋体"/>
          <w:b/>
          <w:color w:val="000000"/>
          <w:spacing w:val="6"/>
          <w:sz w:val="32"/>
          <w:szCs w:val="32"/>
        </w:rPr>
      </w:pPr>
    </w:p>
    <w:p>
      <w:pPr>
        <w:spacing w:line="600" w:lineRule="exact"/>
        <w:ind w:firstLine="0" w:firstLineChars="0"/>
        <w:jc w:val="center"/>
        <w:rPr>
          <w:rFonts w:ascii="Times New Roman" w:eastAsia="宋体"/>
          <w:b/>
          <w:color w:val="000000"/>
          <w:kern w:val="0"/>
          <w:sz w:val="32"/>
          <w:szCs w:val="32"/>
        </w:rPr>
      </w:pPr>
      <w:r>
        <w:rPr>
          <w:rFonts w:ascii="Times New Roman" w:eastAsia="宋体"/>
          <w:b/>
          <w:color w:val="000000"/>
          <w:kern w:val="0"/>
          <w:sz w:val="32"/>
          <w:szCs w:val="32"/>
        </w:rPr>
        <w:t>第一节  深化行政管理体制改革</w:t>
      </w:r>
    </w:p>
    <w:p>
      <w:pPr>
        <w:spacing w:line="300" w:lineRule="exact"/>
        <w:ind w:firstLine="0" w:firstLineChars="0"/>
        <w:rPr>
          <w:rFonts w:ascii="Times New Roman" w:eastAsia="宋体"/>
          <w:b/>
          <w:color w:val="000000"/>
          <w:spacing w:val="6"/>
          <w:sz w:val="32"/>
          <w:szCs w:val="32"/>
        </w:rPr>
      </w:pPr>
    </w:p>
    <w:p>
      <w:pPr>
        <w:spacing w:line="600" w:lineRule="exact"/>
        <w:ind w:firstLine="643"/>
        <w:rPr>
          <w:rFonts w:ascii="Times New Roman" w:eastAsia="楷体_GB2312"/>
          <w:b/>
          <w:color w:val="000000"/>
          <w:sz w:val="32"/>
          <w:szCs w:val="32"/>
        </w:rPr>
      </w:pPr>
      <w:r>
        <w:rPr>
          <w:rFonts w:ascii="Times New Roman"/>
          <w:b/>
          <w:color w:val="000000"/>
          <w:sz w:val="32"/>
          <w:szCs w:val="32"/>
        </w:rPr>
        <w:t>深化行政审批制度改革。持续推进简政放权、放管结合、优化服务，提高政府效能。做好中省下放的审批事项承接落实工作，加大取消和下放行政审批事项力度，精简前置审批环节和中介服务事项，加强事</w:t>
      </w:r>
      <w:r>
        <w:rPr>
          <w:rFonts w:ascii="Times New Roman"/>
          <w:b/>
          <w:color w:val="000000"/>
          <w:sz w:val="32"/>
          <w:szCs w:val="32"/>
          <w:shd w:val="clear" w:color="auto" w:fill="FFFFFF"/>
        </w:rPr>
        <w:t>中事后监管</w:t>
      </w:r>
      <w:r>
        <w:rPr>
          <w:rFonts w:ascii="Times New Roman"/>
          <w:b/>
          <w:color w:val="000000"/>
          <w:sz w:val="32"/>
          <w:szCs w:val="32"/>
        </w:rPr>
        <w:t>，进一步降低制度性交易成本。启动投资项目在线审批模式，全面推行并联审批核准制度。</w:t>
      </w:r>
      <w:r>
        <w:rPr>
          <w:rFonts w:ascii="Times New Roman"/>
          <w:b/>
          <w:color w:val="000000"/>
          <w:sz w:val="32"/>
          <w:szCs w:val="32"/>
          <w:shd w:val="clear" w:color="auto" w:fill="FFFFFF"/>
        </w:rPr>
        <w:t>深化商事制度改革，加快推进行政审批标准化、信息化。进一步规范行政权力运行，建立健全权力清单、责任清单、负面清单制度。</w:t>
      </w:r>
      <w:r>
        <w:rPr>
          <w:rFonts w:ascii="Times New Roman"/>
          <w:b/>
          <w:color w:val="000000"/>
          <w:sz w:val="32"/>
          <w:szCs w:val="32"/>
        </w:rPr>
        <w:t>创新行政管理方式，</w:t>
      </w:r>
      <w:r>
        <w:rPr>
          <w:rFonts w:ascii="Times New Roman"/>
          <w:b/>
          <w:color w:val="000000"/>
          <w:sz w:val="32"/>
          <w:szCs w:val="32"/>
          <w:shd w:val="clear" w:color="auto" w:fill="FFFFFF"/>
        </w:rPr>
        <w:t>推进政务公开，加强绩效管理，强化行政问责，提高政府效能。稳妥推进事业单位改革，完善事业单位管理体制和运行机制。</w:t>
      </w:r>
    </w:p>
    <w:p>
      <w:pPr>
        <w:spacing w:line="300" w:lineRule="exact"/>
        <w:ind w:firstLine="0" w:firstLineChars="0"/>
        <w:rPr>
          <w:rFonts w:ascii="Times New Roman" w:eastAsia="宋体"/>
          <w:b/>
          <w:color w:val="000000"/>
          <w:spacing w:val="6"/>
          <w:sz w:val="32"/>
          <w:szCs w:val="32"/>
        </w:rPr>
      </w:pPr>
    </w:p>
    <w:p>
      <w:pPr>
        <w:spacing w:line="600" w:lineRule="exact"/>
        <w:ind w:firstLine="0" w:firstLineChars="0"/>
        <w:jc w:val="center"/>
        <w:rPr>
          <w:rFonts w:ascii="Times New Roman" w:eastAsia="宋体"/>
          <w:b/>
          <w:color w:val="000000"/>
          <w:kern w:val="0"/>
          <w:sz w:val="32"/>
          <w:szCs w:val="32"/>
        </w:rPr>
      </w:pPr>
      <w:r>
        <w:rPr>
          <w:rFonts w:ascii="Times New Roman" w:eastAsia="宋体"/>
          <w:b/>
          <w:color w:val="000000"/>
          <w:kern w:val="0"/>
          <w:sz w:val="32"/>
          <w:szCs w:val="32"/>
        </w:rPr>
        <w:t>第二节  深化国有企业改革</w:t>
      </w:r>
    </w:p>
    <w:p>
      <w:pPr>
        <w:spacing w:line="300" w:lineRule="exact"/>
        <w:ind w:firstLine="0" w:firstLineChars="0"/>
        <w:rPr>
          <w:rFonts w:ascii="Times New Roman" w:eastAsia="宋体"/>
          <w:b/>
          <w:color w:val="000000"/>
          <w:spacing w:val="6"/>
          <w:sz w:val="32"/>
          <w:szCs w:val="32"/>
        </w:rPr>
      </w:pPr>
    </w:p>
    <w:p>
      <w:pPr>
        <w:pStyle w:val="16"/>
        <w:spacing w:before="0" w:beforeAutospacing="0" w:after="0" w:afterAutospacing="0" w:line="600" w:lineRule="exact"/>
        <w:ind w:firstLine="643"/>
        <w:rPr>
          <w:rFonts w:ascii="Times New Roman"/>
          <w:b/>
          <w:color w:val="000000"/>
          <w:sz w:val="32"/>
          <w:szCs w:val="32"/>
          <w:shd w:val="clear" w:color="auto" w:fill="FFFFFF"/>
        </w:rPr>
      </w:pPr>
      <w:r>
        <w:rPr>
          <w:rFonts w:ascii="Times New Roman"/>
          <w:b/>
          <w:color w:val="000000"/>
          <w:sz w:val="32"/>
          <w:szCs w:val="32"/>
          <w:shd w:val="clear" w:color="auto" w:fill="FFFFFF"/>
        </w:rPr>
        <w:t>完善现代企业制度，健全法人治理结构</w:t>
      </w:r>
      <w:r>
        <w:rPr>
          <w:rFonts w:ascii="Times New Roman"/>
          <w:b/>
          <w:color w:val="000000"/>
          <w:sz w:val="32"/>
          <w:szCs w:val="32"/>
        </w:rPr>
        <w:t>，深化企业内部劳动、人事、分配三项制度改革。完善市属国有资产管理体制，</w:t>
      </w:r>
      <w:r>
        <w:rPr>
          <w:rFonts w:ascii="Times New Roman"/>
          <w:b/>
          <w:color w:val="000000"/>
          <w:sz w:val="32"/>
          <w:szCs w:val="32"/>
          <w:shd w:val="clear" w:color="auto" w:fill="FFFFFF"/>
        </w:rPr>
        <w:t>以管资本为主加强国有资产监管，实现经营性国有资产集中统一监管，防止国有资产流失，促进国有资产保值增值。</w:t>
      </w:r>
      <w:r>
        <w:rPr>
          <w:rFonts w:ascii="Times New Roman"/>
          <w:b/>
          <w:color w:val="000000"/>
          <w:sz w:val="32"/>
          <w:szCs w:val="32"/>
        </w:rPr>
        <w:t>改革市属国有资本授权经营体制，采取划转、合并、分立、重组等多种方式，改组建一批国有资本投资、运营公司。完善国有资本经营预算制度，进一步提高国有资本收益上缴公共财政比例。推动国有资本、集体资本和非公有资本等交叉持股，发展混合所有制经济。优化企业发展环境，</w:t>
      </w:r>
      <w:r>
        <w:rPr>
          <w:rFonts w:ascii="Times New Roman"/>
          <w:b/>
          <w:color w:val="000000"/>
          <w:sz w:val="32"/>
          <w:szCs w:val="32"/>
          <w:shd w:val="clear" w:color="auto" w:fill="FFFFFF"/>
        </w:rPr>
        <w:t>开展降低实体经济企业成本行动，清理和规范涉企行政事业性收费。依法保护各种所有制经济利益，依法保护企业家财产权和创新收益。</w:t>
      </w:r>
    </w:p>
    <w:p>
      <w:pPr>
        <w:spacing w:line="300" w:lineRule="exact"/>
        <w:ind w:firstLine="0" w:firstLineChars="0"/>
        <w:rPr>
          <w:rFonts w:ascii="Times New Roman" w:eastAsia="宋体"/>
          <w:b/>
          <w:color w:val="000000"/>
          <w:spacing w:val="6"/>
          <w:sz w:val="32"/>
          <w:szCs w:val="32"/>
        </w:rPr>
      </w:pPr>
    </w:p>
    <w:p>
      <w:pPr>
        <w:numPr>
          <w:ilvl w:val="0"/>
          <w:numId w:val="12"/>
        </w:numPr>
        <w:spacing w:line="600" w:lineRule="exact"/>
        <w:ind w:firstLine="0" w:firstLineChars="0"/>
        <w:jc w:val="center"/>
        <w:rPr>
          <w:rFonts w:ascii="Times New Roman" w:eastAsia="宋体"/>
          <w:b/>
          <w:color w:val="000000"/>
          <w:kern w:val="0"/>
          <w:sz w:val="32"/>
          <w:szCs w:val="32"/>
        </w:rPr>
      </w:pPr>
      <w:r>
        <w:rPr>
          <w:rFonts w:ascii="Times New Roman" w:eastAsia="宋体"/>
          <w:b/>
          <w:color w:val="000000"/>
          <w:kern w:val="0"/>
          <w:sz w:val="32"/>
          <w:szCs w:val="32"/>
        </w:rPr>
        <w:t xml:space="preserve"> 深化要素市场体系改革</w:t>
      </w:r>
    </w:p>
    <w:p>
      <w:pPr>
        <w:spacing w:line="300" w:lineRule="exact"/>
        <w:ind w:firstLine="0" w:firstLineChars="0"/>
        <w:rPr>
          <w:rFonts w:ascii="Times New Roman" w:eastAsia="宋体"/>
          <w:b/>
          <w:color w:val="000000"/>
          <w:spacing w:val="6"/>
          <w:sz w:val="32"/>
          <w:szCs w:val="32"/>
        </w:rPr>
      </w:pPr>
    </w:p>
    <w:p>
      <w:pPr>
        <w:pStyle w:val="16"/>
        <w:spacing w:before="0" w:beforeAutospacing="0" w:after="0" w:afterAutospacing="0" w:line="600" w:lineRule="exact"/>
        <w:ind w:firstLine="643"/>
        <w:jc w:val="both"/>
        <w:rPr>
          <w:rFonts w:ascii="Times New Roman"/>
          <w:b/>
          <w:color w:val="000000"/>
          <w:sz w:val="32"/>
          <w:szCs w:val="32"/>
          <w:shd w:val="clear" w:color="auto" w:fill="FFFFFF"/>
        </w:rPr>
      </w:pPr>
      <w:r>
        <w:rPr>
          <w:rFonts w:ascii="Times New Roman"/>
          <w:b/>
          <w:color w:val="000000"/>
          <w:sz w:val="32"/>
          <w:szCs w:val="32"/>
          <w:shd w:val="clear" w:color="auto" w:fill="FFFFFF"/>
        </w:rPr>
        <w:t>发挥市场配置资源的决定性作用，建立全市公共资源交易平台，推动要素自由流动和公平交换。稳定农村土地承包关系，完善土地所有权、承包权、经营权分置办法，引导农村产权流转交易市场体系建设，依法推进土地经营权规范有序流转。深化农村土地制度改革，完善农村集体产权制度，赋予农民对集体资产股份占有、收益等权能</w:t>
      </w:r>
      <w:r>
        <w:rPr>
          <w:rFonts w:ascii="Times New Roman"/>
          <w:b/>
          <w:color w:val="000000"/>
          <w:sz w:val="32"/>
          <w:szCs w:val="32"/>
        </w:rPr>
        <w:t>，积极探索农村土地征收、经营性建设用地入市、宅基地制度改革途径和形式，实现土地经营权资产化。建立统一高效的人力资源市场体系，破除人力资源市场的城乡、地区、行业分割和身份歧视，维护劳动者平等就业权利。加快发展技术市场，健全知识产权运用体系和技术转移机制。</w:t>
      </w:r>
      <w:r>
        <w:rPr>
          <w:rFonts w:ascii="Times New Roman"/>
          <w:b/>
          <w:color w:val="000000"/>
          <w:sz w:val="32"/>
          <w:szCs w:val="32"/>
          <w:shd w:val="clear" w:color="auto" w:fill="FFFFFF"/>
        </w:rPr>
        <w:t>完善重点领域价格形成机制，健全价格调控机制和政府定价制度，形成主要由市场决定价格的机制。完善煤电价格联动机制，积极实施直供电和低电价区改革，</w:t>
      </w:r>
      <w:r>
        <w:rPr>
          <w:rFonts w:ascii="Times New Roman"/>
          <w:b/>
          <w:color w:val="000000"/>
          <w:sz w:val="32"/>
          <w:szCs w:val="32"/>
        </w:rPr>
        <w:t>进一步降低企业电力价格</w:t>
      </w:r>
      <w:r>
        <w:rPr>
          <w:rFonts w:ascii="Times New Roman"/>
          <w:b/>
          <w:color w:val="000000"/>
          <w:sz w:val="32"/>
          <w:szCs w:val="32"/>
          <w:shd w:val="clear" w:color="auto" w:fill="FFFFFF"/>
        </w:rPr>
        <w:t>。</w:t>
      </w:r>
    </w:p>
    <w:p>
      <w:pPr>
        <w:spacing w:line="300" w:lineRule="exact"/>
        <w:ind w:firstLine="0" w:firstLineChars="0"/>
        <w:rPr>
          <w:rFonts w:ascii="Times New Roman" w:eastAsia="宋体"/>
          <w:b/>
          <w:color w:val="000000"/>
          <w:spacing w:val="6"/>
          <w:sz w:val="32"/>
          <w:szCs w:val="32"/>
        </w:rPr>
      </w:pPr>
    </w:p>
    <w:p>
      <w:pPr>
        <w:spacing w:line="600" w:lineRule="exact"/>
        <w:ind w:firstLine="0" w:firstLineChars="0"/>
        <w:jc w:val="center"/>
        <w:rPr>
          <w:rFonts w:ascii="Times New Roman" w:eastAsia="宋体"/>
          <w:b/>
          <w:color w:val="000000"/>
          <w:kern w:val="0"/>
          <w:sz w:val="32"/>
          <w:szCs w:val="32"/>
        </w:rPr>
      </w:pPr>
      <w:r>
        <w:rPr>
          <w:rFonts w:ascii="Times New Roman" w:eastAsia="宋体"/>
          <w:b/>
          <w:color w:val="000000"/>
          <w:kern w:val="0"/>
          <w:sz w:val="32"/>
          <w:szCs w:val="32"/>
        </w:rPr>
        <w:t>第四节  深化财税体制改革</w:t>
      </w:r>
    </w:p>
    <w:p>
      <w:pPr>
        <w:spacing w:line="300" w:lineRule="exact"/>
        <w:ind w:firstLine="0" w:firstLineChars="0"/>
        <w:rPr>
          <w:rFonts w:ascii="Times New Roman" w:eastAsia="宋体"/>
          <w:b/>
          <w:color w:val="000000"/>
          <w:spacing w:val="6"/>
          <w:sz w:val="32"/>
          <w:szCs w:val="32"/>
        </w:rPr>
      </w:pPr>
    </w:p>
    <w:p>
      <w:pPr>
        <w:spacing w:line="600" w:lineRule="exact"/>
        <w:ind w:firstLine="643"/>
        <w:rPr>
          <w:rFonts w:ascii="Times New Roman"/>
          <w:b/>
          <w:color w:val="000000"/>
          <w:sz w:val="32"/>
          <w:szCs w:val="32"/>
        </w:rPr>
      </w:pPr>
      <w:r>
        <w:rPr>
          <w:rFonts w:ascii="Times New Roman"/>
          <w:b/>
          <w:color w:val="000000"/>
          <w:kern w:val="0"/>
          <w:sz w:val="32"/>
          <w:szCs w:val="32"/>
        </w:rPr>
        <w:t>建立全面规范、公开透明的预算制度。建立全口径预算体系，完善部门预算定额标准和预算编制意见征询机制。加</w:t>
      </w:r>
      <w:r>
        <w:rPr>
          <w:rFonts w:ascii="Times New Roman"/>
          <w:b/>
          <w:color w:val="000000"/>
          <w:sz w:val="32"/>
          <w:szCs w:val="32"/>
        </w:rPr>
        <w:t>强财政中长期规划，探索滚动式预算编制，强化规划对年度预算的约束。</w:t>
      </w:r>
      <w:r>
        <w:rPr>
          <w:rFonts w:ascii="Times New Roman"/>
          <w:b/>
          <w:color w:val="000000"/>
          <w:kern w:val="0"/>
          <w:sz w:val="32"/>
          <w:szCs w:val="32"/>
        </w:rPr>
        <w:t>进一步细化政府预决算公开内容，</w:t>
      </w:r>
      <w:r>
        <w:rPr>
          <w:rFonts w:ascii="Times New Roman"/>
          <w:b/>
          <w:color w:val="000000"/>
          <w:sz w:val="32"/>
          <w:szCs w:val="32"/>
        </w:rPr>
        <w:t>全面推进预算绩效管理工作。进一步深化国库集中支付制度改革，加快建立预算执行动态监控机制，落实权责发生制的政府综合财务报告制度。建立科学合理的市与县市区财政分配体制，明确市县政府支出</w:t>
      </w:r>
      <w:r>
        <w:rPr>
          <w:rFonts w:ascii="Times New Roman"/>
          <w:b/>
          <w:color w:val="000000"/>
          <w:kern w:val="0"/>
          <w:sz w:val="32"/>
          <w:szCs w:val="32"/>
        </w:rPr>
        <w:t>责任。落实财政专项资金管理规章制度，建立结转结余资金管理机制。规范地方政府债务管理。建立债务风险预警机制、应急处置机制和责任追究机制，将政府债务收支纳入全口径预算管理，做好存量政府债</w:t>
      </w:r>
      <w:r>
        <w:rPr>
          <w:rFonts w:ascii="Times New Roman"/>
          <w:b/>
          <w:color w:val="000000"/>
          <w:sz w:val="32"/>
          <w:szCs w:val="32"/>
        </w:rPr>
        <w:t>务化解工作。</w:t>
      </w:r>
      <w:r>
        <w:rPr>
          <w:rFonts w:ascii="Times New Roman"/>
          <w:b/>
          <w:color w:val="000000"/>
          <w:kern w:val="0"/>
          <w:sz w:val="32"/>
          <w:szCs w:val="32"/>
        </w:rPr>
        <w:t>完成</w:t>
      </w:r>
      <w:r>
        <w:rPr>
          <w:rFonts w:ascii="Times New Roman"/>
          <w:b/>
          <w:color w:val="000000"/>
          <w:sz w:val="32"/>
          <w:szCs w:val="32"/>
        </w:rPr>
        <w:t>增值税改革和“费改税”工作</w:t>
      </w:r>
      <w:r>
        <w:rPr>
          <w:rFonts w:ascii="Times New Roman"/>
          <w:b/>
          <w:color w:val="000000"/>
          <w:kern w:val="0"/>
          <w:sz w:val="32"/>
          <w:szCs w:val="32"/>
        </w:rPr>
        <w:t>，</w:t>
      </w:r>
      <w:r>
        <w:rPr>
          <w:rFonts w:ascii="Times New Roman"/>
          <w:b/>
          <w:color w:val="000000"/>
          <w:sz w:val="32"/>
          <w:szCs w:val="32"/>
        </w:rPr>
        <w:t>正税清费，降低企业税费负担、社会保险费。</w:t>
      </w:r>
      <w:r>
        <w:rPr>
          <w:rFonts w:ascii="Times New Roman"/>
          <w:b/>
          <w:color w:val="000000"/>
          <w:kern w:val="0"/>
          <w:sz w:val="32"/>
          <w:szCs w:val="32"/>
        </w:rPr>
        <w:t>进一步完善税收制度</w:t>
      </w:r>
      <w:r>
        <w:rPr>
          <w:rFonts w:ascii="Times New Roman"/>
          <w:b/>
          <w:color w:val="000000"/>
          <w:sz w:val="32"/>
          <w:szCs w:val="32"/>
        </w:rPr>
        <w:t>，力争到2020年税收收入占财政收入的比例达到70%以上。</w:t>
      </w:r>
    </w:p>
    <w:p>
      <w:pPr>
        <w:spacing w:line="300" w:lineRule="exact"/>
        <w:ind w:firstLine="0" w:firstLineChars="0"/>
        <w:rPr>
          <w:rFonts w:ascii="Times New Roman" w:eastAsia="宋体"/>
          <w:b/>
          <w:color w:val="000000"/>
          <w:spacing w:val="6"/>
          <w:sz w:val="32"/>
          <w:szCs w:val="32"/>
        </w:rPr>
      </w:pPr>
    </w:p>
    <w:p>
      <w:pPr>
        <w:spacing w:line="600" w:lineRule="exact"/>
        <w:ind w:firstLine="0" w:firstLineChars="0"/>
        <w:jc w:val="center"/>
        <w:rPr>
          <w:rFonts w:ascii="Times New Roman" w:eastAsia="宋体"/>
          <w:b/>
          <w:color w:val="000000"/>
          <w:kern w:val="0"/>
          <w:sz w:val="32"/>
          <w:szCs w:val="32"/>
        </w:rPr>
      </w:pPr>
      <w:r>
        <w:rPr>
          <w:rFonts w:ascii="Times New Roman" w:eastAsia="宋体"/>
          <w:b/>
          <w:color w:val="000000"/>
          <w:kern w:val="0"/>
          <w:sz w:val="32"/>
          <w:szCs w:val="32"/>
        </w:rPr>
        <w:t>第五节  创新投融资体制机制</w:t>
      </w:r>
    </w:p>
    <w:p>
      <w:pPr>
        <w:spacing w:line="300" w:lineRule="exact"/>
        <w:ind w:firstLine="0" w:firstLineChars="0"/>
        <w:rPr>
          <w:rFonts w:ascii="Times New Roman" w:eastAsia="宋体"/>
          <w:b/>
          <w:color w:val="000000"/>
          <w:spacing w:val="6"/>
          <w:sz w:val="32"/>
          <w:szCs w:val="32"/>
        </w:rPr>
      </w:pPr>
    </w:p>
    <w:p>
      <w:pPr>
        <w:pStyle w:val="16"/>
        <w:shd w:val="clear" w:color="auto" w:fill="FFFFFF"/>
        <w:spacing w:before="0" w:beforeAutospacing="0" w:after="0" w:afterAutospacing="0" w:line="600" w:lineRule="exact"/>
        <w:ind w:firstLine="643"/>
        <w:jc w:val="both"/>
        <w:rPr>
          <w:rFonts w:ascii="Times New Roman"/>
          <w:b/>
          <w:color w:val="000000"/>
          <w:sz w:val="32"/>
          <w:szCs w:val="32"/>
        </w:rPr>
      </w:pPr>
      <w:r>
        <w:rPr>
          <w:rFonts w:ascii="Times New Roman"/>
          <w:b/>
          <w:color w:val="000000"/>
          <w:sz w:val="32"/>
          <w:szCs w:val="32"/>
        </w:rPr>
        <w:t>全面推广政府和社会资本合作(PPP)投融资模式，鼓励社会资本参与市政设施、交通水利、公共服务、生态环保等项目建设。整合各类财政专项资金，组建咸阳产业引导基金、城市发展基金，提升政府融资能力。改进财政资金投入方式，对公益性、基础性建设项目实行投资补助、担保补贴、贷款贴息等市场化方式；对创新型、带动型产业项目积极推行财政资金股权投入。发挥政府资金的引导和放大作用，吸引各类金融资本参与设立天使、创业、产业等投资基金，支持创新创业和新兴产业发展。努力扩大地方政府债券发行规模，鼓励符合条件的项目发行项目债，探索建立信贷资金与建设项目对接机制。规范政府投资行为，制定科学的政府投资决策机制。</w:t>
      </w:r>
    </w:p>
    <w:p>
      <w:pPr>
        <w:spacing w:line="300" w:lineRule="exact"/>
        <w:ind w:firstLine="0" w:firstLineChars="0"/>
        <w:rPr>
          <w:rFonts w:ascii="Times New Roman" w:eastAsia="宋体"/>
          <w:b/>
          <w:color w:val="000000"/>
          <w:spacing w:val="6"/>
          <w:sz w:val="32"/>
          <w:szCs w:val="32"/>
        </w:rPr>
      </w:pPr>
    </w:p>
    <w:p>
      <w:pPr>
        <w:spacing w:line="600" w:lineRule="exact"/>
        <w:ind w:firstLine="0" w:firstLineChars="0"/>
        <w:jc w:val="center"/>
        <w:rPr>
          <w:rFonts w:ascii="Times New Roman" w:eastAsia="宋体"/>
          <w:b/>
          <w:color w:val="000000"/>
          <w:kern w:val="0"/>
          <w:sz w:val="32"/>
          <w:szCs w:val="32"/>
        </w:rPr>
      </w:pPr>
      <w:r>
        <w:rPr>
          <w:rFonts w:ascii="Times New Roman" w:eastAsia="宋体"/>
          <w:b/>
          <w:color w:val="000000"/>
          <w:kern w:val="0"/>
          <w:sz w:val="32"/>
          <w:szCs w:val="32"/>
        </w:rPr>
        <w:t>第六节  积极推进改革试点试验</w:t>
      </w:r>
    </w:p>
    <w:p>
      <w:pPr>
        <w:spacing w:line="300" w:lineRule="exact"/>
        <w:ind w:firstLine="0" w:firstLineChars="0"/>
        <w:rPr>
          <w:rFonts w:ascii="Times New Roman" w:eastAsia="宋体"/>
          <w:b/>
          <w:color w:val="000000"/>
          <w:spacing w:val="6"/>
          <w:sz w:val="32"/>
          <w:szCs w:val="32"/>
        </w:rPr>
      </w:pPr>
    </w:p>
    <w:p>
      <w:pPr>
        <w:pStyle w:val="16"/>
        <w:shd w:val="clear" w:color="auto" w:fill="FFFFFF"/>
        <w:spacing w:before="0" w:beforeAutospacing="0" w:after="0" w:afterAutospacing="0" w:line="600" w:lineRule="exact"/>
        <w:ind w:firstLine="643"/>
        <w:jc w:val="both"/>
        <w:rPr>
          <w:rFonts w:ascii="Times New Roman"/>
          <w:b/>
          <w:color w:val="000000"/>
          <w:sz w:val="32"/>
          <w:szCs w:val="32"/>
          <w:shd w:val="clear" w:color="auto" w:fill="FFFFFF"/>
        </w:rPr>
      </w:pPr>
      <w:r>
        <w:rPr>
          <w:rFonts w:ascii="Times New Roman"/>
          <w:b/>
          <w:color w:val="000000"/>
          <w:sz w:val="32"/>
          <w:szCs w:val="32"/>
        </w:rPr>
        <w:t>持续抓好国家、省上各类改革试点任务，推动中省改革部署不折不扣落到实处，努力在先行先试中为全省、全国提供改革样本。</w:t>
      </w:r>
      <w:r>
        <w:rPr>
          <w:rFonts w:ascii="Times New Roman"/>
          <w:b/>
          <w:color w:val="000000"/>
          <w:sz w:val="32"/>
          <w:szCs w:val="32"/>
          <w:shd w:val="clear" w:color="auto" w:fill="FFFFFF"/>
        </w:rPr>
        <w:t>积极申请承担国家、省上改革试点任务，结合实际制定接地气、有抓手、能推动的改革举措。鼓励各县市区解放思想、先行先试、大胆探索，使改革更加精准对接发展所需、基层所盼、民心所向。及时总结提炼改革做法和经验，形成一批制度性成果，打造具有咸阳特色的改革品牌。完善改革决策和工作机制。做实做细调查研究、征求意见、评估把关等关键环节，健全和完善改革方案审议程序，切实提高改革方案质量。健全改革督察机制，开展对重大改革方案落实情况的督察。</w:t>
      </w:r>
    </w:p>
    <w:p>
      <w:pPr>
        <w:spacing w:line="300" w:lineRule="exact"/>
        <w:ind w:firstLine="0" w:firstLineChars="0"/>
        <w:rPr>
          <w:rFonts w:ascii="Times New Roman" w:eastAsia="宋体"/>
          <w:b/>
          <w:color w:val="000000"/>
          <w:spacing w:val="6"/>
          <w:sz w:val="32"/>
          <w:szCs w:val="32"/>
        </w:rPr>
      </w:pPr>
    </w:p>
    <w:p>
      <w:pPr>
        <w:pStyle w:val="16"/>
        <w:shd w:val="clear" w:color="auto" w:fill="FFFFFF"/>
        <w:spacing w:before="0" w:beforeAutospacing="0" w:after="0" w:afterAutospacing="0" w:line="600" w:lineRule="exact"/>
        <w:ind w:firstLine="643"/>
        <w:jc w:val="center"/>
        <w:rPr>
          <w:rFonts w:ascii="Times New Roman" w:eastAsia="宋体"/>
          <w:b/>
          <w:color w:val="000000"/>
          <w:sz w:val="32"/>
          <w:szCs w:val="32"/>
        </w:rPr>
      </w:pPr>
      <w:r>
        <w:rPr>
          <w:rFonts w:ascii="Times New Roman" w:eastAsia="宋体"/>
          <w:b/>
          <w:color w:val="000000"/>
          <w:sz w:val="32"/>
          <w:szCs w:val="32"/>
        </w:rPr>
        <w:t>第七节  提高投资有效性和精准性</w:t>
      </w:r>
    </w:p>
    <w:p>
      <w:pPr>
        <w:spacing w:line="300" w:lineRule="exact"/>
        <w:ind w:firstLine="0" w:firstLineChars="0"/>
        <w:rPr>
          <w:rFonts w:ascii="Times New Roman" w:eastAsia="宋体"/>
          <w:b/>
          <w:color w:val="000000"/>
          <w:spacing w:val="6"/>
          <w:sz w:val="32"/>
          <w:szCs w:val="32"/>
        </w:rPr>
      </w:pPr>
    </w:p>
    <w:p>
      <w:pPr>
        <w:spacing w:line="600" w:lineRule="exact"/>
        <w:ind w:firstLine="643"/>
        <w:rPr>
          <w:rFonts w:ascii="Times New Roman"/>
          <w:b/>
          <w:color w:val="000000"/>
          <w:sz w:val="32"/>
          <w:szCs w:val="32"/>
        </w:rPr>
      </w:pPr>
      <w:r>
        <w:rPr>
          <w:rFonts w:ascii="Times New Roman"/>
          <w:b/>
          <w:color w:val="000000"/>
          <w:sz w:val="32"/>
          <w:szCs w:val="32"/>
        </w:rPr>
        <w:t>把扩大投资与发展产业、改善基础设施、保障和改善民生、保护生态环境相结合，不断扩大投资规模，调整优化投资结构。加大工业投资力度，推动传统产业改造升级和战略性新兴产业快速发展。深入实施项目带动战略，围绕生产要素、区域位置、主导产业和中省政策谋划实施一批重大项目，重点支持先进制造业、现代服务业、基础设施、生态环境、农业水利、社会发展等项目，增强可持续发展能力。“十三五”时期重点实施基础设施提升工程、农业现代化工程、工业转型升级工程、现代服务业发展工程、生态文明改善工程、民生事业保障工程等六大工程</w:t>
      </w:r>
      <w:r>
        <w:rPr>
          <w:rFonts w:hint="eastAsia" w:ascii="Times New Roman"/>
          <w:b/>
          <w:color w:val="000000"/>
          <w:sz w:val="32"/>
          <w:szCs w:val="32"/>
        </w:rPr>
        <w:t>997</w:t>
      </w:r>
      <w:r>
        <w:rPr>
          <w:rFonts w:ascii="Times New Roman"/>
          <w:b/>
          <w:color w:val="000000"/>
          <w:sz w:val="32"/>
          <w:szCs w:val="32"/>
        </w:rPr>
        <w:t>个项目，总投资</w:t>
      </w:r>
      <w:r>
        <w:rPr>
          <w:rFonts w:hint="eastAsia" w:ascii="Times New Roman"/>
          <w:b/>
          <w:color w:val="000000"/>
          <w:sz w:val="32"/>
          <w:szCs w:val="32"/>
        </w:rPr>
        <w:t>约</w:t>
      </w:r>
      <w:r>
        <w:rPr>
          <w:rFonts w:ascii="Times New Roman"/>
          <w:b/>
          <w:color w:val="000000"/>
          <w:sz w:val="32"/>
          <w:szCs w:val="32"/>
        </w:rPr>
        <w:t>1.</w:t>
      </w:r>
      <w:r>
        <w:rPr>
          <w:rFonts w:hint="eastAsia" w:ascii="Times New Roman"/>
          <w:b/>
          <w:color w:val="000000"/>
          <w:sz w:val="32"/>
          <w:szCs w:val="32"/>
        </w:rPr>
        <w:t>76</w:t>
      </w:r>
      <w:r>
        <w:rPr>
          <w:rFonts w:ascii="Times New Roman"/>
          <w:b/>
          <w:color w:val="000000"/>
          <w:sz w:val="32"/>
          <w:szCs w:val="32"/>
        </w:rPr>
        <w:t>万亿元。坚持市级领导包抓重大项目责任制，健全重大项目协调会议制度和督办制度，完善项目跟踪服务和协调推进机制</w:t>
      </w:r>
      <w:r>
        <w:rPr>
          <w:rFonts w:hint="eastAsia" w:ascii="Times New Roman"/>
          <w:b/>
          <w:color w:val="000000"/>
          <w:sz w:val="32"/>
          <w:szCs w:val="32"/>
        </w:rPr>
        <w:t>。</w:t>
      </w:r>
      <w:r>
        <w:rPr>
          <w:rFonts w:ascii="Times New Roman"/>
          <w:b/>
          <w:color w:val="000000"/>
          <w:sz w:val="32"/>
          <w:szCs w:val="32"/>
        </w:rPr>
        <w:t>建立全市中央预算内投资和专项建设债券两大建设项目库和“三年滚动计划”，积极完善在线投资项目审批信息系统，力争更多的项目列入中省专项规划。继续推行并完善项目法人责任制、工程项目招投标制、合同管理制、工程监理制和政府投资项目代建制，提高投资效益。完善项目的专家咨询和评估论证制度，严格实施重大项目稽查和审计制度。加大对重大项目建设的考核和督促检查力度，不断完善项目的考核奖惩机制。</w:t>
      </w:r>
    </w:p>
    <w:p>
      <w:pPr>
        <w:spacing w:line="300" w:lineRule="exact"/>
        <w:ind w:firstLine="0" w:firstLineChars="0"/>
        <w:rPr>
          <w:rFonts w:ascii="Times New Roman" w:eastAsia="宋体"/>
          <w:b/>
          <w:color w:val="000000"/>
          <w:spacing w:val="6"/>
          <w:sz w:val="32"/>
          <w:szCs w:val="32"/>
        </w:rPr>
      </w:pPr>
    </w:p>
    <w:p>
      <w:pPr>
        <w:keepNext/>
        <w:keepLines/>
        <w:spacing w:line="600" w:lineRule="exact"/>
        <w:ind w:firstLine="0" w:firstLineChars="0"/>
        <w:jc w:val="center"/>
        <w:outlineLvl w:val="2"/>
        <w:rPr>
          <w:rFonts w:ascii="Times New Roman" w:eastAsia="黑体"/>
          <w:b/>
          <w:color w:val="000000"/>
          <w:kern w:val="0"/>
          <w:sz w:val="32"/>
          <w:szCs w:val="32"/>
        </w:rPr>
      </w:pPr>
      <w:bookmarkStart w:id="51" w:name="_Toc439878100"/>
      <w:r>
        <w:rPr>
          <w:rFonts w:ascii="Times New Roman" w:eastAsia="黑体"/>
          <w:b/>
          <w:color w:val="000000"/>
          <w:kern w:val="0"/>
          <w:sz w:val="32"/>
          <w:szCs w:val="32"/>
        </w:rPr>
        <w:t>第十七章  积极融入</w:t>
      </w:r>
      <w:r>
        <w:rPr>
          <w:rFonts w:hint="eastAsia" w:ascii="Times New Roman" w:eastAsia="黑体"/>
          <w:b/>
          <w:color w:val="000000"/>
          <w:kern w:val="0"/>
          <w:sz w:val="32"/>
          <w:szCs w:val="32"/>
        </w:rPr>
        <w:t>“</w:t>
      </w:r>
      <w:r>
        <w:rPr>
          <w:rFonts w:ascii="Times New Roman" w:eastAsia="黑体"/>
          <w:b/>
          <w:color w:val="000000"/>
          <w:kern w:val="0"/>
          <w:sz w:val="32"/>
          <w:szCs w:val="32"/>
        </w:rPr>
        <w:t>一带一路</w:t>
      </w:r>
      <w:r>
        <w:rPr>
          <w:rFonts w:hint="eastAsia" w:ascii="Times New Roman" w:eastAsia="黑体"/>
          <w:b/>
          <w:color w:val="000000"/>
          <w:kern w:val="0"/>
          <w:sz w:val="32"/>
          <w:szCs w:val="32"/>
        </w:rPr>
        <w:t>”</w:t>
      </w:r>
      <w:r>
        <w:rPr>
          <w:rFonts w:ascii="Times New Roman" w:eastAsia="黑体"/>
          <w:b/>
          <w:color w:val="000000"/>
          <w:kern w:val="0"/>
          <w:sz w:val="32"/>
          <w:szCs w:val="32"/>
        </w:rPr>
        <w:t>建设</w:t>
      </w:r>
      <w:bookmarkEnd w:id="51"/>
    </w:p>
    <w:p>
      <w:pPr>
        <w:spacing w:line="300" w:lineRule="exact"/>
        <w:ind w:firstLine="0" w:firstLineChars="0"/>
        <w:rPr>
          <w:rFonts w:ascii="Times New Roman" w:eastAsia="宋体"/>
          <w:b/>
          <w:color w:val="000000"/>
          <w:spacing w:val="6"/>
          <w:sz w:val="32"/>
          <w:szCs w:val="32"/>
        </w:rPr>
      </w:pPr>
    </w:p>
    <w:p>
      <w:pPr>
        <w:spacing w:line="600" w:lineRule="exact"/>
        <w:ind w:firstLine="707" w:firstLineChars="220"/>
        <w:rPr>
          <w:rFonts w:ascii="Times New Roman"/>
          <w:b/>
          <w:color w:val="000000"/>
          <w:sz w:val="32"/>
          <w:szCs w:val="32"/>
        </w:rPr>
      </w:pPr>
      <w:r>
        <w:rPr>
          <w:rFonts w:ascii="Times New Roman"/>
          <w:b/>
          <w:color w:val="000000"/>
          <w:sz w:val="32"/>
          <w:szCs w:val="32"/>
        </w:rPr>
        <w:t>全面融入大西安，加快丝绸之路新起点建设，打造内陆改革开放新高地，建设西部重要的现代工业基地、国家现代农业和食品工业基地、西部区域性商贸物流基地、大西安科技成果应用转化基地、秦汉唐文化交流展示基地。加强与中亚国家在能源化工、食品纺织、装备制造、现代农业等领域的产业合作，加快中韩产业园建设，努力打造丝绸之路经济带最具活力的产业合作基地。积极复制推广上海自由贸易试验区改革试点经验，配合西安共同申报建设丝绸之路经济带中国（陕西）自由贸易实验区，谋划建设咸阳海关特殊监管区。</w:t>
      </w:r>
    </w:p>
    <w:p>
      <w:pPr>
        <w:spacing w:line="600" w:lineRule="exact"/>
        <w:ind w:firstLine="707" w:firstLineChars="220"/>
        <w:rPr>
          <w:rFonts w:ascii="Times New Roman"/>
          <w:b/>
          <w:color w:val="000000"/>
          <w:sz w:val="32"/>
          <w:szCs w:val="32"/>
        </w:rPr>
      </w:pPr>
      <w:r>
        <w:rPr>
          <w:rFonts w:ascii="Times New Roman"/>
          <w:b/>
          <w:color w:val="000000"/>
          <w:sz w:val="32"/>
          <w:szCs w:val="32"/>
        </w:rPr>
        <w:t>积极搭建丝绸之路“茶马古道、丝路臻品”对外贸易平台，携手西安共同建设区域性国际会议和会展中心，共同举办以共建“一带一路”为主题的各类经济论坛、商贸洽谈会、装备技术博览会等各种形式的商贸交流活动，争取设立丝绸之路经济带经贸洽谈会咸阳分会场。精心筹备和参与西洽会暨丝博会、丝绸之路经济带城市合作发展论坛、陕粤港澳经济合作活动周、上合组织国家商品展、中亚地区陕西商品展会，积极开展企业品牌宣传推介和产品展销。积极推进我市与丝路沿线高校在人才培养、合作科研等方面开展交流与合作，支持我市职业院校为西部地区和中亚、西亚各国培养专业技术人才，建设“一带一路”职业技术人才培训基地。争取丝绸之路经济带研究院在咸阳设立分院，支持沣西新城西咸国际文化教育园区建设，构建国际文化教育交流合作平台。谋划建设丝路文化会馆、丝路主题公园等一批丝路文化旅游项目，充分挖掘历史人文资源和潜力，打造秦汉唐文化交流展示基地。推动咸阳与“一带一路”各国相关城市建立友好关系，争取与土耳其萨利市、哈萨克斯坦拉兹市等签署建立友好城市关系协议书，加强与“一带一路”沿线城市民间团体相互交流、合作，建立丝绸之路城市联盟和社会团体联谊会。加快推进区域交通网络建设，构建“陆空数字”三条丝绸之路，以交通的合理布局与无缝对接促进丝路各类要素资源的自由流通和优化配置。</w:t>
      </w:r>
    </w:p>
    <w:p>
      <w:pPr>
        <w:spacing w:line="300" w:lineRule="exact"/>
        <w:ind w:firstLine="0" w:firstLineChars="0"/>
        <w:rPr>
          <w:rFonts w:ascii="Times New Roman" w:eastAsia="宋体"/>
          <w:b/>
          <w:color w:val="000000"/>
          <w:spacing w:val="6"/>
          <w:sz w:val="32"/>
          <w:szCs w:val="32"/>
        </w:rPr>
      </w:pPr>
    </w:p>
    <w:p>
      <w:pPr>
        <w:keepNext/>
        <w:keepLines/>
        <w:spacing w:line="600" w:lineRule="exact"/>
        <w:ind w:firstLine="0" w:firstLineChars="0"/>
        <w:jc w:val="center"/>
        <w:outlineLvl w:val="2"/>
        <w:rPr>
          <w:rFonts w:ascii="Times New Roman" w:eastAsia="黑体"/>
          <w:b/>
          <w:color w:val="000000"/>
          <w:kern w:val="0"/>
          <w:sz w:val="32"/>
          <w:szCs w:val="32"/>
        </w:rPr>
      </w:pPr>
      <w:bookmarkStart w:id="52" w:name="_Toc439878101"/>
      <w:r>
        <w:rPr>
          <w:rFonts w:ascii="Times New Roman" w:eastAsia="黑体"/>
          <w:b/>
          <w:color w:val="000000"/>
          <w:kern w:val="0"/>
          <w:sz w:val="32"/>
          <w:szCs w:val="32"/>
        </w:rPr>
        <w:t>第十八章  进一步扩大对外开放</w:t>
      </w:r>
      <w:bookmarkEnd w:id="52"/>
    </w:p>
    <w:p>
      <w:pPr>
        <w:spacing w:line="300" w:lineRule="exact"/>
        <w:ind w:firstLine="0" w:firstLineChars="0"/>
        <w:rPr>
          <w:rFonts w:ascii="Times New Roman" w:eastAsia="宋体"/>
          <w:b/>
          <w:color w:val="000000"/>
          <w:spacing w:val="6"/>
          <w:sz w:val="32"/>
          <w:szCs w:val="32"/>
        </w:rPr>
      </w:pPr>
      <w:r>
        <w:rPr>
          <w:rFonts w:ascii="Times New Roman" w:eastAsia="宋体"/>
          <w:b/>
          <w:color w:val="000000"/>
          <w:spacing w:val="6"/>
          <w:sz w:val="32"/>
          <w:szCs w:val="32"/>
        </w:rPr>
        <w:t xml:space="preserve">               </w:t>
      </w:r>
    </w:p>
    <w:p>
      <w:pPr>
        <w:spacing w:line="600" w:lineRule="exact"/>
        <w:ind w:firstLine="0" w:firstLineChars="0"/>
        <w:jc w:val="center"/>
        <w:rPr>
          <w:rFonts w:ascii="Times New Roman" w:eastAsia="黑体"/>
          <w:b/>
          <w:color w:val="000000"/>
          <w:kern w:val="0"/>
          <w:sz w:val="32"/>
          <w:szCs w:val="32"/>
        </w:rPr>
      </w:pPr>
      <w:r>
        <w:rPr>
          <w:rFonts w:ascii="Times New Roman" w:eastAsia="宋体"/>
          <w:b/>
          <w:color w:val="000000"/>
          <w:kern w:val="0"/>
          <w:sz w:val="32"/>
          <w:szCs w:val="32"/>
        </w:rPr>
        <w:t>第一节  推动外贸发展迈上新台阶</w:t>
      </w:r>
    </w:p>
    <w:p>
      <w:pPr>
        <w:spacing w:line="300" w:lineRule="exact"/>
        <w:ind w:firstLine="0" w:firstLineChars="0"/>
        <w:rPr>
          <w:rFonts w:ascii="Times New Roman" w:eastAsia="宋体"/>
          <w:b/>
          <w:color w:val="000000"/>
          <w:spacing w:val="6"/>
          <w:sz w:val="32"/>
          <w:szCs w:val="32"/>
        </w:rPr>
      </w:pPr>
    </w:p>
    <w:p>
      <w:pPr>
        <w:spacing w:line="600" w:lineRule="exact"/>
        <w:ind w:firstLine="643"/>
        <w:rPr>
          <w:rFonts w:ascii="Times New Roman"/>
          <w:b/>
          <w:color w:val="000000"/>
          <w:sz w:val="32"/>
          <w:szCs w:val="32"/>
        </w:rPr>
      </w:pPr>
      <w:r>
        <w:rPr>
          <w:rFonts w:ascii="Times New Roman"/>
          <w:b/>
          <w:color w:val="000000"/>
          <w:sz w:val="32"/>
          <w:szCs w:val="32"/>
        </w:rPr>
        <w:t>稳定传统优势产品出口，打造名牌拳头出口产品，提升出口产品质量、档次和创新要素比重，实现出口商品以初级产品为主向高附加值产品转变。加强地理标志保护产品、名牌、特色品牌建设，提高出口产品国际竞争力。进一步开拓对东盟、中亚、西亚出口，壮大茯茶、优质农产品、清真食品、果汁、中药材、纺织品等特色产品出口规模，提高机电、电子等中高端商品出口比例。加快推进国家级出口示范基地“陕西省咸阳市棉纺面料基地”、省级“陕西果业外贸基地咸阳D区”建设，规划建设一批综合型、专业型和企业型出口基地。加快跨境电子商务发展，积极争取纳入国家跨境电子商务示范城市。积极推进外经贸孵化中心建设，加快孵化一批中小微经贸企业，全力打造名牌出口产品，力争到2020年，拥有进出口经营资格的企业突破1000户，拥有进出口实绩的企业突破300户。优化进口结构，加大先进技术、重要设备和关键零部件等短缺资源进口规模，提升全市产业竞争力</w:t>
      </w:r>
      <w:r>
        <w:rPr>
          <w:rFonts w:hint="eastAsia" w:ascii="Times New Roman"/>
          <w:b/>
          <w:color w:val="000000"/>
          <w:sz w:val="32"/>
          <w:szCs w:val="32"/>
        </w:rPr>
        <w:t>。</w:t>
      </w:r>
      <w:r>
        <w:rPr>
          <w:rFonts w:ascii="Times New Roman"/>
          <w:b/>
          <w:color w:val="000000"/>
          <w:sz w:val="32"/>
          <w:szCs w:val="32"/>
        </w:rPr>
        <w:t>到2020年，全市对外进出口总额突破10亿美元。</w:t>
      </w:r>
    </w:p>
    <w:p>
      <w:pPr>
        <w:spacing w:line="300" w:lineRule="exact"/>
        <w:ind w:firstLine="0" w:firstLineChars="0"/>
        <w:rPr>
          <w:rFonts w:ascii="Times New Roman" w:eastAsia="宋体"/>
          <w:b/>
          <w:color w:val="000000"/>
          <w:spacing w:val="6"/>
          <w:sz w:val="32"/>
          <w:szCs w:val="32"/>
        </w:rPr>
      </w:pPr>
    </w:p>
    <w:p>
      <w:pPr>
        <w:spacing w:line="600" w:lineRule="exact"/>
        <w:ind w:firstLine="0" w:firstLineChars="0"/>
        <w:jc w:val="center"/>
        <w:rPr>
          <w:rFonts w:ascii="Times New Roman" w:eastAsia="宋体"/>
          <w:b/>
          <w:color w:val="000000"/>
          <w:kern w:val="0"/>
          <w:sz w:val="32"/>
          <w:szCs w:val="32"/>
        </w:rPr>
      </w:pPr>
      <w:r>
        <w:rPr>
          <w:rFonts w:ascii="Times New Roman" w:eastAsia="宋体"/>
          <w:b/>
          <w:color w:val="000000"/>
          <w:kern w:val="0"/>
          <w:sz w:val="32"/>
          <w:szCs w:val="32"/>
        </w:rPr>
        <w:t>第二节  积极拓展国际投资与国际经济合作空间</w:t>
      </w:r>
    </w:p>
    <w:p>
      <w:pPr>
        <w:spacing w:line="300" w:lineRule="exact"/>
        <w:ind w:firstLine="0" w:firstLineChars="0"/>
        <w:jc w:val="center"/>
        <w:rPr>
          <w:rFonts w:ascii="Times New Roman" w:eastAsia="宋体"/>
          <w:b/>
          <w:color w:val="000000"/>
          <w:kern w:val="0"/>
          <w:sz w:val="32"/>
          <w:szCs w:val="32"/>
        </w:rPr>
      </w:pPr>
    </w:p>
    <w:p>
      <w:pPr>
        <w:spacing w:line="600" w:lineRule="exact"/>
        <w:ind w:firstLine="643"/>
        <w:rPr>
          <w:rFonts w:ascii="Times New Roman" w:eastAsia="方正小标宋简体"/>
          <w:b/>
          <w:color w:val="000000"/>
          <w:kern w:val="0"/>
          <w:sz w:val="44"/>
          <w:szCs w:val="44"/>
        </w:rPr>
      </w:pPr>
      <w:r>
        <w:rPr>
          <w:rFonts w:ascii="Times New Roman"/>
          <w:b/>
          <w:color w:val="000000"/>
          <w:sz w:val="32"/>
          <w:szCs w:val="32"/>
        </w:rPr>
        <w:t>创新招商引资工作机制，深度策划包装一批招商项目，分产业、分行业明确招商重点，推动产业转型升级和可持续发展。主攻重大项目，着力引进一批世界500强、国内民营100强、大型国有企业集团来我市投资兴业，设立生产制造基地、服务外包基地、物流采购中心、研发中心和地区总部。深化产业招商，大力引进先进制造业，瞄准“高端产业、产业高端”，引进一批龙头型、基地型重大产业项目。拓展引资区域，加大对欧美、韩国、新加坡、台湾、香港等国家及地区的招商力度。营造法治化、国际化、便利化的营商环境，提高外商投资服务水平，努力把咸阳建成陕西对外开放优势发展区和投资首选地。</w:t>
      </w:r>
    </w:p>
    <w:p>
      <w:pPr>
        <w:spacing w:line="600" w:lineRule="exact"/>
        <w:ind w:firstLine="643"/>
        <w:rPr>
          <w:rFonts w:ascii="Times New Roman"/>
          <w:b/>
          <w:color w:val="000000"/>
          <w:sz w:val="32"/>
          <w:szCs w:val="32"/>
        </w:rPr>
      </w:pPr>
      <w:r>
        <w:rPr>
          <w:rFonts w:ascii="Times New Roman"/>
          <w:b/>
          <w:color w:val="000000"/>
          <w:sz w:val="32"/>
          <w:szCs w:val="32"/>
        </w:rPr>
        <w:t>加大企业境外投资的政策扶持力度，重点鼓励能够发挥我市企业相对优势、带动我市经济、技术、产品出口和扩大就业的产业“走出去”。积极推进哈萨克斯坦中哈产业园等项目前期工作。</w:t>
      </w:r>
    </w:p>
    <w:p>
      <w:pPr>
        <w:spacing w:line="600" w:lineRule="exact"/>
        <w:ind w:firstLine="643"/>
        <w:rPr>
          <w:rFonts w:ascii="Times New Roman"/>
          <w:b/>
          <w:color w:val="000000"/>
          <w:sz w:val="32"/>
          <w:szCs w:val="32"/>
        </w:rPr>
      </w:pPr>
      <w:r>
        <w:rPr>
          <w:rFonts w:ascii="Times New Roman"/>
          <w:b/>
          <w:color w:val="000000"/>
          <w:sz w:val="32"/>
          <w:szCs w:val="32"/>
        </w:rPr>
        <w:t>大力培育对外劳务合作公共服务平台和经营企业，推进对外工程项目承包。在建筑承包领域，组建龙头企业集团，巩固提升“咸阳建筑”品牌优势，鼓励企业积极拓展境内外市场。</w:t>
      </w:r>
    </w:p>
    <w:p>
      <w:pPr>
        <w:keepNext/>
        <w:keepLines/>
        <w:spacing w:line="600" w:lineRule="exact"/>
        <w:ind w:firstLine="0" w:firstLineChars="0"/>
        <w:jc w:val="center"/>
        <w:outlineLvl w:val="1"/>
        <w:rPr>
          <w:rFonts w:ascii="Times New Roman"/>
          <w:b/>
          <w:color w:val="000000"/>
          <w:sz w:val="32"/>
          <w:szCs w:val="32"/>
        </w:rPr>
      </w:pPr>
      <w:r>
        <w:rPr>
          <w:rFonts w:ascii="Times New Roman"/>
          <w:b/>
          <w:color w:val="000000"/>
          <w:sz w:val="32"/>
          <w:szCs w:val="32"/>
        </w:rPr>
        <w:br w:type="page"/>
      </w:r>
      <w:bookmarkStart w:id="53" w:name="_Toc439878102"/>
    </w:p>
    <w:p>
      <w:pPr>
        <w:keepNext/>
        <w:keepLines/>
        <w:spacing w:line="600" w:lineRule="exact"/>
        <w:ind w:firstLine="0" w:firstLineChars="0"/>
        <w:jc w:val="center"/>
        <w:outlineLvl w:val="1"/>
        <w:rPr>
          <w:rFonts w:hint="eastAsia" w:ascii="方正小标宋_GBK" w:hAnsi="方正小标宋_GBK" w:eastAsia="方正小标宋_GBK" w:cs="方正小标宋_GBK"/>
          <w:b/>
          <w:color w:val="000000"/>
          <w:kern w:val="0"/>
          <w:sz w:val="44"/>
          <w:szCs w:val="44"/>
        </w:rPr>
      </w:pPr>
      <w:r>
        <w:rPr>
          <w:rFonts w:hint="eastAsia" w:ascii="方正小标宋_GBK" w:hAnsi="方正小标宋_GBK" w:eastAsia="方正小标宋_GBK" w:cs="方正小标宋_GBK"/>
          <w:b/>
          <w:color w:val="000000"/>
          <w:kern w:val="0"/>
          <w:sz w:val="44"/>
          <w:szCs w:val="44"/>
        </w:rPr>
        <w:t>第六篇  聚焦共享发展  汇聚全面小康新合力</w:t>
      </w:r>
      <w:bookmarkEnd w:id="53"/>
    </w:p>
    <w:p>
      <w:pPr>
        <w:keepNext/>
        <w:keepLines/>
        <w:spacing w:line="600" w:lineRule="exact"/>
        <w:ind w:firstLine="0" w:firstLineChars="0"/>
        <w:jc w:val="center"/>
        <w:outlineLvl w:val="1"/>
        <w:rPr>
          <w:rFonts w:ascii="Times New Roman" w:eastAsia="方正小标宋简体"/>
          <w:b/>
          <w:color w:val="000000"/>
          <w:kern w:val="0"/>
          <w:sz w:val="36"/>
          <w:szCs w:val="36"/>
        </w:rPr>
      </w:pPr>
    </w:p>
    <w:p>
      <w:pPr>
        <w:spacing w:line="600" w:lineRule="exact"/>
        <w:ind w:firstLine="643"/>
        <w:rPr>
          <w:rFonts w:ascii="Times New Roman"/>
          <w:b/>
          <w:color w:val="000000"/>
          <w:sz w:val="32"/>
          <w:szCs w:val="32"/>
        </w:rPr>
      </w:pPr>
      <w:r>
        <w:rPr>
          <w:rFonts w:ascii="Times New Roman"/>
          <w:b/>
          <w:color w:val="000000"/>
          <w:sz w:val="32"/>
          <w:szCs w:val="32"/>
        </w:rPr>
        <w:t>坚持发展为了人民、发展依靠人民、发展成果由人民共享，按照人人参与、人人尽力、人人享有的要求，完善制度安排、强化政策兜底、引导社会投入，体现公平正义，增进人民福祉，使全体人民在共建共享发展中有更多获得感，实现共同富裕。</w:t>
      </w:r>
    </w:p>
    <w:p>
      <w:pPr>
        <w:spacing w:line="300" w:lineRule="exact"/>
        <w:ind w:firstLine="643"/>
        <w:rPr>
          <w:rFonts w:ascii="Times New Roman"/>
          <w:b/>
          <w:color w:val="000000"/>
          <w:sz w:val="32"/>
          <w:szCs w:val="32"/>
        </w:rPr>
      </w:pPr>
    </w:p>
    <w:p>
      <w:pPr>
        <w:keepNext/>
        <w:keepLines/>
        <w:spacing w:line="600" w:lineRule="exact"/>
        <w:ind w:firstLine="0" w:firstLineChars="0"/>
        <w:jc w:val="center"/>
        <w:outlineLvl w:val="2"/>
        <w:rPr>
          <w:rFonts w:ascii="Times New Roman" w:eastAsia="黑体"/>
          <w:b/>
          <w:color w:val="000000"/>
          <w:kern w:val="0"/>
          <w:sz w:val="32"/>
          <w:szCs w:val="32"/>
        </w:rPr>
      </w:pPr>
      <w:bookmarkStart w:id="54" w:name="_Toc439878103"/>
      <w:r>
        <w:rPr>
          <w:rFonts w:ascii="Times New Roman" w:eastAsia="黑体"/>
          <w:b/>
          <w:color w:val="000000"/>
          <w:kern w:val="0"/>
          <w:sz w:val="32"/>
          <w:szCs w:val="32"/>
        </w:rPr>
        <w:t xml:space="preserve">第十九章  </w:t>
      </w:r>
      <w:r>
        <w:rPr>
          <w:rFonts w:ascii="Times New Roman" w:eastAsia="黑体"/>
          <w:b/>
          <w:color w:val="000000"/>
          <w:kern w:val="0"/>
          <w:sz w:val="32"/>
          <w:szCs w:val="32"/>
        </w:rPr>
        <w:fldChar w:fldCharType="begin"/>
      </w:r>
      <w:r>
        <w:rPr>
          <w:rFonts w:ascii="Times New Roman" w:eastAsia="黑体"/>
          <w:b/>
          <w:color w:val="000000"/>
          <w:kern w:val="0"/>
          <w:sz w:val="32"/>
          <w:szCs w:val="32"/>
        </w:rPr>
        <w:instrText xml:space="preserve"> HYPERLINK \l "_Toc434951560" </w:instrText>
      </w:r>
      <w:r>
        <w:rPr>
          <w:rFonts w:ascii="Times New Roman" w:eastAsia="黑体"/>
          <w:b/>
          <w:color w:val="000000"/>
          <w:kern w:val="0"/>
          <w:sz w:val="32"/>
          <w:szCs w:val="32"/>
        </w:rPr>
        <w:fldChar w:fldCharType="separate"/>
      </w:r>
      <w:r>
        <w:rPr>
          <w:rFonts w:ascii="Times New Roman" w:eastAsia="黑体"/>
          <w:b/>
          <w:color w:val="000000"/>
          <w:kern w:val="0"/>
          <w:sz w:val="32"/>
          <w:szCs w:val="32"/>
        </w:rPr>
        <w:t>凝心聚力</w:t>
      </w:r>
      <w:r>
        <w:rPr>
          <w:rFonts w:ascii="Times New Roman" w:eastAsia="黑体"/>
          <w:b/>
          <w:color w:val="000000"/>
          <w:kern w:val="0"/>
          <w:sz w:val="32"/>
          <w:szCs w:val="32"/>
        </w:rPr>
        <w:fldChar w:fldCharType="end"/>
      </w:r>
      <w:r>
        <w:rPr>
          <w:rFonts w:ascii="Times New Roman" w:eastAsia="黑体"/>
          <w:b/>
          <w:color w:val="000000"/>
          <w:kern w:val="0"/>
          <w:sz w:val="32"/>
          <w:szCs w:val="32"/>
        </w:rPr>
        <w:t>推进精准脱贫</w:t>
      </w:r>
      <w:bookmarkEnd w:id="54"/>
    </w:p>
    <w:p>
      <w:pPr>
        <w:spacing w:line="3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r>
        <w:rPr>
          <w:rFonts w:ascii="Times New Roman"/>
          <w:b/>
          <w:color w:val="000000"/>
          <w:sz w:val="32"/>
          <w:szCs w:val="32"/>
        </w:rPr>
        <w:t>坚持“精准扶贫、精准脱贫”的基本方略，按照 “六个精准”的基本要求，以建档立卡贫困人口为主体，以北部五县和中部</w:t>
      </w:r>
      <w:r>
        <w:rPr>
          <w:rFonts w:hint="eastAsia" w:ascii="Times New Roman"/>
          <w:b/>
          <w:color w:val="000000"/>
          <w:sz w:val="32"/>
          <w:szCs w:val="32"/>
        </w:rPr>
        <w:t>“</w:t>
      </w:r>
      <w:r>
        <w:rPr>
          <w:rFonts w:ascii="Times New Roman"/>
          <w:b/>
          <w:color w:val="000000"/>
          <w:sz w:val="32"/>
          <w:szCs w:val="32"/>
        </w:rPr>
        <w:t>旱腰带</w:t>
      </w:r>
      <w:r>
        <w:rPr>
          <w:rFonts w:hint="eastAsia" w:ascii="Times New Roman"/>
          <w:b/>
          <w:color w:val="000000"/>
          <w:sz w:val="32"/>
          <w:szCs w:val="32"/>
        </w:rPr>
        <w:t>”</w:t>
      </w:r>
      <w:r>
        <w:rPr>
          <w:rFonts w:ascii="Times New Roman"/>
          <w:b/>
          <w:color w:val="000000"/>
          <w:sz w:val="32"/>
          <w:szCs w:val="32"/>
        </w:rPr>
        <w:t>地区为重点，通过“五个一批”基本路径，综合施策奋力攻坚，到2017年，全市建档立卡的3</w:t>
      </w:r>
      <w:r>
        <w:rPr>
          <w:rFonts w:hint="eastAsia" w:ascii="Times New Roman"/>
          <w:b/>
          <w:color w:val="000000"/>
          <w:sz w:val="32"/>
          <w:szCs w:val="32"/>
        </w:rPr>
        <w:t>0.53</w:t>
      </w:r>
      <w:r>
        <w:rPr>
          <w:rFonts w:ascii="Times New Roman"/>
          <w:b/>
          <w:color w:val="000000"/>
          <w:sz w:val="32"/>
          <w:szCs w:val="32"/>
        </w:rPr>
        <w:t>万贫困人口实现全面脱贫，四个贫困县全部摘帽。稳定实现贫困人口衣食无忧、安居乐业、义务教育、基本医疗有保障，基本公共服务主要领域指标接近全国平均水平。再经过三年的巩固提高，使全市贫困人口和贫困县同步够格进入全面小康社会。</w:t>
      </w:r>
    </w:p>
    <w:p>
      <w:pPr>
        <w:spacing w:line="300" w:lineRule="exact"/>
        <w:ind w:firstLine="643"/>
        <w:rPr>
          <w:rFonts w:ascii="Times New Roman"/>
          <w:b/>
          <w:color w:val="000000"/>
          <w:sz w:val="32"/>
          <w:szCs w:val="32"/>
        </w:rPr>
      </w:pPr>
    </w:p>
    <w:p>
      <w:pPr>
        <w:spacing w:line="600" w:lineRule="exact"/>
        <w:ind w:firstLine="0" w:firstLineChars="0"/>
        <w:jc w:val="center"/>
        <w:rPr>
          <w:rFonts w:ascii="Times New Roman" w:eastAsia="宋体"/>
          <w:b/>
          <w:color w:val="000000"/>
          <w:sz w:val="32"/>
          <w:szCs w:val="32"/>
        </w:rPr>
      </w:pPr>
      <w:r>
        <w:rPr>
          <w:rFonts w:ascii="Times New Roman" w:eastAsia="宋体"/>
          <w:b/>
          <w:color w:val="000000"/>
          <w:sz w:val="32"/>
          <w:szCs w:val="32"/>
        </w:rPr>
        <w:t>第一节  实施产业就业脱贫</w:t>
      </w:r>
    </w:p>
    <w:p>
      <w:pPr>
        <w:spacing w:line="3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r>
        <w:rPr>
          <w:rFonts w:ascii="Times New Roman"/>
          <w:b/>
          <w:color w:val="000000"/>
          <w:sz w:val="32"/>
          <w:szCs w:val="32"/>
        </w:rPr>
        <w:t>对建档立卡中</w:t>
      </w:r>
      <w:r>
        <w:rPr>
          <w:rFonts w:hint="eastAsia" w:ascii="Times New Roman"/>
          <w:b/>
          <w:color w:val="000000"/>
          <w:sz w:val="32"/>
          <w:szCs w:val="32"/>
        </w:rPr>
        <w:t>14.7</w:t>
      </w:r>
      <w:r>
        <w:rPr>
          <w:rFonts w:ascii="Times New Roman"/>
          <w:b/>
          <w:color w:val="000000"/>
          <w:sz w:val="32"/>
          <w:szCs w:val="32"/>
        </w:rPr>
        <w:t>万有劳动能力、有耕地和其它资源，但缺少经营能力和资金、技术的贫困人口，通过发展产业、技能培训、增加就业、劳务输出等措施，实现产业就业脱贫。制定贫困地区特色产业发展规划，因地制宜发展特色产业，增强自我发展能力。加快贫困地区农民合作社和龙头企业培育，强化经营主体与贫困户的利益联运机制，推行“政府+龙头企业+合作社+贫困户”模式。加大对贫困地区金融帮扶力度，推进“企业担保、贫困户贷款、扶贫贴息”参股融资模式，探索发展贫困地区新农村资金互助组织。积极开展现代农业产业精准扶贫试点工作。重视扶贫招商，积极引进设施农业扶贫、乡村旅游扶贫、光伏扶贫、小型水电扶贫、电商扶贫等项目。支持有劳动能力和经营能力的贫困</w:t>
      </w:r>
      <w:r>
        <w:rPr>
          <w:rFonts w:ascii="Times New Roman"/>
          <w:b/>
          <w:color w:val="000000"/>
          <w:spacing w:val="2"/>
          <w:sz w:val="32"/>
          <w:szCs w:val="32"/>
        </w:rPr>
        <w:t>人口创新产业经营，增加经营性收入。加大贫困地区劳务输出培训力度，引导企业在贫困地区建立劳务培训基地，开展定向培训，增加贫困人口劳务收入。制定对跨市务工的贫困人口给予交通补助政策，加大对贫困地区农民工返乡创业政策扶持力度。对在城镇生活工作一年以上的贫困人口，输入地政府要承担相应的帮扶责任。积极开发政府购买社会服务和企业奉献社会服务的公益性和爱心工作岗位，吸纳和安置符合条件的贫困人口上岗就业。</w:t>
      </w:r>
    </w:p>
    <w:p>
      <w:pPr>
        <w:spacing w:line="300" w:lineRule="exact"/>
        <w:ind w:firstLine="643"/>
        <w:rPr>
          <w:rFonts w:ascii="Times New Roman"/>
          <w:b/>
          <w:color w:val="000000"/>
          <w:sz w:val="32"/>
          <w:szCs w:val="32"/>
        </w:rPr>
      </w:pPr>
    </w:p>
    <w:p>
      <w:pPr>
        <w:spacing w:line="600" w:lineRule="exact"/>
        <w:ind w:firstLine="0" w:firstLineChars="0"/>
        <w:jc w:val="center"/>
        <w:rPr>
          <w:rFonts w:ascii="Times New Roman" w:eastAsia="宋体"/>
          <w:b/>
          <w:color w:val="000000"/>
          <w:sz w:val="32"/>
          <w:szCs w:val="32"/>
        </w:rPr>
      </w:pPr>
      <w:r>
        <w:rPr>
          <w:rFonts w:ascii="Times New Roman" w:eastAsia="宋体"/>
          <w:b/>
          <w:color w:val="000000"/>
          <w:sz w:val="32"/>
          <w:szCs w:val="32"/>
        </w:rPr>
        <w:t>第二节  加快易地搬迁脱贫</w:t>
      </w:r>
    </w:p>
    <w:p>
      <w:pPr>
        <w:spacing w:line="3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r>
        <w:rPr>
          <w:rFonts w:ascii="Times New Roman"/>
          <w:b/>
          <w:color w:val="000000"/>
          <w:sz w:val="32"/>
          <w:szCs w:val="32"/>
        </w:rPr>
        <w:t>对居住在“一方水土养不起一方人”的生态环境恶劣、生态环境脆弱地区的1.45万户5.1万人建档立卡贫困人口，以及生活在上述区域有意愿搬迁的其它农户1.41万户5.6万人，通过两年时间，将这些人口搬迁到宜居、宜业、宜发展的区域。按照“搬得出、稳得住、有事干、能致富”的要求，坚持三靠近（城镇、园区、中心村）的原则，制定稳定扶贫搬迁补助政策，抓好搬迁安置点相关配套设施建设和产业发展，在大中型安置点要配套建设垃圾处理、污水治理、绿化美化等环保工程。建立县级扶贫开发投融资平台，承接省级扶贫开发投融资平台的转贷资金，通过地方政府注入项目资本金撬动政策性银行的专项贷款和中省财政全额贴息，推动易地扶贫搬迁工程建设。对需搬迁的特困户、五保户实施集中供养和住房交钥匙工程。对扶贫搬迁中贫困人口，在执行中省政策基础上，市县政府每户再补助1.5万元。把农村危房改造与移民搬迁有机结合，优先实施建档立卡贫困户的危房改造。探索利用农户进城落户后自愿有偿退出的农村空置房屋和土地安置易地扶贫搬迁农户。</w:t>
      </w:r>
    </w:p>
    <w:p>
      <w:pPr>
        <w:spacing w:line="300" w:lineRule="exact"/>
        <w:ind w:firstLine="643"/>
        <w:rPr>
          <w:rFonts w:ascii="Times New Roman"/>
          <w:b/>
          <w:color w:val="000000"/>
          <w:sz w:val="32"/>
          <w:szCs w:val="32"/>
        </w:rPr>
      </w:pPr>
    </w:p>
    <w:p>
      <w:pPr>
        <w:spacing w:line="600" w:lineRule="exact"/>
        <w:ind w:firstLine="0" w:firstLineChars="0"/>
        <w:jc w:val="center"/>
        <w:rPr>
          <w:rFonts w:ascii="Times New Roman" w:eastAsia="宋体"/>
          <w:b/>
          <w:color w:val="000000"/>
          <w:sz w:val="32"/>
          <w:szCs w:val="32"/>
        </w:rPr>
      </w:pPr>
      <w:r>
        <w:rPr>
          <w:rFonts w:ascii="Times New Roman" w:eastAsia="宋体"/>
          <w:b/>
          <w:color w:val="000000"/>
          <w:sz w:val="32"/>
          <w:szCs w:val="32"/>
        </w:rPr>
        <w:t>第三节  创新生态保护脱贫</w:t>
      </w:r>
    </w:p>
    <w:p>
      <w:pPr>
        <w:spacing w:line="3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r>
        <w:rPr>
          <w:rFonts w:ascii="Times New Roman"/>
          <w:b/>
          <w:color w:val="000000"/>
          <w:sz w:val="32"/>
          <w:szCs w:val="32"/>
        </w:rPr>
        <w:t>把生态环境保护与扶贫开发有机结合，加大对贫困地区生态补偿支持力度。创新生态补偿资金使用方式，提取一定比例用于脱贫攻坚，一定比例用于直补贫困户。探索利用生态补偿和生态保护工程资金，使当地有劳动能力的部分贫困人口转为生态保护人员，稳定工资性收入。在中省财政安排贫困地区生态环境建设、退耕还林工程的基础上，市级逐步增加生态环境保护预算安排。将长武、永寿、旬邑、淳化四个贫困县25°以上坡耕地全部纳入退耕还林范围。积极申报调整贫困县基本农田保有指标。开展贫困地区生态综合补偿试点。充分利用贫困地区生态资源，大力发展生态旅游。</w:t>
      </w:r>
    </w:p>
    <w:p>
      <w:pPr>
        <w:spacing w:line="300" w:lineRule="exact"/>
        <w:ind w:firstLine="643"/>
        <w:rPr>
          <w:rFonts w:ascii="Times New Roman"/>
          <w:b/>
          <w:color w:val="000000"/>
          <w:sz w:val="32"/>
          <w:szCs w:val="32"/>
        </w:rPr>
      </w:pPr>
    </w:p>
    <w:p>
      <w:pPr>
        <w:spacing w:line="600" w:lineRule="exact"/>
        <w:ind w:firstLine="0" w:firstLineChars="0"/>
        <w:jc w:val="center"/>
        <w:rPr>
          <w:rFonts w:ascii="Times New Roman" w:eastAsia="宋体"/>
          <w:b/>
          <w:color w:val="000000"/>
          <w:sz w:val="32"/>
          <w:szCs w:val="32"/>
        </w:rPr>
      </w:pPr>
      <w:r>
        <w:rPr>
          <w:rFonts w:ascii="Times New Roman" w:eastAsia="宋体"/>
          <w:b/>
          <w:color w:val="000000"/>
          <w:sz w:val="32"/>
          <w:szCs w:val="32"/>
        </w:rPr>
        <w:t>第四节  发展教育事业脱贫</w:t>
      </w:r>
    </w:p>
    <w:p>
      <w:pPr>
        <w:spacing w:line="3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r>
        <w:rPr>
          <w:rFonts w:ascii="Times New Roman"/>
          <w:b/>
          <w:color w:val="000000"/>
          <w:sz w:val="32"/>
          <w:szCs w:val="32"/>
        </w:rPr>
        <w:t>加强贫困人口素质教育和技能培训，增强贫困人口自我发展能力。对建档立卡中</w:t>
      </w:r>
      <w:r>
        <w:rPr>
          <w:rFonts w:hint="eastAsia" w:ascii="Times New Roman"/>
          <w:b/>
          <w:color w:val="000000"/>
          <w:sz w:val="32"/>
          <w:szCs w:val="32"/>
        </w:rPr>
        <w:t>4.85</w:t>
      </w:r>
      <w:r>
        <w:rPr>
          <w:rFonts w:ascii="Times New Roman"/>
          <w:b/>
          <w:color w:val="000000"/>
          <w:sz w:val="32"/>
          <w:szCs w:val="32"/>
        </w:rPr>
        <w:t>万名贫困家庭子女，通过实施从学前教育到义务教育阶段，再到高中教育、职业教育、大学高等教育等“一条龙”包扶机制，帮助其就学、就业，切断贫困代际传递，实现教育脱贫。提高对贫困家庭子女免费教育、义务教育、高中教育（中等职业教育）阶段的生活补助；免除普通高中和中等职业学校在校贫困家庭学生学杂费；对贫困家庭的中高职在校生，除享受国家职业教育资助政策外，每人一次性再给予3000元扶贫助学补助；对贫困家庭在校大学生实行助学贷款、奖学金、助学金全覆盖。积极争取中省对我市“农村贫困地区定向招生计划”。教育经费继续向贫困地区倾斜，“三支一扶（支家支教支</w:t>
      </w:r>
      <w:r>
        <w:rPr>
          <w:rFonts w:ascii="Times New Roman" w:eastAsia="仿宋"/>
          <w:b/>
          <w:color w:val="000000"/>
          <w:sz w:val="32"/>
          <w:szCs w:val="32"/>
        </w:rPr>
        <w:t>医和扶</w:t>
      </w:r>
      <w:r>
        <w:rPr>
          <w:rFonts w:ascii="Times New Roman"/>
          <w:b/>
          <w:color w:val="000000"/>
          <w:sz w:val="32"/>
          <w:szCs w:val="32"/>
        </w:rPr>
        <w:t>贫）”从教计划、特岗计划、国培计划向贫困地区倾斜。全面落实贫困地区的乡村教师生活补助政策，实行城市优质学校同贫困地区学校结对帮扶措施，提高贫困地区教学质量。</w:t>
      </w:r>
    </w:p>
    <w:p>
      <w:pPr>
        <w:spacing w:line="300" w:lineRule="exact"/>
        <w:ind w:firstLine="643"/>
        <w:rPr>
          <w:rFonts w:ascii="Times New Roman"/>
          <w:b/>
          <w:color w:val="000000"/>
          <w:sz w:val="32"/>
          <w:szCs w:val="32"/>
        </w:rPr>
      </w:pPr>
    </w:p>
    <w:p>
      <w:pPr>
        <w:spacing w:line="600" w:lineRule="exact"/>
        <w:ind w:firstLine="0" w:firstLineChars="0"/>
        <w:jc w:val="center"/>
        <w:rPr>
          <w:rFonts w:ascii="Times New Roman" w:eastAsia="宋体"/>
          <w:b/>
          <w:color w:val="000000"/>
          <w:sz w:val="32"/>
          <w:szCs w:val="32"/>
        </w:rPr>
      </w:pPr>
      <w:r>
        <w:rPr>
          <w:rFonts w:ascii="Times New Roman" w:eastAsia="宋体"/>
          <w:b/>
          <w:color w:val="000000"/>
          <w:sz w:val="32"/>
          <w:szCs w:val="32"/>
        </w:rPr>
        <w:t>第五节  社会保障兜底脱贫</w:t>
      </w:r>
    </w:p>
    <w:p>
      <w:pPr>
        <w:spacing w:line="3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r>
        <w:rPr>
          <w:rFonts w:ascii="Times New Roman"/>
          <w:b/>
          <w:color w:val="000000"/>
          <w:sz w:val="32"/>
          <w:szCs w:val="32"/>
        </w:rPr>
        <w:t>对建档立卡中</w:t>
      </w:r>
      <w:r>
        <w:rPr>
          <w:rFonts w:hint="eastAsia" w:ascii="Times New Roman"/>
          <w:b/>
          <w:color w:val="000000"/>
          <w:sz w:val="32"/>
          <w:szCs w:val="32"/>
        </w:rPr>
        <w:t>15.36</w:t>
      </w:r>
      <w:r>
        <w:rPr>
          <w:rFonts w:ascii="Times New Roman"/>
          <w:b/>
          <w:color w:val="000000"/>
          <w:sz w:val="32"/>
          <w:szCs w:val="32"/>
        </w:rPr>
        <w:t>万名完全或部分丧失劳动能力的贫困人口和农村“五保户”、残疾人员，通过提高基础养老金、实行农村低保标准与扶贫标准“两线合一”政策保障，市县两级按不低于2500元（2010年不变价）的脱贫标准补足差额，兜底保障脱贫。加大贫困人口保障力度，引导农村贫困人口积极参保续保。对当年超过低保标准但收入尚不稳定的农村家庭，实行渐退低保帮扶。通过实施合作医疗、大病保险、重特大疾病救助、临时救助和政府集中供养或分散供养方式等政策，保障脱贫。积极开展医疗救助脱贫，对无劳动能力的贫困人口，由政府全额出资参加新型合作医疗。门诊统筹先覆盖所有贫困县，建立贫困人口健康卡，对贫困人口大病实行分类救治和先诊疗后付费的结算制度。将贫困人口全部纳入重特大疾病救助范围。对新型农村合作医疗、大病保险、重特大疾病救助等支付后自付费用仍有困难的贫困户，再进行临时救助和补助。建立三级医院（含部队医院）与贫困县县级医院稳定持续的一对一对口帮扶关系，实行二级以上医疗机构对口支援贫困地区乡镇卫生院全覆盖。为贫困地区县乡医疗卫生机构订单定向免费培养医学类本专科生，支持贫困地区实施全科医生特设岗位计划。</w:t>
      </w:r>
    </w:p>
    <w:p>
      <w:pPr>
        <w:spacing w:line="600" w:lineRule="exact"/>
        <w:ind w:firstLine="643"/>
        <w:rPr>
          <w:rFonts w:ascii="Times New Roman"/>
          <w:b/>
          <w:color w:val="000000"/>
          <w:sz w:val="32"/>
          <w:szCs w:val="32"/>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noWrap w:val="0"/>
            <w:vAlign w:val="top"/>
          </w:tcPr>
          <w:p>
            <w:pPr>
              <w:spacing w:line="560" w:lineRule="exact"/>
              <w:ind w:firstLine="0" w:firstLineChars="0"/>
              <w:jc w:val="center"/>
              <w:rPr>
                <w:rFonts w:ascii="Times New Roman" w:eastAsia="黑体"/>
                <w:b/>
                <w:color w:val="000000"/>
                <w:sz w:val="28"/>
                <w:szCs w:val="28"/>
              </w:rPr>
            </w:pPr>
          </w:p>
          <w:p>
            <w:pPr>
              <w:spacing w:line="560" w:lineRule="exact"/>
              <w:ind w:firstLine="0" w:firstLineChars="0"/>
              <w:jc w:val="center"/>
              <w:rPr>
                <w:rFonts w:ascii="Times New Roman" w:eastAsia="黑体"/>
                <w:b/>
                <w:color w:val="000000"/>
                <w:sz w:val="32"/>
                <w:szCs w:val="32"/>
              </w:rPr>
            </w:pPr>
            <w:r>
              <w:rPr>
                <w:rFonts w:ascii="Times New Roman" w:eastAsia="黑体"/>
                <w:b/>
                <w:color w:val="000000"/>
                <w:sz w:val="32"/>
                <w:szCs w:val="32"/>
              </w:rPr>
              <w:t>专栏6-1  扶贫开发“五个一批”工程</w:t>
            </w:r>
          </w:p>
          <w:p>
            <w:pPr>
              <w:spacing w:line="560" w:lineRule="exact"/>
              <w:ind w:firstLine="0" w:firstLineChars="0"/>
              <w:jc w:val="center"/>
              <w:rPr>
                <w:rFonts w:ascii="Times New Roman" w:eastAsia="黑体"/>
                <w:b/>
                <w:color w:val="000000"/>
                <w:sz w:val="32"/>
                <w:szCs w:val="32"/>
              </w:rPr>
            </w:pPr>
          </w:p>
          <w:p>
            <w:pPr>
              <w:autoSpaceDE w:val="0"/>
              <w:autoSpaceDN w:val="0"/>
              <w:adjustRightInd w:val="0"/>
              <w:spacing w:line="560" w:lineRule="exact"/>
              <w:ind w:firstLine="562"/>
              <w:rPr>
                <w:rFonts w:ascii="Times New Roman" w:eastAsia="宋体-PUA"/>
                <w:b/>
                <w:color w:val="000000"/>
                <w:sz w:val="28"/>
                <w:szCs w:val="28"/>
              </w:rPr>
            </w:pPr>
            <w:r>
              <w:rPr>
                <w:rFonts w:ascii="Times New Roman" w:eastAsia="宋体-PUA"/>
                <w:b/>
                <w:color w:val="000000"/>
                <w:sz w:val="28"/>
                <w:szCs w:val="28"/>
              </w:rPr>
              <w:t>产业就业扶贫工程。大力扶持贫困户和贫困地区发展特色优势产业，积极推进各类扶贫产业项目，开展职业技能培训、扩大劳务输出、增设公益性和爱心工作岗位等方式，多途径增加贫困人口收入。该工程覆盖和带动贫困村988个，扶持带动贫困人口26.2万人，开展职业技能培训30万人次，增设各类公益性岗位5000个，投放小额贷款40亿元，贫困地区新农村资金互助组织项目村发展到500个。</w:t>
            </w:r>
          </w:p>
          <w:p>
            <w:pPr>
              <w:autoSpaceDE w:val="0"/>
              <w:autoSpaceDN w:val="0"/>
              <w:adjustRightInd w:val="0"/>
              <w:spacing w:line="560" w:lineRule="exact"/>
              <w:ind w:firstLine="562"/>
              <w:rPr>
                <w:rFonts w:ascii="Times New Roman" w:eastAsia="宋体-PUA"/>
                <w:b/>
                <w:color w:val="000000"/>
                <w:sz w:val="28"/>
                <w:szCs w:val="28"/>
              </w:rPr>
            </w:pPr>
            <w:r>
              <w:rPr>
                <w:rFonts w:ascii="Times New Roman" w:eastAsia="宋体-PUA"/>
                <w:b/>
                <w:color w:val="000000"/>
                <w:sz w:val="28"/>
                <w:szCs w:val="28"/>
              </w:rPr>
              <w:t>易地扶贫搬迁工程。以改善贫困人口生产生活条件和脱贫致富为目标，对居住在生存环境恶劣地区的农村贫困群众进行易地搬迁，二年完成全市建档立卡贫困户1.45万户5.1万人，同时搬迁其它人员1.41万户5.6万人。</w:t>
            </w:r>
          </w:p>
          <w:p>
            <w:pPr>
              <w:autoSpaceDE w:val="0"/>
              <w:autoSpaceDN w:val="0"/>
              <w:adjustRightInd w:val="0"/>
              <w:spacing w:line="560" w:lineRule="exact"/>
              <w:ind w:firstLine="562"/>
              <w:rPr>
                <w:rFonts w:ascii="Times New Roman" w:eastAsia="宋体-PUA"/>
                <w:b/>
                <w:color w:val="000000"/>
                <w:sz w:val="28"/>
                <w:szCs w:val="28"/>
              </w:rPr>
            </w:pPr>
            <w:r>
              <w:rPr>
                <w:rFonts w:ascii="Times New Roman" w:eastAsia="宋体-PUA"/>
                <w:b/>
                <w:color w:val="000000"/>
                <w:sz w:val="28"/>
                <w:szCs w:val="28"/>
              </w:rPr>
              <w:t>生态补偿扶贫工程。增加对重点生态功能区、生态保护区的生态补偿转移支付资金，扩大政策实施范围，使当地有劳动能力的部分贫困人口转为生态保护人员。新增生态保护岗位80%以上为农村贫困人员。</w:t>
            </w:r>
          </w:p>
          <w:p>
            <w:pPr>
              <w:autoSpaceDE w:val="0"/>
              <w:autoSpaceDN w:val="0"/>
              <w:adjustRightInd w:val="0"/>
              <w:spacing w:line="560" w:lineRule="exact"/>
              <w:ind w:firstLine="562"/>
              <w:rPr>
                <w:rFonts w:ascii="Times New Roman" w:eastAsia="宋体-PUA"/>
                <w:b/>
                <w:color w:val="000000"/>
                <w:sz w:val="28"/>
                <w:szCs w:val="28"/>
              </w:rPr>
            </w:pPr>
            <w:r>
              <w:rPr>
                <w:rFonts w:ascii="Times New Roman" w:eastAsia="宋体-PUA"/>
                <w:b/>
                <w:color w:val="000000"/>
                <w:sz w:val="28"/>
                <w:szCs w:val="28"/>
              </w:rPr>
              <w:t>教育事业扶贫工程。加大对贫困家庭劳动力接受高等教育、职业教育、高中教育以及农村义务教育阶段家庭寄宿生的补助标准，组织实施贫困户子女职业技能培训，帮助其就学、就业。教育经费和乡村教师生活补助向贫困地区予以倾斜，提高贫困地区教育教学质量。</w:t>
            </w:r>
          </w:p>
          <w:p>
            <w:pPr>
              <w:autoSpaceDE w:val="0"/>
              <w:autoSpaceDN w:val="0"/>
              <w:adjustRightInd w:val="0"/>
              <w:spacing w:line="560" w:lineRule="exact"/>
              <w:ind w:firstLine="562"/>
              <w:rPr>
                <w:rFonts w:ascii="Times New Roman" w:eastAsia="黑体"/>
                <w:b/>
                <w:color w:val="000000"/>
                <w:sz w:val="28"/>
                <w:szCs w:val="28"/>
              </w:rPr>
            </w:pPr>
            <w:r>
              <w:rPr>
                <w:rFonts w:ascii="Times New Roman" w:eastAsia="宋体-PUA"/>
                <w:b/>
                <w:color w:val="000000"/>
                <w:sz w:val="28"/>
                <w:szCs w:val="28"/>
              </w:rPr>
              <w:t>社会保障兜底工程。对贫困人口中完全或部分丧失劳动能力的人，制定个性化扶持措施，实行农村低保标准与扶贫标准并轨，市县两级按照不低于省级脱贫标准补足差额。</w:t>
            </w:r>
          </w:p>
        </w:tc>
      </w:tr>
    </w:tbl>
    <w:p>
      <w:pPr>
        <w:autoSpaceDE w:val="0"/>
        <w:autoSpaceDN w:val="0"/>
        <w:adjustRightInd w:val="0"/>
        <w:spacing w:line="300" w:lineRule="exact"/>
        <w:ind w:firstLine="602"/>
        <w:rPr>
          <w:rFonts w:ascii="Times New Roman"/>
          <w:b/>
          <w:color w:val="000000"/>
        </w:rPr>
      </w:pPr>
    </w:p>
    <w:p>
      <w:pPr>
        <w:keepNext/>
        <w:keepLines/>
        <w:spacing w:line="600" w:lineRule="exact"/>
        <w:ind w:firstLine="0" w:firstLineChars="0"/>
        <w:jc w:val="center"/>
        <w:outlineLvl w:val="2"/>
        <w:rPr>
          <w:rFonts w:ascii="Times New Roman" w:eastAsia="黑体"/>
          <w:b/>
          <w:color w:val="000000"/>
          <w:kern w:val="0"/>
          <w:sz w:val="32"/>
          <w:szCs w:val="32"/>
        </w:rPr>
      </w:pPr>
      <w:bookmarkStart w:id="55" w:name="_Toc439878104"/>
      <w:r>
        <w:rPr>
          <w:rFonts w:ascii="Times New Roman" w:eastAsia="黑体"/>
          <w:b/>
          <w:color w:val="000000"/>
          <w:kern w:val="0"/>
          <w:sz w:val="32"/>
          <w:szCs w:val="32"/>
        </w:rPr>
        <w:t>第二十章  共建共享幸福美好生活</w:t>
      </w:r>
      <w:bookmarkEnd w:id="55"/>
    </w:p>
    <w:p>
      <w:pPr>
        <w:autoSpaceDE w:val="0"/>
        <w:autoSpaceDN w:val="0"/>
        <w:adjustRightInd w:val="0"/>
        <w:spacing w:line="300" w:lineRule="exact"/>
        <w:ind w:firstLine="602"/>
        <w:rPr>
          <w:rFonts w:ascii="Times New Roman"/>
          <w:b/>
          <w:color w:val="000000"/>
        </w:rPr>
      </w:pPr>
    </w:p>
    <w:p>
      <w:pPr>
        <w:spacing w:line="600" w:lineRule="exact"/>
        <w:ind w:firstLine="643"/>
        <w:rPr>
          <w:rFonts w:ascii="Times New Roman"/>
          <w:b/>
          <w:color w:val="000000"/>
          <w:sz w:val="32"/>
          <w:szCs w:val="32"/>
        </w:rPr>
      </w:pPr>
      <w:r>
        <w:rPr>
          <w:rFonts w:ascii="Times New Roman"/>
          <w:b/>
          <w:color w:val="000000"/>
          <w:sz w:val="32"/>
          <w:szCs w:val="32"/>
        </w:rPr>
        <w:t>坚持以民为本，坚守底线、突出重点、完善制度，持续加大基本公共服务领域投入力度，实施重点领域民生工程和惠民便民实事，加快建立健全符合市情、覆盖城乡、可持续发展的基本公共服务体系，使发展成果更多、更公平惠及全市人民，打造幸福宜居典范。</w:t>
      </w:r>
    </w:p>
    <w:p>
      <w:pPr>
        <w:autoSpaceDE w:val="0"/>
        <w:autoSpaceDN w:val="0"/>
        <w:adjustRightInd w:val="0"/>
        <w:spacing w:line="300" w:lineRule="exact"/>
        <w:ind w:firstLine="602"/>
        <w:rPr>
          <w:rFonts w:ascii="Times New Roman"/>
          <w:b/>
          <w:color w:val="000000"/>
        </w:rPr>
      </w:pPr>
    </w:p>
    <w:p>
      <w:pPr>
        <w:keepNext/>
        <w:keepLines/>
        <w:spacing w:line="600" w:lineRule="exact"/>
        <w:ind w:firstLine="0" w:firstLineChars="0"/>
        <w:jc w:val="center"/>
        <w:outlineLvl w:val="2"/>
        <w:rPr>
          <w:rFonts w:ascii="Times New Roman" w:eastAsia="宋体"/>
          <w:b/>
          <w:color w:val="000000"/>
          <w:kern w:val="0"/>
          <w:sz w:val="32"/>
          <w:szCs w:val="32"/>
        </w:rPr>
      </w:pPr>
      <w:bookmarkStart w:id="56" w:name="_Toc439878105"/>
      <w:bookmarkStart w:id="57" w:name="_Toc439877183"/>
      <w:r>
        <w:rPr>
          <w:rFonts w:ascii="Times New Roman" w:eastAsia="宋体"/>
          <w:b/>
          <w:color w:val="000000"/>
          <w:kern w:val="0"/>
          <w:sz w:val="32"/>
          <w:szCs w:val="32"/>
        </w:rPr>
        <w:t>第一节  全面推进教育事业发展</w:t>
      </w:r>
      <w:bookmarkEnd w:id="56"/>
      <w:bookmarkEnd w:id="57"/>
    </w:p>
    <w:p>
      <w:pPr>
        <w:autoSpaceDE w:val="0"/>
        <w:autoSpaceDN w:val="0"/>
        <w:adjustRightInd w:val="0"/>
        <w:spacing w:line="300" w:lineRule="exact"/>
        <w:ind w:firstLine="602"/>
        <w:rPr>
          <w:rFonts w:ascii="Times New Roman"/>
          <w:b/>
          <w:color w:val="000000"/>
        </w:rPr>
      </w:pPr>
    </w:p>
    <w:p>
      <w:pPr>
        <w:spacing w:line="600" w:lineRule="exact"/>
        <w:ind w:firstLine="643"/>
        <w:rPr>
          <w:rFonts w:ascii="Times New Roman"/>
          <w:b/>
          <w:color w:val="000000"/>
          <w:sz w:val="32"/>
          <w:szCs w:val="32"/>
        </w:rPr>
      </w:pPr>
      <w:r>
        <w:rPr>
          <w:rFonts w:ascii="Times New Roman"/>
          <w:b/>
          <w:color w:val="000000"/>
          <w:sz w:val="32"/>
          <w:szCs w:val="32"/>
        </w:rPr>
        <w:t>全面落实《咸阳市教育基础设施建设规划（2014-2020年）》，调整优化中小学布局，改善基础教育办学条件。全面普及学前三年教育，大力推进第二期学前教育三年行动计划和学前教育推进工程，加大公办幼儿园建设，扶持普惠性民办幼儿园发展。到2020年，全市县级城区新建和扩建公办幼儿园29所，新建和改扩建镇办中心幼儿园132所。促进义务教育均衡发展，加快义务教育学校标准化建设，实现“双高双普”目标。继续推进县城以上城区中小学建设，实施改善农村义务教育薄弱学校基本办学条件工程。普及高中阶段教育，</w:t>
      </w:r>
      <w:r>
        <w:rPr>
          <w:rFonts w:ascii="Times New Roman"/>
          <w:b/>
          <w:color w:val="000000"/>
          <w:sz w:val="32"/>
          <w:szCs w:val="32"/>
          <w:shd w:val="clear" w:color="auto" w:fill="FFFFFF"/>
        </w:rPr>
        <w:t>率先从建档立卡的家庭经济困难学生实施普通高中免除学杂费，逐步分类推进中等职业教育免除学杂费。</w:t>
      </w:r>
      <w:r>
        <w:rPr>
          <w:rFonts w:ascii="Times New Roman"/>
          <w:b/>
          <w:color w:val="000000"/>
          <w:sz w:val="32"/>
          <w:szCs w:val="32"/>
        </w:rPr>
        <w:t>到2020年，创建省级示范高中10所，普通高中标准化学校达到100%。充分发挥职教联盟作用，大力发展面向产业和企业需求的职业教育，继续开展第二轮职业教育标准化建设，重点支持建设4个区域职教中心，加快建设6个特色职教中心，建设1所国家级示范性职业学校。促进高等教育发展提升，全面支持西藏民族学院建设和发展。支持陕西中医药大学、西藏民族大学、咸阳师范学院、咸阳职业技术学院建设，促进高等院校特色化、专业化发展。全面推进继续教育，加快建设2个国家级社区教育</w:t>
      </w:r>
      <w:r>
        <w:rPr>
          <w:rFonts w:hint="eastAsia" w:ascii="Times New Roman"/>
          <w:b/>
          <w:color w:val="000000"/>
          <w:sz w:val="32"/>
          <w:szCs w:val="32"/>
        </w:rPr>
        <w:t>实验</w:t>
      </w:r>
      <w:r>
        <w:rPr>
          <w:rFonts w:ascii="Times New Roman"/>
          <w:b/>
          <w:color w:val="000000"/>
          <w:sz w:val="32"/>
          <w:szCs w:val="32"/>
        </w:rPr>
        <w:t>（示范）区和10个省级社区教育实验（示范）区。实施特殊教育三年提升计划，不断提高特殊教育保障水平，迁建市特殊教育学校。</w:t>
      </w:r>
    </w:p>
    <w:p>
      <w:pPr>
        <w:spacing w:line="600" w:lineRule="exact"/>
        <w:ind w:firstLine="643"/>
        <w:rPr>
          <w:rFonts w:ascii="Times New Roman"/>
          <w:b/>
          <w:color w:val="000000"/>
          <w:sz w:val="32"/>
          <w:szCs w:val="32"/>
          <w:shd w:val="clear" w:color="auto" w:fill="FFFFFF"/>
        </w:rPr>
      </w:pPr>
      <w:r>
        <w:rPr>
          <w:rFonts w:ascii="Times New Roman"/>
          <w:b/>
          <w:color w:val="000000"/>
          <w:sz w:val="32"/>
          <w:szCs w:val="32"/>
          <w:shd w:val="clear" w:color="auto" w:fill="FFFFFF"/>
        </w:rPr>
        <w:t>围绕立德树人教育根本任务，全面实施素质教育，深化考试招生制度改革和教育教学改革，创新人才培养机制，增强学生社会责任感、创新精神、实践能力。合理配置教育资源，</w:t>
      </w:r>
      <w:r>
        <w:rPr>
          <w:rFonts w:ascii="Times New Roman"/>
          <w:b/>
          <w:color w:val="000000"/>
          <w:sz w:val="32"/>
          <w:szCs w:val="32"/>
        </w:rPr>
        <w:t>实行校长教师交流轮岗、优质学校与薄弱学校结对帮扶和交流服务制度，</w:t>
      </w:r>
      <w:r>
        <w:rPr>
          <w:rFonts w:ascii="Times New Roman"/>
          <w:b/>
          <w:color w:val="000000"/>
          <w:sz w:val="32"/>
          <w:szCs w:val="32"/>
          <w:shd w:val="clear" w:color="auto" w:fill="FFFFFF"/>
        </w:rPr>
        <w:t>缩小义务教育城乡、区域、学校、群体之间的差距。完善资助方式，实现家庭经济困难学生资助全覆盖。支持和规范民办教育发展，鼓励社会力量和民间资本提供多样化教育服务。</w:t>
      </w:r>
    </w:p>
    <w:p>
      <w:pPr>
        <w:spacing w:line="600" w:lineRule="exact"/>
        <w:ind w:firstLine="643"/>
        <w:rPr>
          <w:rFonts w:ascii="Times New Roman"/>
          <w:b/>
          <w:color w:val="000000"/>
          <w:sz w:val="32"/>
          <w:szCs w:val="32"/>
          <w:shd w:val="clear" w:color="auto" w:fill="FFFFFF"/>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wAfter w:w="0" w:type="dxa"/>
          <w:trHeight w:val="4100" w:hRule="atLeast"/>
          <w:jc w:val="center"/>
        </w:trPr>
        <w:tc>
          <w:tcPr>
            <w:tcW w:w="8844" w:type="dxa"/>
            <w:noWrap w:val="0"/>
            <w:vAlign w:val="top"/>
          </w:tcPr>
          <w:p>
            <w:pPr>
              <w:spacing w:line="560" w:lineRule="exact"/>
              <w:ind w:firstLine="0" w:firstLineChars="0"/>
              <w:jc w:val="center"/>
              <w:rPr>
                <w:rFonts w:ascii="Times New Roman" w:eastAsia="黑体"/>
                <w:b/>
                <w:color w:val="000000"/>
                <w:sz w:val="28"/>
                <w:szCs w:val="28"/>
              </w:rPr>
            </w:pPr>
          </w:p>
          <w:p>
            <w:pPr>
              <w:spacing w:line="560" w:lineRule="exact"/>
              <w:ind w:firstLine="0" w:firstLineChars="0"/>
              <w:jc w:val="center"/>
              <w:rPr>
                <w:rFonts w:ascii="Times New Roman" w:eastAsia="黑体"/>
                <w:b/>
                <w:color w:val="000000"/>
                <w:sz w:val="32"/>
                <w:szCs w:val="32"/>
              </w:rPr>
            </w:pPr>
            <w:r>
              <w:rPr>
                <w:rFonts w:ascii="Times New Roman" w:eastAsia="黑体"/>
                <w:b/>
                <w:color w:val="000000"/>
                <w:sz w:val="32"/>
                <w:szCs w:val="32"/>
              </w:rPr>
              <w:t>专栏6-2  教育事业重点项目</w:t>
            </w:r>
          </w:p>
          <w:p>
            <w:pPr>
              <w:spacing w:line="560" w:lineRule="exact"/>
              <w:ind w:firstLine="0" w:firstLineChars="0"/>
              <w:jc w:val="center"/>
              <w:rPr>
                <w:rFonts w:ascii="Times New Roman" w:eastAsia="黑体"/>
                <w:b/>
                <w:color w:val="000000"/>
                <w:sz w:val="28"/>
                <w:szCs w:val="28"/>
              </w:rPr>
            </w:pPr>
          </w:p>
          <w:p>
            <w:pPr>
              <w:spacing w:line="600" w:lineRule="exact"/>
              <w:ind w:firstLine="562"/>
              <w:rPr>
                <w:rFonts w:ascii="Times New Roman" w:eastAsia="宋体-PUA"/>
                <w:b/>
                <w:color w:val="000000"/>
                <w:sz w:val="28"/>
                <w:szCs w:val="28"/>
              </w:rPr>
            </w:pPr>
            <w:r>
              <w:rPr>
                <w:rFonts w:ascii="Times New Roman" w:eastAsia="宋体-PUA"/>
                <w:b/>
                <w:color w:val="000000"/>
                <w:sz w:val="28"/>
                <w:szCs w:val="28"/>
              </w:rPr>
              <w:t>全面改善义务教育薄弱学校基本办学条件工程：规划总投资25亿元，实施1000所中小学教学和生活设施、运动场地及附属设施建设。</w:t>
            </w:r>
          </w:p>
          <w:p>
            <w:pPr>
              <w:spacing w:line="600" w:lineRule="exact"/>
              <w:ind w:firstLine="562"/>
              <w:rPr>
                <w:rFonts w:ascii="Times New Roman" w:eastAsia="宋体-PUA"/>
                <w:b/>
                <w:color w:val="000000"/>
                <w:sz w:val="28"/>
                <w:szCs w:val="28"/>
              </w:rPr>
            </w:pPr>
            <w:r>
              <w:rPr>
                <w:rFonts w:ascii="Times New Roman" w:eastAsia="宋体-PUA"/>
                <w:b/>
                <w:color w:val="000000"/>
                <w:sz w:val="28"/>
                <w:szCs w:val="28"/>
              </w:rPr>
              <w:t>高中标准化建设工程：规划总投资20亿元，新建和改扩建彩虹中学、实验中学等32所高中。</w:t>
            </w:r>
          </w:p>
          <w:p>
            <w:pPr>
              <w:spacing w:line="600" w:lineRule="exact"/>
              <w:ind w:firstLine="562"/>
              <w:rPr>
                <w:rFonts w:ascii="Times New Roman" w:eastAsia="宋体-PUA"/>
                <w:b/>
                <w:color w:val="000000"/>
                <w:sz w:val="28"/>
                <w:szCs w:val="28"/>
              </w:rPr>
            </w:pPr>
            <w:r>
              <w:rPr>
                <w:rFonts w:ascii="Times New Roman" w:eastAsia="宋体-PUA"/>
                <w:b/>
                <w:color w:val="000000"/>
                <w:sz w:val="28"/>
                <w:szCs w:val="28"/>
              </w:rPr>
              <w:t>职教能力提升工程：规划总投资10亿元，建设咸阳市职业技术学院，实施以秦都、彬县、礼泉、武功为龙头的4个区域职教中心和其他9所标准化职教中心教学、实训及附属设施建设。</w:t>
            </w:r>
          </w:p>
          <w:p>
            <w:pPr>
              <w:spacing w:line="600" w:lineRule="exact"/>
              <w:ind w:firstLine="562"/>
              <w:rPr>
                <w:rFonts w:ascii="Times New Roman" w:eastAsia="宋体-PUA"/>
                <w:b/>
                <w:color w:val="000000"/>
                <w:sz w:val="28"/>
                <w:szCs w:val="28"/>
              </w:rPr>
            </w:pPr>
            <w:r>
              <w:rPr>
                <w:rFonts w:ascii="Times New Roman" w:eastAsia="宋体-PUA"/>
                <w:b/>
                <w:color w:val="000000"/>
                <w:sz w:val="28"/>
                <w:szCs w:val="28"/>
              </w:rPr>
              <w:t>县城以上城区中小学建设工程：规划总投资8亿元，实施咸阳市实验中小学改扩建等120所城区中小学建设。</w:t>
            </w:r>
          </w:p>
          <w:p>
            <w:pPr>
              <w:spacing w:line="600" w:lineRule="exact"/>
              <w:ind w:firstLine="562"/>
              <w:rPr>
                <w:rFonts w:ascii="Times New Roman" w:eastAsia="宋体-PUA"/>
                <w:b/>
                <w:color w:val="000000"/>
                <w:sz w:val="28"/>
                <w:szCs w:val="28"/>
              </w:rPr>
            </w:pPr>
            <w:r>
              <w:rPr>
                <w:rFonts w:ascii="Times New Roman" w:eastAsia="宋体-PUA"/>
                <w:b/>
                <w:color w:val="000000"/>
                <w:sz w:val="28"/>
                <w:szCs w:val="28"/>
              </w:rPr>
              <w:t>学前教育推进工程：加快实施第二期学前教育行动计划和学前教育推进工程。到2020年，规划总投资6亿元，全市新建和改扩建幼儿园208所。</w:t>
            </w:r>
          </w:p>
          <w:p>
            <w:pPr>
              <w:spacing w:line="600" w:lineRule="exact"/>
              <w:ind w:firstLine="562"/>
              <w:rPr>
                <w:rFonts w:ascii="Times New Roman"/>
                <w:b/>
                <w:color w:val="000000"/>
                <w:sz w:val="28"/>
                <w:szCs w:val="28"/>
              </w:rPr>
            </w:pPr>
            <w:r>
              <w:rPr>
                <w:rFonts w:ascii="Times New Roman" w:eastAsia="宋体-PUA"/>
                <w:b/>
                <w:color w:val="000000"/>
                <w:sz w:val="28"/>
                <w:szCs w:val="28"/>
              </w:rPr>
              <w:t>足球特色学校建设工程：规划总投资5亿元，新建和改扩建200所足球特色学校标准化足球场。</w:t>
            </w:r>
          </w:p>
        </w:tc>
      </w:tr>
    </w:tbl>
    <w:p>
      <w:pPr>
        <w:keepNext/>
        <w:keepLines/>
        <w:spacing w:line="300" w:lineRule="exact"/>
        <w:ind w:firstLine="0" w:firstLineChars="0"/>
        <w:jc w:val="center"/>
        <w:outlineLvl w:val="2"/>
        <w:rPr>
          <w:rFonts w:ascii="Times New Roman" w:eastAsia="宋体"/>
          <w:b/>
          <w:color w:val="000000"/>
          <w:kern w:val="0"/>
          <w:sz w:val="32"/>
          <w:szCs w:val="32"/>
        </w:rPr>
      </w:pPr>
      <w:bookmarkStart w:id="58" w:name="_Toc439878106"/>
      <w:bookmarkStart w:id="59" w:name="_Toc439877184"/>
    </w:p>
    <w:p>
      <w:pPr>
        <w:keepNext/>
        <w:keepLines/>
        <w:spacing w:line="600" w:lineRule="exact"/>
        <w:ind w:firstLine="0" w:firstLineChars="0"/>
        <w:jc w:val="center"/>
        <w:outlineLvl w:val="2"/>
        <w:rPr>
          <w:rFonts w:ascii="Times New Roman" w:eastAsia="宋体"/>
          <w:b/>
          <w:color w:val="000000"/>
          <w:kern w:val="0"/>
          <w:sz w:val="32"/>
          <w:szCs w:val="32"/>
        </w:rPr>
      </w:pPr>
      <w:r>
        <w:rPr>
          <w:rFonts w:ascii="Times New Roman" w:eastAsia="宋体"/>
          <w:b/>
          <w:color w:val="000000"/>
          <w:kern w:val="0"/>
          <w:sz w:val="32"/>
          <w:szCs w:val="32"/>
        </w:rPr>
        <w:t xml:space="preserve">第二节  </w:t>
      </w:r>
      <w:bookmarkEnd w:id="58"/>
      <w:bookmarkEnd w:id="59"/>
      <w:r>
        <w:rPr>
          <w:rFonts w:ascii="Times New Roman" w:eastAsia="宋体"/>
          <w:b/>
          <w:color w:val="000000"/>
          <w:kern w:val="0"/>
          <w:sz w:val="32"/>
          <w:szCs w:val="32"/>
        </w:rPr>
        <w:t xml:space="preserve">保持就业稳定 </w:t>
      </w:r>
    </w:p>
    <w:p>
      <w:pPr>
        <w:keepNext/>
        <w:keepLines/>
        <w:spacing w:line="300" w:lineRule="exact"/>
        <w:ind w:firstLine="0" w:firstLineChars="0"/>
        <w:outlineLvl w:val="2"/>
        <w:rPr>
          <w:rFonts w:ascii="Times New Roman" w:eastAsia="宋体"/>
          <w:b/>
          <w:color w:val="000000"/>
          <w:kern w:val="0"/>
          <w:sz w:val="32"/>
          <w:szCs w:val="32"/>
        </w:rPr>
      </w:pPr>
    </w:p>
    <w:p>
      <w:pPr>
        <w:spacing w:line="600" w:lineRule="exact"/>
        <w:ind w:firstLine="643"/>
        <w:rPr>
          <w:rFonts w:ascii="Times New Roman"/>
          <w:b/>
          <w:color w:val="000000"/>
          <w:sz w:val="32"/>
          <w:szCs w:val="32"/>
          <w:shd w:val="clear" w:color="auto" w:fill="FFFFFF"/>
        </w:rPr>
      </w:pPr>
      <w:r>
        <w:rPr>
          <w:rFonts w:ascii="Times New Roman"/>
          <w:b/>
          <w:color w:val="000000"/>
          <w:sz w:val="32"/>
          <w:szCs w:val="32"/>
        </w:rPr>
        <w:t>坚持就业优先战略，实施更加积极的就业政策，创造更多就业岗位，提高就业质量。</w:t>
      </w:r>
      <w:r>
        <w:rPr>
          <w:rFonts w:ascii="Times New Roman"/>
          <w:b/>
          <w:color w:val="000000"/>
          <w:sz w:val="32"/>
          <w:szCs w:val="32"/>
          <w:shd w:val="clear" w:color="auto" w:fill="FFFFFF"/>
        </w:rPr>
        <w:t>更加重视以高校毕业生为重点的青年就业创业，统筹做好城镇就业困难人员、农村转移劳动力、退役军人等重点群体就业工作，</w:t>
      </w:r>
      <w:r>
        <w:rPr>
          <w:rFonts w:ascii="Times New Roman"/>
          <w:b/>
          <w:color w:val="000000"/>
          <w:sz w:val="32"/>
          <w:szCs w:val="32"/>
        </w:rPr>
        <w:t>建立健全覆盖城乡的公共就业服务体系</w:t>
      </w:r>
      <w:r>
        <w:rPr>
          <w:rFonts w:ascii="Times New Roman"/>
          <w:b/>
          <w:color w:val="000000"/>
          <w:sz w:val="32"/>
          <w:szCs w:val="32"/>
          <w:shd w:val="clear" w:color="auto" w:fill="FFFFFF"/>
        </w:rPr>
        <w:t>。加强对灵活就业、新就业形态的政策支持，促进劳动者自主就业。注重发展吸纳就业能力强的产业，健全政府投资和重大项目建设带动就业机制。完善创业扶持政策，鼓励以创业带动就业。加大对创业投融资的服务力度，支持创业担保贷款发展。加大职业技能培训和创业培训力度，推行终身职业技能培训制度。加快建立统一规范灵活的人力资源市场，维护劳动者平等就业权利。建立和谐劳动关系，维护职工和企业合法权益。“十三五”期间城镇新增就业累计30万人，转移农村劳动力50万人，到2020年，城镇登记失业率控制在4%以内。</w:t>
      </w:r>
    </w:p>
    <w:p>
      <w:pPr>
        <w:keepNext/>
        <w:keepLines/>
        <w:spacing w:line="300" w:lineRule="exact"/>
        <w:ind w:firstLine="0" w:firstLineChars="0"/>
        <w:jc w:val="center"/>
        <w:outlineLvl w:val="2"/>
        <w:rPr>
          <w:rFonts w:ascii="Times New Roman" w:eastAsia="宋体"/>
          <w:b/>
          <w:color w:val="000000"/>
          <w:kern w:val="0"/>
          <w:sz w:val="32"/>
          <w:szCs w:val="32"/>
        </w:rPr>
      </w:pPr>
      <w:bookmarkStart w:id="60" w:name="_Toc439877185"/>
      <w:bookmarkStart w:id="61" w:name="_Toc439878107"/>
    </w:p>
    <w:p>
      <w:pPr>
        <w:keepNext/>
        <w:keepLines/>
        <w:spacing w:line="600" w:lineRule="exact"/>
        <w:ind w:firstLine="0" w:firstLineChars="0"/>
        <w:jc w:val="center"/>
        <w:outlineLvl w:val="2"/>
        <w:rPr>
          <w:rFonts w:ascii="Times New Roman" w:eastAsia="宋体"/>
          <w:b/>
          <w:color w:val="000000"/>
          <w:kern w:val="0"/>
          <w:sz w:val="32"/>
          <w:szCs w:val="32"/>
        </w:rPr>
      </w:pPr>
      <w:r>
        <w:rPr>
          <w:rFonts w:ascii="Times New Roman" w:eastAsia="宋体"/>
          <w:b/>
          <w:color w:val="000000"/>
          <w:kern w:val="0"/>
          <w:sz w:val="32"/>
          <w:szCs w:val="32"/>
        </w:rPr>
        <w:t>第三节  着力提高城乡居民收入</w:t>
      </w:r>
      <w:bookmarkEnd w:id="60"/>
      <w:bookmarkEnd w:id="61"/>
    </w:p>
    <w:p>
      <w:pPr>
        <w:keepNext/>
        <w:keepLines/>
        <w:spacing w:line="300" w:lineRule="exact"/>
        <w:ind w:firstLine="0" w:firstLineChars="0"/>
        <w:jc w:val="center"/>
        <w:outlineLvl w:val="2"/>
        <w:rPr>
          <w:rFonts w:ascii="Times New Roman" w:eastAsia="宋体"/>
          <w:b/>
          <w:color w:val="000000"/>
          <w:kern w:val="0"/>
          <w:sz w:val="32"/>
          <w:szCs w:val="32"/>
        </w:rPr>
      </w:pPr>
    </w:p>
    <w:p>
      <w:pPr>
        <w:spacing w:line="600" w:lineRule="exact"/>
        <w:ind w:firstLine="643"/>
        <w:rPr>
          <w:rFonts w:ascii="Times New Roman"/>
          <w:b/>
          <w:color w:val="000000"/>
          <w:sz w:val="32"/>
          <w:szCs w:val="32"/>
        </w:rPr>
      </w:pPr>
      <w:r>
        <w:rPr>
          <w:rFonts w:ascii="Times New Roman"/>
          <w:b/>
          <w:color w:val="000000"/>
          <w:sz w:val="32"/>
          <w:szCs w:val="32"/>
          <w:shd w:val="clear" w:color="auto" w:fill="FFFFFF"/>
        </w:rPr>
        <w:t>坚持居民收入增长和经济增长同步、劳动报酬提高和劳动生产率提高同步，深入实施居民收入倍增计划，持续增加城乡居民收入。加快完善收入分配调控机制和政策体系，健全资本、知识、技术、管理等由要素市场决定的报酬机制，完善以税收、社会保障、转移支付等为主要手段的再分配调节机制。规范收入分配秩序，缩小城乡、区域、行业收入分配差距。明显增加低收入劳动者收入，扩大中等收入者比重，多渠道增加居民财产性收入。健全工资决定机制、正常增长机制、支付保障机制，完善最低工资增长机制和企业工资集体协商制度。完善适应机关事业单位特点的工资制度。</w:t>
      </w:r>
      <w:r>
        <w:rPr>
          <w:rFonts w:ascii="Times New Roman"/>
          <w:b/>
          <w:color w:val="000000"/>
          <w:sz w:val="32"/>
          <w:szCs w:val="32"/>
        </w:rPr>
        <w:t>到2020年，居民人均可支配收入年均增长10%。</w:t>
      </w:r>
    </w:p>
    <w:p>
      <w:pPr>
        <w:keepNext/>
        <w:keepLines/>
        <w:spacing w:line="300" w:lineRule="exact"/>
        <w:ind w:firstLine="0" w:firstLineChars="0"/>
        <w:jc w:val="center"/>
        <w:outlineLvl w:val="2"/>
        <w:rPr>
          <w:rFonts w:ascii="Times New Roman" w:eastAsia="宋体"/>
          <w:b/>
          <w:color w:val="000000"/>
          <w:kern w:val="0"/>
          <w:sz w:val="32"/>
          <w:szCs w:val="32"/>
        </w:rPr>
      </w:pPr>
    </w:p>
    <w:p>
      <w:pPr>
        <w:keepNext/>
        <w:keepLines/>
        <w:spacing w:line="600" w:lineRule="exact"/>
        <w:ind w:firstLine="0" w:firstLineChars="0"/>
        <w:jc w:val="center"/>
        <w:outlineLvl w:val="2"/>
        <w:rPr>
          <w:rFonts w:ascii="Times New Roman" w:eastAsia="宋体"/>
          <w:b/>
          <w:color w:val="000000"/>
          <w:kern w:val="0"/>
          <w:sz w:val="32"/>
          <w:szCs w:val="32"/>
        </w:rPr>
      </w:pPr>
      <w:bookmarkStart w:id="62" w:name="_Toc439878108"/>
      <w:bookmarkStart w:id="63" w:name="_Toc439877186"/>
      <w:r>
        <w:rPr>
          <w:rFonts w:ascii="Times New Roman" w:eastAsia="宋体"/>
          <w:b/>
          <w:color w:val="000000"/>
          <w:kern w:val="0"/>
          <w:sz w:val="32"/>
          <w:szCs w:val="32"/>
        </w:rPr>
        <w:t>第四节  健全社会保障体系</w:t>
      </w:r>
      <w:bookmarkEnd w:id="62"/>
      <w:bookmarkEnd w:id="63"/>
    </w:p>
    <w:p>
      <w:pPr>
        <w:keepNext/>
        <w:keepLines/>
        <w:spacing w:line="300" w:lineRule="exact"/>
        <w:ind w:firstLine="0" w:firstLineChars="0"/>
        <w:jc w:val="center"/>
        <w:outlineLvl w:val="2"/>
        <w:rPr>
          <w:rFonts w:ascii="Times New Roman" w:eastAsia="宋体"/>
          <w:b/>
          <w:color w:val="000000"/>
          <w:kern w:val="0"/>
          <w:sz w:val="32"/>
          <w:szCs w:val="32"/>
        </w:rPr>
      </w:pPr>
    </w:p>
    <w:p>
      <w:pPr>
        <w:spacing w:line="600" w:lineRule="exact"/>
        <w:ind w:firstLine="643"/>
        <w:rPr>
          <w:rFonts w:ascii="Times New Roman"/>
          <w:b/>
          <w:color w:val="000000"/>
          <w:sz w:val="32"/>
          <w:szCs w:val="32"/>
        </w:rPr>
      </w:pPr>
      <w:r>
        <w:rPr>
          <w:rFonts w:ascii="Times New Roman"/>
          <w:b/>
          <w:color w:val="000000"/>
          <w:sz w:val="32"/>
          <w:szCs w:val="32"/>
        </w:rPr>
        <w:t>坚持全覆盖、保基本、多层次、可持续的方针，实现基本制度定型完备、法定人群全面覆盖、基本标准合理调整，建成更加公平、更可持续的社会保障制度。全面实施机关事业单位养老保险制度，完善基本养老保险关系转移衔接政策。实施渐进式延迟退休年龄方案。发展职业年金、企业年金、商业养老保险。建立基本养老金合理调整机制。到2020年，城乡居民养老保险参保率</w:t>
      </w:r>
      <w:r>
        <w:rPr>
          <w:rFonts w:hint="eastAsia" w:ascii="Times New Roman"/>
          <w:b/>
          <w:color w:val="000000"/>
          <w:sz w:val="32"/>
          <w:szCs w:val="32"/>
        </w:rPr>
        <w:t>达到</w:t>
      </w:r>
      <w:r>
        <w:rPr>
          <w:rFonts w:ascii="Times New Roman"/>
          <w:b/>
          <w:color w:val="000000"/>
          <w:sz w:val="32"/>
          <w:szCs w:val="32"/>
        </w:rPr>
        <w:t>98%以上。整合城乡居民基本医疗保险制度。全面实施城乡居民大病保险制度。实现市内异地就医费用即时结算，稳步推进跨市异地就医即时结算工作。适时调整城镇居民基本医疗保险筹资标准和保障水平，逐步提高城镇居民基本医疗保险政策范围内的住院费用报销比例，扩大和提高门诊费用报销范围和比例。鼓励发展补充医疗保险和商业健康保险。鼓励商业保险机构参与医保经办。到2020年，城镇居民医疗保险参保率</w:t>
      </w:r>
      <w:r>
        <w:rPr>
          <w:rFonts w:hint="eastAsia" w:ascii="Times New Roman"/>
          <w:b/>
          <w:color w:val="000000"/>
          <w:sz w:val="32"/>
          <w:szCs w:val="32"/>
        </w:rPr>
        <w:t>达到</w:t>
      </w:r>
      <w:r>
        <w:rPr>
          <w:rFonts w:ascii="Times New Roman"/>
          <w:b/>
          <w:color w:val="000000"/>
          <w:sz w:val="32"/>
          <w:szCs w:val="32"/>
        </w:rPr>
        <w:t>98%以上，新型农村合作医疗参合率</w:t>
      </w:r>
      <w:r>
        <w:rPr>
          <w:rFonts w:hint="eastAsia" w:ascii="Times New Roman"/>
          <w:b/>
          <w:color w:val="000000"/>
          <w:sz w:val="32"/>
          <w:szCs w:val="32"/>
        </w:rPr>
        <w:t>达到</w:t>
      </w:r>
      <w:r>
        <w:rPr>
          <w:rFonts w:ascii="Times New Roman"/>
          <w:b/>
          <w:color w:val="000000"/>
          <w:sz w:val="32"/>
          <w:szCs w:val="32"/>
        </w:rPr>
        <w:t>99%。完善工伤保险行业差别费率，降低工伤保险整体费率，适时适度降低失业、生育保险费率。全面实施全民参保登记计划，完善被征地农民、个体从业人员和农民工等群体参保政策。建设五险合一扩面征缴的公共服务平台，加快社会保障卡发放和拓展应用。</w:t>
      </w:r>
    </w:p>
    <w:p>
      <w:pPr>
        <w:spacing w:line="600" w:lineRule="exact"/>
        <w:ind w:firstLine="643"/>
        <w:rPr>
          <w:rFonts w:ascii="Times New Roman"/>
          <w:b/>
          <w:color w:val="000000"/>
          <w:sz w:val="32"/>
          <w:szCs w:val="32"/>
          <w:shd w:val="clear" w:color="auto" w:fill="FFFFFF"/>
        </w:rPr>
      </w:pPr>
      <w:r>
        <w:rPr>
          <w:rFonts w:ascii="Times New Roman"/>
          <w:b/>
          <w:color w:val="000000"/>
          <w:sz w:val="32"/>
          <w:szCs w:val="32"/>
          <w:shd w:val="clear" w:color="auto" w:fill="FFFFFF"/>
        </w:rPr>
        <w:t>完善社会救助体系。强化各项社会救助制度统筹衔接，完善社会救助标准动态调整机制和城乡统筹机制，全面实施临时救助制度，加强重大疾病医疗等专项救助制度，统筹推进扶老、助残、救孤、济困、优抚等福利事业发展。支持慈善事业发展，广泛动员社会力量开展社会救济和社会互助、志愿服务活动。实施咸阳市殡仪馆搬迁项目。</w:t>
      </w:r>
    </w:p>
    <w:p>
      <w:pPr>
        <w:keepNext/>
        <w:keepLines/>
        <w:spacing w:line="300" w:lineRule="exact"/>
        <w:ind w:firstLine="0" w:firstLineChars="0"/>
        <w:jc w:val="center"/>
        <w:outlineLvl w:val="2"/>
        <w:rPr>
          <w:rFonts w:ascii="Times New Roman" w:eastAsia="宋体"/>
          <w:b/>
          <w:color w:val="000000"/>
          <w:kern w:val="0"/>
          <w:sz w:val="32"/>
          <w:szCs w:val="32"/>
        </w:rPr>
      </w:pPr>
    </w:p>
    <w:p>
      <w:pPr>
        <w:pStyle w:val="9"/>
        <w:numPr>
          <w:ilvl w:val="0"/>
          <w:numId w:val="13"/>
        </w:numPr>
        <w:spacing w:line="600" w:lineRule="exact"/>
        <w:ind w:firstLine="0" w:firstLineChars="0"/>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 xml:space="preserve"> 保障妇女儿童合法权益</w:t>
      </w:r>
    </w:p>
    <w:p>
      <w:pPr>
        <w:keepNext/>
        <w:keepLines/>
        <w:spacing w:line="300" w:lineRule="exact"/>
        <w:ind w:firstLine="0" w:firstLineChars="0"/>
        <w:jc w:val="center"/>
        <w:outlineLvl w:val="2"/>
        <w:rPr>
          <w:rFonts w:ascii="Times New Roman" w:eastAsia="宋体"/>
          <w:b/>
          <w:color w:val="000000"/>
          <w:kern w:val="0"/>
          <w:sz w:val="32"/>
          <w:szCs w:val="32"/>
        </w:rPr>
      </w:pPr>
    </w:p>
    <w:p>
      <w:pPr>
        <w:pStyle w:val="9"/>
        <w:spacing w:line="600" w:lineRule="exact"/>
        <w:ind w:firstLine="643"/>
        <w:rPr>
          <w:rFonts w:ascii="Times New Roman" w:hAnsi="Times New Roman" w:cs="Times New Roman"/>
          <w:b/>
          <w:color w:val="000000"/>
          <w:sz w:val="32"/>
          <w:szCs w:val="32"/>
        </w:rPr>
      </w:pPr>
      <w:r>
        <w:rPr>
          <w:rFonts w:ascii="Times New Roman" w:hAnsi="Times New Roman" w:cs="Times New Roman"/>
          <w:b/>
          <w:color w:val="000000"/>
          <w:sz w:val="32"/>
          <w:szCs w:val="32"/>
        </w:rPr>
        <w:t>全面落实《咸阳市妇女儿童发展规划》，切实保障妇女儿童合法权益。促进妇女就业创业，提高妇女参与经济发展和社会管理的能力。加强妇女劳动保护、社会福利、卫生保健、扶贫减贫及法律援助等工作，做好妇女人才培养工作。依法保障儿童生存权、发展权、受保护权和参与权，依法打击暴力侵害、拐卖妇女儿童等违法犯罪行为。切实解决留守儿童教育、孤残儿童和流浪未成年人救助等问题。健全残疾人服务体系，推进无障碍设施建设，组织开展多种形式的关爱救残活动。推进基本公共服务均等化，建成各县区妇女儿童活动中心。</w:t>
      </w:r>
    </w:p>
    <w:p>
      <w:pPr>
        <w:keepNext/>
        <w:keepLines/>
        <w:spacing w:line="300" w:lineRule="exact"/>
        <w:ind w:firstLine="0" w:firstLineChars="0"/>
        <w:jc w:val="center"/>
        <w:outlineLvl w:val="2"/>
        <w:rPr>
          <w:rFonts w:ascii="Times New Roman" w:eastAsia="宋体"/>
          <w:b/>
          <w:color w:val="000000"/>
          <w:kern w:val="0"/>
          <w:sz w:val="32"/>
          <w:szCs w:val="32"/>
        </w:rPr>
      </w:pPr>
    </w:p>
    <w:p>
      <w:pPr>
        <w:keepNext/>
        <w:keepLines/>
        <w:spacing w:line="600" w:lineRule="exact"/>
        <w:ind w:firstLine="0" w:firstLineChars="0"/>
        <w:jc w:val="center"/>
        <w:outlineLvl w:val="2"/>
        <w:rPr>
          <w:rFonts w:ascii="Times New Roman" w:eastAsia="黑体"/>
          <w:b/>
          <w:color w:val="000000"/>
          <w:kern w:val="0"/>
          <w:sz w:val="32"/>
          <w:szCs w:val="32"/>
        </w:rPr>
      </w:pPr>
      <w:bookmarkStart w:id="64" w:name="_Toc439878109"/>
      <w:r>
        <w:rPr>
          <w:rFonts w:ascii="Times New Roman" w:eastAsia="黑体"/>
          <w:b/>
          <w:color w:val="000000"/>
          <w:kern w:val="0"/>
          <w:sz w:val="32"/>
          <w:szCs w:val="32"/>
        </w:rPr>
        <w:t>第二十一章  扎实推进文化强市建设</w:t>
      </w:r>
      <w:bookmarkEnd w:id="64"/>
    </w:p>
    <w:p>
      <w:pPr>
        <w:keepNext/>
        <w:keepLines/>
        <w:spacing w:line="300" w:lineRule="exact"/>
        <w:ind w:firstLine="0" w:firstLineChars="0"/>
        <w:jc w:val="center"/>
        <w:outlineLvl w:val="2"/>
        <w:rPr>
          <w:rFonts w:ascii="Times New Roman" w:eastAsia="宋体"/>
          <w:b/>
          <w:color w:val="000000"/>
          <w:kern w:val="0"/>
          <w:sz w:val="32"/>
          <w:szCs w:val="32"/>
        </w:rPr>
      </w:pPr>
    </w:p>
    <w:p>
      <w:pPr>
        <w:spacing w:line="600" w:lineRule="exact"/>
        <w:ind w:firstLine="643"/>
        <w:rPr>
          <w:rFonts w:ascii="Times New Roman"/>
          <w:b/>
          <w:color w:val="000000"/>
          <w:sz w:val="32"/>
          <w:szCs w:val="32"/>
        </w:rPr>
      </w:pPr>
      <w:r>
        <w:rPr>
          <w:rFonts w:ascii="Times New Roman"/>
          <w:b/>
          <w:color w:val="000000"/>
          <w:sz w:val="32"/>
          <w:szCs w:val="32"/>
        </w:rPr>
        <w:t>坚持社会主义先进文化前进方向，坚持以人民为中心的工作导向，坚持把社会效益放在首位</w:t>
      </w:r>
      <w:r>
        <w:rPr>
          <w:rFonts w:hint="eastAsia" w:ascii="Times New Roman"/>
          <w:b/>
          <w:color w:val="000000"/>
          <w:sz w:val="32"/>
          <w:szCs w:val="32"/>
        </w:rPr>
        <w:t>，</w:t>
      </w:r>
      <w:r>
        <w:rPr>
          <w:rFonts w:ascii="Times New Roman"/>
          <w:b/>
          <w:color w:val="000000"/>
          <w:sz w:val="32"/>
          <w:szCs w:val="32"/>
        </w:rPr>
        <w:t>社会效益和经济效益相统一，坚定文化自信，增强文化自觉，加快文化改革发展，加强社会主义精神文明建设，加快建设文化强市。</w:t>
      </w:r>
    </w:p>
    <w:p>
      <w:pPr>
        <w:spacing w:line="600" w:lineRule="exact"/>
        <w:ind w:firstLine="643"/>
        <w:rPr>
          <w:rFonts w:ascii="Times New Roman"/>
          <w:b/>
          <w:color w:val="000000"/>
          <w:sz w:val="32"/>
          <w:szCs w:val="32"/>
        </w:rPr>
      </w:pPr>
      <w:r>
        <w:rPr>
          <w:rFonts w:ascii="Times New Roman" w:eastAsia="楷体_GB2312"/>
          <w:b/>
          <w:color w:val="000000"/>
          <w:sz w:val="32"/>
          <w:szCs w:val="32"/>
        </w:rPr>
        <w:t>加强精神文明建设。</w:t>
      </w:r>
      <w:r>
        <w:rPr>
          <w:rFonts w:ascii="Times New Roman"/>
          <w:b/>
          <w:color w:val="000000"/>
          <w:sz w:val="32"/>
          <w:szCs w:val="32"/>
        </w:rPr>
        <w:t>持续深入地开展中国特色社会主义和中国梦宣传教育，不断增强道路自信、理论自信、制度自信和文化自信。牢牢把握正确的舆论引导，推动传统媒体和新兴媒体融合发展，加强主流媒体传播力、公信力、影响力和舆论能力建设，唱响主旋律，传播正能量。加强社会主义核心价值观建设，深入开展社会公德、职业道德、家庭美德、个人品德教育，大力弘扬“崇德包容、尚法创新”的咸阳精神，着力塑造“大秦故都、德善咸阳”的城市品牌。加强社会诚信建设，加快形成失信惩戒联动机制，在全社会形成以诚信为本的良好氛围。广泛开展文明机关、文明单位、文明社区、文明校园以及各类区域性、行业性、系统性、群众性精神文明创建活动，进一步优化城市环境、提升市民素质、倡导文明新风，力争2017年成功创建全国文明城市。着力推进农村建设成为“环境美、风尚美、人文美、生活美”的美丽家园，力争到2020年，90%以上的村达到“美丽乡村”目标。</w:t>
      </w:r>
    </w:p>
    <w:p>
      <w:pPr>
        <w:spacing w:line="600" w:lineRule="exact"/>
        <w:ind w:firstLine="643"/>
        <w:rPr>
          <w:rFonts w:ascii="Times New Roman"/>
          <w:b/>
          <w:color w:val="000000"/>
          <w:sz w:val="32"/>
          <w:szCs w:val="32"/>
        </w:rPr>
      </w:pPr>
      <w:r>
        <w:rPr>
          <w:rFonts w:ascii="Times New Roman" w:eastAsia="楷体_GB2312"/>
          <w:b/>
          <w:color w:val="000000"/>
          <w:sz w:val="32"/>
          <w:szCs w:val="32"/>
        </w:rPr>
        <w:t>繁荣发展文化事业。</w:t>
      </w:r>
      <w:r>
        <w:rPr>
          <w:rFonts w:ascii="Times New Roman"/>
          <w:b/>
          <w:color w:val="000000"/>
          <w:sz w:val="32"/>
          <w:szCs w:val="32"/>
        </w:rPr>
        <w:t>全面落实《咸阳市文化基础设施建设规划（2014-2020年）》，构建完备的市、县、乡镇（街道）、村（社区）四级公共文化设施网络，完善公共文化服务体系。全面建成市民文化中心、市民文化广场、咸阳博物院等重大文化项目，重点推进市县工人文化宫、“两馆一院”以及镇村综合文化示范点建设。促进书香咸阳建设，积极倡导全民阅读。加大政府购买公共服务力度，推动经营性文化设施、传统民俗文化活动场所等向公众提供优惠或免费的公益性文化服务。深刻挖掘咸阳历史文化内涵，加强文化遗产保护，传承和再现秦文化、秦元素、秦符号。</w:t>
      </w:r>
    </w:p>
    <w:p>
      <w:pPr>
        <w:spacing w:line="600" w:lineRule="exact"/>
        <w:ind w:firstLine="643"/>
        <w:rPr>
          <w:rFonts w:ascii="Times New Roman"/>
          <w:b/>
          <w:color w:val="000000"/>
          <w:sz w:val="32"/>
          <w:szCs w:val="32"/>
        </w:rPr>
      </w:pPr>
      <w:r>
        <w:rPr>
          <w:rFonts w:ascii="Times New Roman" w:eastAsia="楷体_GB2312"/>
          <w:b/>
          <w:color w:val="000000"/>
          <w:sz w:val="32"/>
          <w:szCs w:val="32"/>
        </w:rPr>
        <w:t>打造文化精品工程</w:t>
      </w:r>
      <w:r>
        <w:rPr>
          <w:rFonts w:ascii="Times New Roman"/>
          <w:b/>
          <w:color w:val="000000"/>
          <w:sz w:val="32"/>
          <w:szCs w:val="32"/>
        </w:rPr>
        <w:t>。充分发挥我市“名城名都”、“名人名作”、“名业名品”人文引领作用，大力实施地方戏曲振兴工程、当代文学提升工程、美术书法精品工程、大剧大作打造工程等，联合中省顶尖文化集团，全力打造大型历史剧《商鞅变法》、电影《望大陆》、《剪花娘子》、音乐歌舞诗剧《永远的马栏》、舞台剧《苏武牧羊》、《才女苏蕙》等一批重点文艺作品。</w:t>
      </w:r>
    </w:p>
    <w:p>
      <w:pPr>
        <w:spacing w:line="600" w:lineRule="exact"/>
        <w:ind w:firstLine="667"/>
        <w:rPr>
          <w:rFonts w:ascii="Times New Roman"/>
          <w:b/>
          <w:color w:val="000000"/>
          <w:spacing w:val="6"/>
          <w:sz w:val="32"/>
          <w:szCs w:val="32"/>
          <w:shd w:val="clear" w:color="auto" w:fill="FFFFFF"/>
        </w:rPr>
      </w:pPr>
      <w:r>
        <w:rPr>
          <w:rFonts w:ascii="Times New Roman" w:eastAsia="楷体_GB2312"/>
          <w:b/>
          <w:color w:val="000000"/>
          <w:spacing w:val="6"/>
          <w:sz w:val="32"/>
          <w:szCs w:val="32"/>
        </w:rPr>
        <w:t>大力发展文化产业。</w:t>
      </w:r>
      <w:r>
        <w:rPr>
          <w:rFonts w:ascii="Times New Roman"/>
          <w:b/>
          <w:color w:val="000000"/>
          <w:spacing w:val="6"/>
          <w:sz w:val="32"/>
          <w:szCs w:val="32"/>
        </w:rPr>
        <w:t>鼓励支持市电影公司、市演艺公司等国有文化企业做优做强，实现规模扩张、产业发展、竞争力提升。吸收社会资本和外地文化企业参与开发我市重大文化项目，形成一批潜力大、活力足、机制新、效益好的文化企业。大力发展数字出版、互动新媒体、移动多媒体等新兴文化产业，促进动漫游戏、数字音乐、网络艺术品等数字文化内容的消费。加强数字文化内容产品和服务开发，建立数字内容生产、转换、加工、投送平台，丰富信息消费内容产品供给。积极</w:t>
      </w:r>
      <w:r>
        <w:rPr>
          <w:rFonts w:ascii="Times New Roman"/>
          <w:b/>
          <w:color w:val="000000"/>
          <w:spacing w:val="6"/>
          <w:sz w:val="32"/>
          <w:szCs w:val="32"/>
          <w:shd w:val="clear" w:color="auto" w:fill="FFFFFF"/>
        </w:rPr>
        <w:t>培育发展一批文化产业强县、聚集区和龙头企业，把文化旅游产业打造成支柱产业。</w:t>
      </w:r>
    </w:p>
    <w:p>
      <w:pPr>
        <w:spacing w:line="600" w:lineRule="exact"/>
        <w:ind w:firstLine="643"/>
        <w:rPr>
          <w:rFonts w:ascii="Times New Roman"/>
          <w:b/>
          <w:color w:val="000000"/>
          <w:sz w:val="32"/>
          <w:szCs w:val="32"/>
        </w:rPr>
      </w:pPr>
      <w:r>
        <w:rPr>
          <w:rFonts w:ascii="Times New Roman" w:eastAsia="楷体_GB2312"/>
          <w:b/>
          <w:color w:val="000000"/>
          <w:sz w:val="32"/>
          <w:szCs w:val="32"/>
        </w:rPr>
        <w:t>加强文化遗产保护与传承。</w:t>
      </w:r>
      <w:r>
        <w:rPr>
          <w:rFonts w:ascii="Times New Roman"/>
          <w:b/>
          <w:color w:val="000000"/>
          <w:sz w:val="32"/>
          <w:szCs w:val="32"/>
        </w:rPr>
        <w:t>实施汉唐帝陵考古调查和环境风貌提升工程。推进长陵、安陵、茂陵、平陵等西汉帝陵和昭陵、乾陵等唐代帝陵的申报世界文化遗产工作，有序推进吴登周墓开发和保护工作，建设五陵原国家遗址公园和帝王博物馆。完善非物质文化遗产保护机制。</w:t>
      </w:r>
    </w:p>
    <w:p>
      <w:pPr>
        <w:spacing w:line="600" w:lineRule="exact"/>
        <w:ind w:firstLine="643"/>
        <w:rPr>
          <w:rFonts w:ascii="Times New Roman"/>
          <w:b/>
          <w:color w:val="000000"/>
          <w:sz w:val="32"/>
          <w:szCs w:val="32"/>
        </w:rPr>
      </w:pPr>
      <w:r>
        <w:rPr>
          <w:rFonts w:ascii="Times New Roman" w:eastAsia="楷体_GB2312"/>
          <w:b/>
          <w:color w:val="000000"/>
          <w:sz w:val="32"/>
          <w:szCs w:val="32"/>
        </w:rPr>
        <w:t>牢牢把握正确舆论导向。</w:t>
      </w:r>
      <w:r>
        <w:rPr>
          <w:rFonts w:ascii="Times New Roman"/>
          <w:b/>
          <w:color w:val="000000"/>
          <w:sz w:val="32"/>
          <w:szCs w:val="32"/>
        </w:rPr>
        <w:t>健全社会舆情引导机制，传播正能量。加强网上思想文化阵地建设，实施网络内容建设工程，发展积极向上的网络文化，净化网络环境。加快媒体数字化建设，打造一批新型主流媒体。</w:t>
      </w:r>
    </w:p>
    <w:p>
      <w:pPr>
        <w:spacing w:line="600" w:lineRule="exact"/>
        <w:ind w:firstLine="643"/>
        <w:rPr>
          <w:rFonts w:ascii="Times New Roman"/>
          <w:b/>
          <w:color w:val="000000"/>
          <w:sz w:val="32"/>
          <w:szCs w:val="32"/>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8844" w:type="dxa"/>
            <w:noWrap w:val="0"/>
            <w:vAlign w:val="top"/>
          </w:tcPr>
          <w:p>
            <w:pPr>
              <w:adjustRightInd w:val="0"/>
              <w:snapToGrid w:val="0"/>
              <w:spacing w:line="560" w:lineRule="exact"/>
              <w:ind w:firstLine="0" w:firstLineChars="0"/>
              <w:jc w:val="center"/>
              <w:rPr>
                <w:rFonts w:ascii="Times New Roman" w:eastAsia="黑体"/>
                <w:b/>
                <w:color w:val="000000"/>
                <w:sz w:val="28"/>
                <w:szCs w:val="28"/>
              </w:rPr>
            </w:pPr>
          </w:p>
          <w:p>
            <w:pPr>
              <w:adjustRightInd w:val="0"/>
              <w:snapToGrid w:val="0"/>
              <w:spacing w:line="560" w:lineRule="exact"/>
              <w:ind w:firstLine="0" w:firstLineChars="0"/>
              <w:jc w:val="center"/>
              <w:rPr>
                <w:rFonts w:ascii="Times New Roman" w:eastAsia="黑体"/>
                <w:b/>
                <w:color w:val="000000"/>
                <w:sz w:val="32"/>
                <w:szCs w:val="32"/>
              </w:rPr>
            </w:pPr>
            <w:r>
              <w:rPr>
                <w:rFonts w:ascii="Times New Roman" w:eastAsia="黑体"/>
                <w:b/>
                <w:color w:val="000000"/>
                <w:sz w:val="32"/>
                <w:szCs w:val="32"/>
              </w:rPr>
              <w:t>专栏6-3 文化领域重点项目</w:t>
            </w:r>
          </w:p>
          <w:p>
            <w:pPr>
              <w:adjustRightInd w:val="0"/>
              <w:snapToGrid w:val="0"/>
              <w:spacing w:line="560" w:lineRule="exact"/>
              <w:ind w:firstLine="0" w:firstLineChars="0"/>
              <w:jc w:val="center"/>
              <w:rPr>
                <w:rFonts w:ascii="Times New Roman" w:eastAsia="黑体"/>
                <w:b/>
                <w:color w:val="000000"/>
                <w:sz w:val="28"/>
                <w:szCs w:val="28"/>
              </w:rPr>
            </w:pPr>
          </w:p>
          <w:p>
            <w:pPr>
              <w:adjustRightInd w:val="0"/>
              <w:snapToGrid w:val="0"/>
              <w:spacing w:line="560" w:lineRule="exact"/>
              <w:ind w:firstLine="562"/>
              <w:rPr>
                <w:rFonts w:ascii="Times New Roman" w:eastAsia="宋体-PUA"/>
                <w:b/>
                <w:color w:val="000000"/>
                <w:sz w:val="28"/>
                <w:szCs w:val="28"/>
              </w:rPr>
            </w:pPr>
            <w:r>
              <w:rPr>
                <w:rFonts w:ascii="Times New Roman" w:eastAsia="宋体-PUA"/>
                <w:b/>
                <w:color w:val="000000"/>
                <w:sz w:val="28"/>
                <w:szCs w:val="28"/>
              </w:rPr>
              <w:t>产业项目：咸阳市文化产业孵化基地、电影《夺宝帝王谷》拍摄、唐顺陵精品石刻文化观光带、唐乾陵文化产业园、茂陵大汉雄风文化园、爷台山战地主题公园、秦咸阳城考古遗址公园、西汉帝陵遗址公园（文化景区）、唐昭陵遗址公园、乾陵唐文化遗址公园、马栏革命旧址、武功民间手工布艺、三原秦桐家具。</w:t>
            </w:r>
          </w:p>
          <w:p>
            <w:pPr>
              <w:adjustRightInd w:val="0"/>
              <w:snapToGrid w:val="0"/>
              <w:spacing w:line="560" w:lineRule="exact"/>
              <w:ind w:firstLine="562"/>
              <w:rPr>
                <w:rFonts w:ascii="Times New Roman" w:eastAsia="宋体-PUA"/>
                <w:b/>
                <w:color w:val="000000"/>
                <w:sz w:val="28"/>
                <w:szCs w:val="28"/>
              </w:rPr>
            </w:pPr>
            <w:r>
              <w:rPr>
                <w:rFonts w:ascii="Times New Roman" w:eastAsia="宋体-PUA"/>
                <w:b/>
                <w:color w:val="000000"/>
                <w:sz w:val="28"/>
                <w:szCs w:val="28"/>
              </w:rPr>
              <w:t>基地项目：礼泉县袁家村综合旅游景区、咸阳大秦古桥风情园、陕西沣禾苑文化产业基地、陕西泾渭茶文化体验中心、武功苏绘璇玑馨绣布艺文化产业公司、三原金源度假山庄、咸阳海泉湾休闲度假区、兴平唐马嵬驿民俗体验园、乾县弦板腔剧团、咸阳影艺文化传媒公司。</w:t>
            </w:r>
          </w:p>
          <w:p>
            <w:pPr>
              <w:adjustRightInd w:val="0"/>
              <w:snapToGrid w:val="0"/>
              <w:spacing w:line="560" w:lineRule="exact"/>
              <w:ind w:firstLine="562"/>
              <w:rPr>
                <w:rFonts w:ascii="Times New Roman"/>
                <w:b/>
                <w:color w:val="000000"/>
                <w:sz w:val="28"/>
                <w:szCs w:val="28"/>
              </w:rPr>
            </w:pPr>
            <w:r>
              <w:rPr>
                <w:rFonts w:ascii="Times New Roman" w:eastAsia="宋体-PUA"/>
                <w:b/>
                <w:color w:val="000000"/>
                <w:sz w:val="28"/>
                <w:szCs w:val="28"/>
              </w:rPr>
              <w:t>设施项目：咸阳图书馆、咸阳博物馆、咸阳方志馆、咸阳纺织工业博物馆、咸阳市群众艺术馆、咸阳市非物质文化遗产展览馆、多功能影剧院、文化广电中心、景行园文化艺术园区、资源共享工程、咸阳青少年宫、咸阳市民文化中心、咸阳奥体中心、县级文化场馆。</w:t>
            </w:r>
          </w:p>
        </w:tc>
      </w:tr>
    </w:tbl>
    <w:p>
      <w:pPr>
        <w:spacing w:line="300" w:lineRule="exact"/>
        <w:ind w:firstLine="0" w:firstLineChars="0"/>
        <w:jc w:val="center"/>
        <w:rPr>
          <w:rFonts w:ascii="Times New Roman" w:eastAsia="黑体"/>
          <w:b/>
          <w:color w:val="000000"/>
          <w:sz w:val="32"/>
          <w:szCs w:val="32"/>
        </w:rPr>
      </w:pPr>
    </w:p>
    <w:p>
      <w:pPr>
        <w:keepNext/>
        <w:keepLines/>
        <w:spacing w:line="600" w:lineRule="exact"/>
        <w:ind w:firstLine="0" w:firstLineChars="0"/>
        <w:jc w:val="center"/>
        <w:outlineLvl w:val="2"/>
        <w:rPr>
          <w:rFonts w:ascii="Times New Roman" w:eastAsia="黑体"/>
          <w:b/>
          <w:color w:val="000000"/>
          <w:kern w:val="0"/>
          <w:sz w:val="32"/>
          <w:szCs w:val="32"/>
        </w:rPr>
      </w:pPr>
      <w:bookmarkStart w:id="65" w:name="_Toc439878110"/>
      <w:r>
        <w:rPr>
          <w:rFonts w:ascii="Times New Roman" w:eastAsia="黑体"/>
          <w:b/>
          <w:color w:val="000000"/>
          <w:kern w:val="0"/>
          <w:sz w:val="32"/>
          <w:szCs w:val="32"/>
        </w:rPr>
        <w:t xml:space="preserve">第二十二章   </w:t>
      </w:r>
      <w:bookmarkEnd w:id="65"/>
      <w:r>
        <w:rPr>
          <w:rFonts w:ascii="Times New Roman" w:eastAsia="黑体"/>
          <w:b/>
          <w:color w:val="000000"/>
          <w:kern w:val="0"/>
          <w:sz w:val="32"/>
          <w:szCs w:val="32"/>
        </w:rPr>
        <w:t>着力提升全民健康素质</w:t>
      </w:r>
    </w:p>
    <w:p>
      <w:pPr>
        <w:spacing w:line="300" w:lineRule="exact"/>
        <w:ind w:firstLine="0" w:firstLineChars="0"/>
        <w:outlineLvl w:val="2"/>
        <w:rPr>
          <w:rFonts w:ascii="Times New Roman" w:eastAsia="宋体"/>
          <w:b/>
          <w:color w:val="000000"/>
          <w:kern w:val="0"/>
          <w:sz w:val="32"/>
          <w:szCs w:val="32"/>
        </w:rPr>
      </w:pPr>
    </w:p>
    <w:p>
      <w:pPr>
        <w:pStyle w:val="16"/>
        <w:shd w:val="clear" w:color="auto" w:fill="FFFFFF"/>
        <w:spacing w:before="0" w:beforeAutospacing="0" w:after="0" w:afterAutospacing="0" w:line="600" w:lineRule="exact"/>
        <w:ind w:firstLine="643"/>
        <w:rPr>
          <w:rFonts w:ascii="Times New Roman"/>
          <w:b/>
          <w:color w:val="000000"/>
          <w:sz w:val="32"/>
          <w:szCs w:val="32"/>
        </w:rPr>
      </w:pPr>
      <w:r>
        <w:rPr>
          <w:rFonts w:ascii="Times New Roman"/>
          <w:b/>
          <w:color w:val="000000"/>
          <w:kern w:val="2"/>
          <w:sz w:val="32"/>
          <w:szCs w:val="32"/>
        </w:rPr>
        <w:t>深化医药卫生体制改革，实行医疗、医保、医药联动，推进医药分开，实行分级诊疗，建立覆盖城乡的基本医疗卫生制度和现代医院管理制度。坚持公立医药公益属性，完善补偿机制，建立现代医院管理制度。深入推进公立医院综合改革，大力推进县级公立医院综合改革，全面铺开市级公立医院综合改革。完善分级诊疗制度，发展医联体、医疗集团、县镇一体化、对口帮扶、远程医疗，促进优质医疗资源向基层流动。</w:t>
      </w:r>
      <w:r>
        <w:rPr>
          <w:rFonts w:ascii="Times New Roman"/>
          <w:b/>
          <w:color w:val="000000"/>
          <w:sz w:val="32"/>
          <w:szCs w:val="32"/>
        </w:rPr>
        <w:t>加大社会办医支持力度，加快形成多元办医格局。</w:t>
      </w:r>
      <w:r>
        <w:rPr>
          <w:rFonts w:ascii="Times New Roman"/>
          <w:b/>
          <w:color w:val="000000"/>
          <w:kern w:val="2"/>
          <w:sz w:val="32"/>
          <w:szCs w:val="32"/>
        </w:rPr>
        <w:t>全面落实《咸阳市卫生基础设施建设规划（2014-2020年）》，建立健全疾病预防、医疗救治、卫生应急、综合监管等四大体系，积极开展重点传染病防控、母婴健康、慢性非传染性疾病防治、健康教育与健康促进四大行动，</w:t>
      </w:r>
      <w:r>
        <w:rPr>
          <w:rFonts w:ascii="Times New Roman"/>
          <w:b/>
          <w:color w:val="000000"/>
          <w:sz w:val="32"/>
          <w:szCs w:val="32"/>
        </w:rPr>
        <w:t>增强中医药创新能力，提升中医医疗保健服务水平，努力构建大卫生格局。实施医疗卫生“三名工程”（名医、名科、名院），打造一批集医疗服务、高档疗养以及国际医疗合作为核心的高品质医疗保健中心。</w:t>
      </w:r>
    </w:p>
    <w:p>
      <w:pPr>
        <w:pStyle w:val="16"/>
        <w:shd w:val="clear" w:color="auto" w:fill="FFFFFF"/>
        <w:spacing w:before="0" w:beforeAutospacing="0" w:after="0" w:afterAutospacing="0" w:line="600" w:lineRule="exact"/>
        <w:ind w:firstLine="640"/>
        <w:rPr>
          <w:rFonts w:ascii="Times New Roman"/>
          <w:b/>
          <w:color w:val="000000"/>
          <w:kern w:val="2"/>
          <w:sz w:val="32"/>
          <w:szCs w:val="32"/>
        </w:rPr>
      </w:pPr>
      <w:r>
        <w:rPr>
          <w:rFonts w:ascii="Times New Roman" w:eastAsia="楷体"/>
          <w:b/>
          <w:color w:val="000000"/>
          <w:sz w:val="32"/>
          <w:szCs w:val="32"/>
        </w:rPr>
        <w:t>加快发展健康养老服务。</w:t>
      </w:r>
      <w:r>
        <w:rPr>
          <w:rFonts w:ascii="Times New Roman"/>
          <w:b/>
          <w:color w:val="000000"/>
          <w:kern w:val="2"/>
          <w:sz w:val="32"/>
          <w:szCs w:val="32"/>
        </w:rPr>
        <w:t>加快</w:t>
      </w:r>
      <w:r>
        <w:rPr>
          <w:rFonts w:ascii="Times New Roman"/>
          <w:b/>
          <w:color w:val="000000"/>
          <w:sz w:val="32"/>
          <w:szCs w:val="32"/>
        </w:rPr>
        <w:t>建立以居家为基础、社区为依托、</w:t>
      </w:r>
      <w:r>
        <w:rPr>
          <w:rFonts w:ascii="Times New Roman"/>
          <w:b/>
          <w:color w:val="000000"/>
          <w:sz w:val="32"/>
          <w:szCs w:val="32"/>
          <w:shd w:val="clear" w:color="auto" w:fill="FFFFFF"/>
        </w:rPr>
        <w:t>机构为支撑，功能完善、规模适度、覆盖城乡的养老服务体系。</w:t>
      </w:r>
      <w:r>
        <w:rPr>
          <w:rFonts w:ascii="Times New Roman"/>
          <w:b/>
          <w:color w:val="000000"/>
          <w:kern w:val="2"/>
          <w:sz w:val="32"/>
          <w:szCs w:val="32"/>
        </w:rPr>
        <w:t>建立健全医疗机构与养老机构之间的业务协作机制，增强医疗机构为老年人提供便捷、优先优惠医疗服务的能力。发展社区健康养老服务。加快推进城市社区日间照料中心建设和农村互助幸福院建设，提高社区养老服务能力。支持社会力量举办养老机构，重点建设咸阳颐福阁老年公寓新苑、咸阳银杏老人院等一批项目。到2020年，社区养老服务设施和居家养老服务覆盖100%城市社区、80%以上的农村社区，全市新增社会养老床位15000张以上，每千名老人拥有社会养老床位达到40张以上。</w:t>
      </w:r>
    </w:p>
    <w:p>
      <w:pPr>
        <w:pStyle w:val="16"/>
        <w:shd w:val="clear" w:color="auto" w:fill="FFFFFF"/>
        <w:spacing w:before="0" w:beforeAutospacing="0" w:after="0" w:afterAutospacing="0" w:line="600" w:lineRule="exact"/>
        <w:ind w:firstLine="640"/>
        <w:jc w:val="both"/>
        <w:rPr>
          <w:rFonts w:ascii="Times New Roman"/>
          <w:b/>
          <w:color w:val="000000"/>
          <w:sz w:val="32"/>
          <w:szCs w:val="32"/>
        </w:rPr>
      </w:pPr>
      <w:r>
        <w:rPr>
          <w:rFonts w:ascii="Times New Roman" w:eastAsia="楷体"/>
          <w:b/>
          <w:color w:val="000000"/>
          <w:sz w:val="32"/>
          <w:szCs w:val="32"/>
        </w:rPr>
        <w:t>促进人口均衡发展。</w:t>
      </w:r>
      <w:r>
        <w:rPr>
          <w:rFonts w:ascii="Times New Roman"/>
          <w:b/>
          <w:color w:val="000000"/>
          <w:kern w:val="2"/>
          <w:sz w:val="32"/>
          <w:szCs w:val="32"/>
        </w:rPr>
        <w:t>全面落实一对夫妇可生育两个孩子政策，保持人口总量适度增长</w:t>
      </w:r>
      <w:r>
        <w:rPr>
          <w:rFonts w:ascii="Times New Roman"/>
          <w:b/>
          <w:color w:val="000000"/>
          <w:sz w:val="32"/>
          <w:szCs w:val="32"/>
        </w:rPr>
        <w:t>。大力提高出生人口素质，继续实施母亲健康工程和国家免费孕前优生健康检查项目。建立“政府主导、部门合作、专家支撑、群众参与”工作机制，逐步降低出生缺陷发生风险，出生人口性别比控制逐步趋于正常。</w:t>
      </w:r>
    </w:p>
    <w:p>
      <w:pPr>
        <w:pStyle w:val="16"/>
        <w:shd w:val="clear" w:color="auto" w:fill="FFFFFF"/>
        <w:spacing w:before="0" w:beforeAutospacing="0" w:after="0" w:afterAutospacing="0" w:line="600" w:lineRule="exact"/>
        <w:ind w:firstLine="640"/>
        <w:jc w:val="both"/>
        <w:rPr>
          <w:rFonts w:ascii="Times New Roman"/>
          <w:b/>
          <w:color w:val="000000"/>
          <w:sz w:val="32"/>
          <w:szCs w:val="32"/>
        </w:rPr>
      </w:pPr>
      <w:r>
        <w:rPr>
          <w:rFonts w:ascii="Times New Roman" w:eastAsia="楷体"/>
          <w:b/>
          <w:color w:val="000000"/>
          <w:sz w:val="32"/>
          <w:szCs w:val="32"/>
        </w:rPr>
        <w:t>全面开展全民健身运动。</w:t>
      </w:r>
      <w:r>
        <w:rPr>
          <w:rFonts w:ascii="Times New Roman"/>
          <w:b/>
          <w:color w:val="000000"/>
          <w:sz w:val="32"/>
          <w:szCs w:val="32"/>
        </w:rPr>
        <w:t>全面落实《咸阳市体育基础设施建设规划（2014-2020年）》，完善城乡公共体育服务体系。全力筹备和承办好陕西省第十六届运动会，改造提升市体育场、市游泳馆、市体育馆，建成大西安（咸阳）文化体育功能区奥体中心、咸阳湖全民健身运动公园。健全体育设施免费开放的长效机制。到2020年全市人均体育场地面积达到1.8平方米以上。</w:t>
      </w:r>
    </w:p>
    <w:p>
      <w:pPr>
        <w:pStyle w:val="16"/>
        <w:shd w:val="clear" w:color="auto" w:fill="FFFFFF"/>
        <w:spacing w:before="0" w:beforeAutospacing="0" w:after="0" w:afterAutospacing="0" w:line="600" w:lineRule="exact"/>
        <w:ind w:firstLine="643"/>
        <w:jc w:val="both"/>
        <w:rPr>
          <w:rFonts w:ascii="Times New Roman"/>
          <w:b/>
          <w:color w:val="000000"/>
          <w:sz w:val="32"/>
          <w:szCs w:val="32"/>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8844" w:type="dxa"/>
            <w:noWrap w:val="0"/>
            <w:vAlign w:val="top"/>
          </w:tcPr>
          <w:p>
            <w:pPr>
              <w:spacing w:line="500" w:lineRule="exact"/>
              <w:ind w:firstLine="0" w:firstLineChars="0"/>
              <w:jc w:val="center"/>
              <w:rPr>
                <w:rFonts w:ascii="Times New Roman" w:eastAsia="黑体"/>
                <w:b/>
                <w:color w:val="000000"/>
                <w:sz w:val="28"/>
                <w:szCs w:val="28"/>
              </w:rPr>
            </w:pPr>
          </w:p>
          <w:p>
            <w:pPr>
              <w:spacing w:line="500" w:lineRule="exact"/>
              <w:ind w:firstLine="0" w:firstLineChars="0"/>
              <w:jc w:val="center"/>
              <w:rPr>
                <w:rFonts w:ascii="Times New Roman" w:eastAsia="黑体"/>
                <w:b/>
                <w:color w:val="000000"/>
                <w:sz w:val="28"/>
                <w:szCs w:val="28"/>
              </w:rPr>
            </w:pPr>
            <w:r>
              <w:rPr>
                <w:rFonts w:ascii="Times New Roman" w:eastAsia="黑体"/>
                <w:b/>
                <w:color w:val="000000"/>
                <w:sz w:val="28"/>
                <w:szCs w:val="28"/>
              </w:rPr>
              <w:t>专栏6-4  医疗卫生体系建设重点工程</w:t>
            </w:r>
          </w:p>
          <w:p>
            <w:pPr>
              <w:adjustRightInd w:val="0"/>
              <w:snapToGrid w:val="0"/>
              <w:spacing w:line="500" w:lineRule="exact"/>
              <w:ind w:firstLine="562"/>
              <w:rPr>
                <w:rFonts w:ascii="Times New Roman"/>
                <w:b/>
                <w:color w:val="000000"/>
                <w:sz w:val="28"/>
                <w:szCs w:val="28"/>
              </w:rPr>
            </w:pPr>
          </w:p>
          <w:p>
            <w:pPr>
              <w:adjustRightInd w:val="0"/>
              <w:snapToGrid w:val="0"/>
              <w:spacing w:line="500" w:lineRule="exact"/>
              <w:ind w:firstLine="562"/>
              <w:rPr>
                <w:rFonts w:ascii="Times New Roman" w:eastAsia="宋体-PUA"/>
                <w:b/>
                <w:color w:val="000000"/>
                <w:sz w:val="28"/>
                <w:szCs w:val="28"/>
              </w:rPr>
            </w:pPr>
            <w:r>
              <w:rPr>
                <w:rFonts w:ascii="Times New Roman" w:eastAsia="宋体-PUA"/>
                <w:b/>
                <w:color w:val="000000"/>
                <w:sz w:val="28"/>
                <w:szCs w:val="28"/>
              </w:rPr>
              <w:t>县级医疗及疾病防控体系建设。投资10亿元，对20所县级综合医院、中医医院、妇幼保健院、疾控中心等县级医疗机构实施标准化建设。</w:t>
            </w:r>
          </w:p>
          <w:p>
            <w:pPr>
              <w:adjustRightInd w:val="0"/>
              <w:snapToGrid w:val="0"/>
              <w:spacing w:line="500" w:lineRule="exact"/>
              <w:ind w:firstLine="562"/>
              <w:rPr>
                <w:rFonts w:ascii="Times New Roman" w:eastAsia="宋体-PUA"/>
                <w:b/>
                <w:color w:val="000000"/>
                <w:sz w:val="28"/>
                <w:szCs w:val="28"/>
              </w:rPr>
            </w:pPr>
            <w:r>
              <w:rPr>
                <w:rFonts w:ascii="Times New Roman" w:eastAsia="宋体-PUA"/>
                <w:b/>
                <w:color w:val="000000"/>
                <w:sz w:val="28"/>
                <w:szCs w:val="28"/>
              </w:rPr>
              <w:t>咸阳市第一人民医院咸阳健康城项目。项目投资10亿元，总建筑面积约28万平方米，设置床位2000张。</w:t>
            </w:r>
          </w:p>
          <w:p>
            <w:pPr>
              <w:adjustRightInd w:val="0"/>
              <w:snapToGrid w:val="0"/>
              <w:spacing w:line="500" w:lineRule="exact"/>
              <w:ind w:firstLine="562"/>
              <w:rPr>
                <w:rFonts w:ascii="Times New Roman" w:eastAsia="宋体-PUA"/>
                <w:b/>
                <w:color w:val="000000"/>
                <w:sz w:val="28"/>
                <w:szCs w:val="28"/>
              </w:rPr>
            </w:pPr>
            <w:r>
              <w:rPr>
                <w:rFonts w:ascii="Times New Roman" w:eastAsia="宋体-PUA"/>
                <w:b/>
                <w:color w:val="000000"/>
                <w:sz w:val="28"/>
                <w:szCs w:val="28"/>
              </w:rPr>
              <w:t>陕西中医药大学第二附属医院南院区建设项目。该项目总投资8亿元，建筑面积20万平方米，增设床位1500张。</w:t>
            </w:r>
          </w:p>
          <w:p>
            <w:pPr>
              <w:adjustRightInd w:val="0"/>
              <w:snapToGrid w:val="0"/>
              <w:spacing w:line="500" w:lineRule="exact"/>
              <w:ind w:firstLine="562"/>
              <w:rPr>
                <w:rFonts w:ascii="Times New Roman" w:eastAsia="宋体-PUA"/>
                <w:b/>
                <w:color w:val="000000"/>
                <w:sz w:val="28"/>
                <w:szCs w:val="28"/>
              </w:rPr>
            </w:pPr>
            <w:r>
              <w:rPr>
                <w:rFonts w:ascii="Times New Roman" w:eastAsia="宋体-PUA"/>
                <w:b/>
                <w:color w:val="000000"/>
                <w:sz w:val="28"/>
                <w:szCs w:val="28"/>
              </w:rPr>
              <w:t>彩虹医院综合楼建设项目。该项目总投资7亿元，建筑面积10万平方米，增设床位500张。</w:t>
            </w:r>
          </w:p>
          <w:p>
            <w:pPr>
              <w:spacing w:line="500" w:lineRule="exact"/>
              <w:ind w:firstLine="562"/>
              <w:rPr>
                <w:rFonts w:ascii="Times New Roman" w:eastAsia="宋体-PUA"/>
                <w:b/>
                <w:color w:val="000000"/>
                <w:sz w:val="28"/>
                <w:szCs w:val="28"/>
              </w:rPr>
            </w:pPr>
            <w:r>
              <w:rPr>
                <w:rFonts w:ascii="Times New Roman" w:eastAsia="宋体-PUA"/>
                <w:b/>
                <w:color w:val="000000"/>
                <w:sz w:val="28"/>
                <w:szCs w:val="28"/>
              </w:rPr>
              <w:t>基层卫生服务体系建设。投资6亿元，建设100所社区卫生服务中心和150所社区卫生服务站，对50所乡镇卫生院实施标准化建设，对全市未达标的村卫生室进行达标建设。</w:t>
            </w:r>
          </w:p>
          <w:p>
            <w:pPr>
              <w:adjustRightInd w:val="0"/>
              <w:snapToGrid w:val="0"/>
              <w:spacing w:line="500" w:lineRule="exact"/>
              <w:ind w:firstLine="562"/>
              <w:rPr>
                <w:rFonts w:ascii="Times New Roman" w:eastAsia="宋体-PUA"/>
                <w:b/>
                <w:color w:val="000000"/>
                <w:sz w:val="28"/>
                <w:szCs w:val="28"/>
              </w:rPr>
            </w:pPr>
            <w:r>
              <w:rPr>
                <w:rFonts w:ascii="Times New Roman" w:eastAsia="宋体-PUA"/>
                <w:b/>
                <w:color w:val="000000"/>
                <w:sz w:val="28"/>
                <w:szCs w:val="28"/>
              </w:rPr>
              <w:t>市中心医院医技住院综合楼建设项目。该项目总投资5亿元，总建筑面积为82000㎡，设置床位1000张。</w:t>
            </w:r>
          </w:p>
          <w:p>
            <w:pPr>
              <w:adjustRightInd w:val="0"/>
              <w:snapToGrid w:val="0"/>
              <w:spacing w:line="500" w:lineRule="exact"/>
              <w:ind w:firstLine="562"/>
              <w:rPr>
                <w:rFonts w:ascii="Times New Roman" w:eastAsia="宋体-PUA"/>
                <w:b/>
                <w:color w:val="000000"/>
                <w:sz w:val="28"/>
                <w:szCs w:val="28"/>
              </w:rPr>
            </w:pPr>
            <w:r>
              <w:rPr>
                <w:rFonts w:ascii="Times New Roman" w:eastAsia="宋体-PUA"/>
                <w:b/>
                <w:color w:val="000000"/>
                <w:sz w:val="28"/>
                <w:szCs w:val="28"/>
              </w:rPr>
              <w:t>高新区咸阳国际医学中心建设项目。该项目总投资5亿元，建设面积10万平方米，增设床位790张。</w:t>
            </w:r>
          </w:p>
          <w:p>
            <w:pPr>
              <w:adjustRightInd w:val="0"/>
              <w:snapToGrid w:val="0"/>
              <w:spacing w:line="500" w:lineRule="exact"/>
              <w:ind w:firstLine="562"/>
              <w:rPr>
                <w:rFonts w:ascii="Times New Roman" w:eastAsia="宋体-PUA"/>
                <w:b/>
                <w:color w:val="000000"/>
                <w:sz w:val="28"/>
                <w:szCs w:val="28"/>
              </w:rPr>
            </w:pPr>
            <w:r>
              <w:rPr>
                <w:rFonts w:ascii="Times New Roman" w:eastAsia="宋体-PUA"/>
                <w:b/>
                <w:color w:val="000000"/>
                <w:sz w:val="28"/>
                <w:szCs w:val="28"/>
              </w:rPr>
              <w:t>新兴纺织工业园中心医院项目。总投资3.5亿元，总建筑面积4.9万平方米，共15层设置床位450张。</w:t>
            </w:r>
          </w:p>
          <w:p>
            <w:pPr>
              <w:adjustRightInd w:val="0"/>
              <w:snapToGrid w:val="0"/>
              <w:spacing w:line="500" w:lineRule="exact"/>
              <w:ind w:firstLine="562"/>
              <w:rPr>
                <w:rFonts w:ascii="Times New Roman" w:eastAsia="宋体-PUA"/>
                <w:b/>
                <w:color w:val="000000"/>
                <w:sz w:val="28"/>
                <w:szCs w:val="28"/>
              </w:rPr>
            </w:pPr>
            <w:r>
              <w:rPr>
                <w:rFonts w:ascii="Times New Roman" w:eastAsia="宋体-PUA"/>
                <w:b/>
                <w:color w:val="000000"/>
                <w:sz w:val="28"/>
                <w:szCs w:val="28"/>
              </w:rPr>
              <w:t>延安大学咸阳医院外科楼建设项目。该项目总投资3亿元，建筑面积9万平方米，增设床位500张。</w:t>
            </w:r>
          </w:p>
          <w:p>
            <w:pPr>
              <w:adjustRightInd w:val="0"/>
              <w:snapToGrid w:val="0"/>
              <w:spacing w:line="500" w:lineRule="exact"/>
              <w:ind w:firstLine="562"/>
              <w:rPr>
                <w:rFonts w:ascii="Times New Roman" w:eastAsia="宋体-PUA"/>
                <w:b/>
                <w:color w:val="000000"/>
                <w:sz w:val="28"/>
                <w:szCs w:val="28"/>
              </w:rPr>
            </w:pPr>
            <w:r>
              <w:rPr>
                <w:rFonts w:ascii="Times New Roman" w:eastAsia="宋体-PUA"/>
                <w:b/>
                <w:color w:val="000000"/>
                <w:sz w:val="28"/>
                <w:szCs w:val="28"/>
              </w:rPr>
              <w:t>西藏民族大学附属医院新住院大楼建设项目。该项目总投资1.5亿元，建筑面积3万平方米，增设床位500张。</w:t>
            </w:r>
          </w:p>
          <w:p>
            <w:pPr>
              <w:adjustRightInd w:val="0"/>
              <w:snapToGrid w:val="0"/>
              <w:spacing w:line="500" w:lineRule="exact"/>
              <w:ind w:firstLine="562"/>
              <w:rPr>
                <w:rFonts w:ascii="Times New Roman"/>
                <w:b/>
                <w:color w:val="000000"/>
                <w:sz w:val="28"/>
                <w:szCs w:val="28"/>
              </w:rPr>
            </w:pPr>
            <w:r>
              <w:rPr>
                <w:rFonts w:ascii="Times New Roman" w:eastAsia="宋体-PUA"/>
                <w:b/>
                <w:color w:val="000000"/>
                <w:sz w:val="28"/>
                <w:szCs w:val="28"/>
              </w:rPr>
              <w:t>陕西中医药大学附属医院医师培训楼建设项目。该项目总投资1.5亿元，建筑面积5万平方米。</w:t>
            </w:r>
          </w:p>
        </w:tc>
      </w:tr>
    </w:tbl>
    <w:p>
      <w:pPr>
        <w:keepNext/>
        <w:keepLines/>
        <w:spacing w:line="600" w:lineRule="exact"/>
        <w:ind w:firstLine="0" w:firstLineChars="0"/>
        <w:jc w:val="center"/>
        <w:outlineLvl w:val="1"/>
        <w:rPr>
          <w:rFonts w:ascii="Times New Roman" w:eastAsia="方正小标宋简体"/>
          <w:b/>
          <w:color w:val="000000"/>
          <w:kern w:val="0"/>
          <w:sz w:val="36"/>
          <w:szCs w:val="36"/>
        </w:rPr>
      </w:pPr>
      <w:r>
        <w:rPr>
          <w:rFonts w:ascii="Times New Roman" w:eastAsia="方正小标宋简体"/>
          <w:b/>
          <w:color w:val="000000"/>
          <w:kern w:val="0"/>
          <w:sz w:val="36"/>
          <w:szCs w:val="36"/>
        </w:rPr>
        <w:br w:type="page"/>
      </w:r>
      <w:bookmarkStart w:id="66" w:name="_Toc439878111"/>
    </w:p>
    <w:p>
      <w:pPr>
        <w:keepNext/>
        <w:keepLines/>
        <w:spacing w:line="600" w:lineRule="exact"/>
        <w:ind w:firstLine="0" w:firstLineChars="0"/>
        <w:jc w:val="center"/>
        <w:outlineLvl w:val="1"/>
        <w:rPr>
          <w:rFonts w:hint="eastAsia" w:ascii="方正小标宋_GBK" w:hAnsi="方正小标宋_GBK" w:eastAsia="方正小标宋_GBK" w:cs="方正小标宋_GBK"/>
          <w:b/>
          <w:color w:val="000000"/>
          <w:kern w:val="0"/>
          <w:sz w:val="44"/>
          <w:szCs w:val="44"/>
        </w:rPr>
      </w:pPr>
      <w:r>
        <w:rPr>
          <w:rFonts w:hint="eastAsia" w:ascii="方正小标宋_GBK" w:hAnsi="方正小标宋_GBK" w:eastAsia="方正小标宋_GBK" w:cs="方正小标宋_GBK"/>
          <w:b/>
          <w:color w:val="000000"/>
          <w:kern w:val="0"/>
          <w:sz w:val="44"/>
          <w:szCs w:val="44"/>
        </w:rPr>
        <w:t>第七篇  强化保障支撑 铸就咸阳发展新辉煌</w:t>
      </w:r>
      <w:bookmarkEnd w:id="66"/>
    </w:p>
    <w:p>
      <w:pPr>
        <w:spacing w:line="6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r>
        <w:rPr>
          <w:rFonts w:ascii="Times New Roman"/>
          <w:b/>
          <w:color w:val="000000"/>
          <w:sz w:val="32"/>
          <w:szCs w:val="32"/>
        </w:rPr>
        <w:t>实现未来五年发展宏伟蓝图，需要切实加强组织领导，完善保障机制，进一步提高政府的统筹调控能力，动员和引导全社会力量共同推进规划有效实施。</w:t>
      </w:r>
    </w:p>
    <w:p>
      <w:pPr>
        <w:spacing w:line="300" w:lineRule="exact"/>
        <w:ind w:firstLine="643"/>
        <w:rPr>
          <w:rFonts w:ascii="Times New Roman"/>
          <w:b/>
          <w:color w:val="000000"/>
          <w:sz w:val="32"/>
          <w:szCs w:val="32"/>
        </w:rPr>
      </w:pPr>
    </w:p>
    <w:p>
      <w:pPr>
        <w:keepNext/>
        <w:keepLines/>
        <w:spacing w:line="600" w:lineRule="exact"/>
        <w:ind w:firstLine="0" w:firstLineChars="0"/>
        <w:jc w:val="center"/>
        <w:outlineLvl w:val="2"/>
        <w:rPr>
          <w:rFonts w:ascii="Times New Roman" w:eastAsia="黑体"/>
          <w:b/>
          <w:color w:val="000000"/>
          <w:kern w:val="0"/>
          <w:sz w:val="32"/>
          <w:szCs w:val="32"/>
        </w:rPr>
      </w:pPr>
      <w:r>
        <w:rPr>
          <w:rFonts w:ascii="Times New Roman" w:eastAsia="黑体"/>
          <w:b/>
          <w:color w:val="000000"/>
          <w:kern w:val="0"/>
          <w:sz w:val="32"/>
          <w:szCs w:val="32"/>
        </w:rPr>
        <w:t xml:space="preserve"> </w:t>
      </w:r>
      <w:bookmarkStart w:id="67" w:name="_Toc439878112"/>
      <w:r>
        <w:rPr>
          <w:rFonts w:ascii="Times New Roman" w:eastAsia="黑体"/>
          <w:b/>
          <w:color w:val="000000"/>
          <w:kern w:val="0"/>
          <w:sz w:val="32"/>
          <w:szCs w:val="32"/>
        </w:rPr>
        <w:t>第二十三章  切实加强党的领导</w:t>
      </w:r>
      <w:bookmarkEnd w:id="67"/>
    </w:p>
    <w:p>
      <w:pPr>
        <w:spacing w:line="300" w:lineRule="exact"/>
        <w:ind w:firstLine="0" w:firstLineChars="0"/>
        <w:rPr>
          <w:rFonts w:ascii="Times New Roman" w:eastAsia="宋体"/>
          <w:b/>
          <w:color w:val="000000"/>
          <w:sz w:val="32"/>
          <w:szCs w:val="32"/>
        </w:rPr>
      </w:pPr>
    </w:p>
    <w:p>
      <w:pPr>
        <w:spacing w:line="600" w:lineRule="exact"/>
        <w:ind w:firstLine="643"/>
        <w:rPr>
          <w:rFonts w:ascii="Times New Roman"/>
          <w:b/>
          <w:color w:val="000000"/>
          <w:sz w:val="32"/>
          <w:szCs w:val="32"/>
        </w:rPr>
      </w:pPr>
      <w:r>
        <w:rPr>
          <w:rFonts w:ascii="Times New Roman"/>
          <w:b/>
          <w:color w:val="000000"/>
          <w:sz w:val="32"/>
          <w:szCs w:val="32"/>
        </w:rPr>
        <w:t>推动规划顺利实施，必须坚持党的领导，充分发挥党总揽全局、协调各方的领导核心作用，调动一切积极因素，团结一切社会力量，形成推动规划落实的强大合力。坚决贯彻中央和省委市委的各项决策部署，运用专业思维、专业素养、专业方法谋划工作。加强政府干部队伍建设，优化领导班子知识结构和专业结构，提高科学决策、科学管理的能力，更好地把握形势、破解难题、推动发展。持之以恒落实八项规定精神，切实践行“三严三实”，努力建设和维护良好的政治生态。实现全面小康是全市人民共同的事业，必须聚合各方面力量，动员各阶层广泛参与，在围绕中心、服务大局中尽职尽责、发挥作用。</w:t>
      </w:r>
    </w:p>
    <w:p>
      <w:pPr>
        <w:spacing w:line="600" w:lineRule="exact"/>
        <w:ind w:firstLine="643"/>
        <w:rPr>
          <w:rFonts w:ascii="Times New Roman"/>
          <w:b/>
          <w:color w:val="000000"/>
          <w:sz w:val="32"/>
          <w:szCs w:val="32"/>
        </w:rPr>
      </w:pPr>
      <w:r>
        <w:rPr>
          <w:rFonts w:ascii="Times New Roman"/>
          <w:b/>
          <w:color w:val="000000"/>
          <w:sz w:val="32"/>
          <w:szCs w:val="32"/>
        </w:rPr>
        <w:t>推进民主政治建设，坚持和完善人民代表大会制度，支持和保证人大及其常委会依法行使职权。坚持和完善中国共产党领导的多党合作和政治协商制度，推动协商民主广泛多层制度化发展。加强基层民主建设，完善民主选举、民主决策、民主管理、民主监督程序，引导公民依法行使权利和履行义务。加强和改善民族、宗教、侨务等方面的工作，支持工会、共青团、妇联、工商联等人民团体开展工作。支持驻咸部队和武警部队建设，提升“双拥”工作水平。健全基层党组织领导基层群众自治机制，通过扩大有序参与、推进信息公开、加强议事协商、强化权力监督等，保障人民享有更多更切实的民主权力。发挥基层各类组织协同作用，实现政府管理和基层民主有机结合。</w:t>
      </w:r>
    </w:p>
    <w:p>
      <w:pPr>
        <w:spacing w:line="300" w:lineRule="exact"/>
        <w:ind w:firstLine="0" w:firstLineChars="0"/>
        <w:rPr>
          <w:rFonts w:ascii="Times New Roman" w:eastAsia="宋体"/>
          <w:b/>
          <w:color w:val="000000"/>
          <w:sz w:val="32"/>
          <w:szCs w:val="32"/>
        </w:rPr>
      </w:pPr>
      <w:r>
        <w:rPr>
          <w:rFonts w:ascii="Times New Roman" w:eastAsia="宋体"/>
          <w:b/>
          <w:color w:val="000000"/>
          <w:sz w:val="32"/>
          <w:szCs w:val="32"/>
        </w:rPr>
        <w:t xml:space="preserve"> </w:t>
      </w:r>
    </w:p>
    <w:p>
      <w:pPr>
        <w:keepNext/>
        <w:keepLines/>
        <w:spacing w:line="600" w:lineRule="exact"/>
        <w:ind w:firstLine="0" w:firstLineChars="0"/>
        <w:jc w:val="center"/>
        <w:outlineLvl w:val="2"/>
        <w:rPr>
          <w:rFonts w:ascii="Times New Roman" w:eastAsia="黑体"/>
          <w:b/>
          <w:color w:val="000000"/>
          <w:kern w:val="0"/>
          <w:sz w:val="32"/>
          <w:szCs w:val="32"/>
        </w:rPr>
      </w:pPr>
      <w:bookmarkStart w:id="68" w:name="_Toc439878114"/>
      <w:r>
        <w:rPr>
          <w:rFonts w:ascii="Times New Roman" w:eastAsia="黑体"/>
          <w:b/>
          <w:color w:val="000000"/>
          <w:kern w:val="0"/>
          <w:sz w:val="32"/>
          <w:szCs w:val="32"/>
        </w:rPr>
        <w:t>第二十四章  促进人才队伍建设</w:t>
      </w:r>
      <w:bookmarkEnd w:id="68"/>
    </w:p>
    <w:p>
      <w:pPr>
        <w:spacing w:line="300" w:lineRule="exact"/>
        <w:ind w:firstLine="0" w:firstLineChars="0"/>
        <w:rPr>
          <w:rFonts w:ascii="Times New Roman" w:eastAsia="宋体"/>
          <w:b/>
          <w:color w:val="000000"/>
          <w:sz w:val="32"/>
          <w:szCs w:val="32"/>
        </w:rPr>
      </w:pPr>
    </w:p>
    <w:p>
      <w:pPr>
        <w:spacing w:line="600" w:lineRule="exact"/>
        <w:ind w:firstLine="643"/>
        <w:rPr>
          <w:rFonts w:ascii="Times New Roman"/>
          <w:b/>
          <w:color w:val="000000"/>
          <w:sz w:val="32"/>
          <w:szCs w:val="32"/>
        </w:rPr>
      </w:pPr>
      <w:r>
        <w:rPr>
          <w:rFonts w:ascii="Times New Roman"/>
          <w:b/>
          <w:color w:val="000000"/>
          <w:sz w:val="32"/>
          <w:szCs w:val="32"/>
        </w:rPr>
        <w:t>把</w:t>
      </w:r>
      <w:r>
        <w:rPr>
          <w:rFonts w:ascii="Times New Roman"/>
          <w:b/>
          <w:color w:val="000000"/>
          <w:spacing w:val="2"/>
          <w:sz w:val="32"/>
          <w:szCs w:val="32"/>
        </w:rPr>
        <w:t>人才作为支撑发展的第一资源，深入实施人才强市战略。打破创新人才自由流动体制机制障碍，完善知识产权归属和利益分配机制，让创新人才获利、让创新企业家受益。围绕我市优先发展的重点产业、重大项目，实施引进高层次创新创业人才“咸阳千人计划”，5年引进1000名以上急需的高层次创新创业人才。培养100名在省内外同行业具有领先水平、研发成果突出、产品市场占有率较高的研发领军人才。培育10个高水平的科技创新团队，带动形成创新能力强、团队结构优的科技创新人才队伍。以重点产业为依托，创建一批专业人才创业基地，5年建成10个市级高层次人才创新创业基地。深入实施“全员大培训”，在培训对象上努力做到应训尽训、统筹安排，在培训内容上紧跟形势、重点突出。进一步健全人才工作保障服务机制，探索完善以政府为主导、用人单位为主体、社会组织为补充的多元化人才经费投入机制。</w:t>
      </w:r>
    </w:p>
    <w:p>
      <w:pPr>
        <w:spacing w:line="300" w:lineRule="exact"/>
        <w:ind w:firstLine="0" w:firstLineChars="0"/>
        <w:rPr>
          <w:rFonts w:ascii="Times New Roman" w:eastAsia="宋体"/>
          <w:b/>
          <w:color w:val="000000"/>
          <w:sz w:val="32"/>
          <w:szCs w:val="32"/>
        </w:rPr>
      </w:pPr>
    </w:p>
    <w:p>
      <w:pPr>
        <w:keepNext/>
        <w:keepLines/>
        <w:spacing w:line="600" w:lineRule="exact"/>
        <w:ind w:firstLine="0" w:firstLineChars="0"/>
        <w:jc w:val="center"/>
        <w:outlineLvl w:val="2"/>
        <w:rPr>
          <w:rFonts w:ascii="Times New Roman" w:eastAsia="黑体"/>
          <w:b/>
          <w:color w:val="000000"/>
          <w:kern w:val="0"/>
          <w:sz w:val="32"/>
          <w:szCs w:val="32"/>
        </w:rPr>
      </w:pPr>
      <w:bookmarkStart w:id="69" w:name="_Toc439878115"/>
      <w:r>
        <w:rPr>
          <w:rFonts w:ascii="Times New Roman" w:eastAsia="黑体"/>
          <w:b/>
          <w:color w:val="000000"/>
          <w:kern w:val="0"/>
          <w:sz w:val="32"/>
          <w:szCs w:val="32"/>
        </w:rPr>
        <w:t>第二十五章  加强法治咸阳建设</w:t>
      </w:r>
      <w:bookmarkEnd w:id="69"/>
    </w:p>
    <w:p>
      <w:pPr>
        <w:spacing w:line="300" w:lineRule="exact"/>
        <w:ind w:firstLine="0" w:firstLineChars="0"/>
        <w:rPr>
          <w:rFonts w:ascii="Times New Roman" w:eastAsia="宋体"/>
          <w:b/>
          <w:color w:val="000000"/>
          <w:sz w:val="32"/>
          <w:szCs w:val="32"/>
        </w:rPr>
      </w:pPr>
    </w:p>
    <w:p>
      <w:pPr>
        <w:spacing w:line="600" w:lineRule="exact"/>
        <w:ind w:firstLine="0" w:firstLineChars="0"/>
        <w:rPr>
          <w:rFonts w:ascii="Times New Roman" w:eastAsia="宋体"/>
          <w:b/>
          <w:color w:val="000000"/>
          <w:sz w:val="32"/>
          <w:szCs w:val="32"/>
        </w:rPr>
      </w:pPr>
      <w:r>
        <w:rPr>
          <w:rFonts w:ascii="Times New Roman"/>
          <w:b/>
          <w:color w:val="000000"/>
          <w:sz w:val="32"/>
          <w:szCs w:val="32"/>
        </w:rPr>
        <w:t xml:space="preserve">    完善地方立法工作机制，坚持人大主导立法，加强政府规章的制定。全面推进依法行政，完善依法决策机制，健全政府法律顾问和重大决策合法性审查制度，大力推进政府信息公开，加快法治政府建设。深化行政执法体制改革，落实行政执法责任制，合理配置执法力量，推进执法重心下移。加强行政执法监督，全面推进严格规范公正文明执法。深化司法体制改革，创新司法工作机制，规范司法行为，强化司法监督，促进公正司法，提高司法公信力。加大司法救助和法律援助力度。加强法治宣传教育，增强全社会特别是公职人员</w:t>
      </w:r>
      <w:r>
        <w:rPr>
          <w:rFonts w:hint="eastAsia" w:ascii="Times New Roman"/>
          <w:b/>
          <w:color w:val="000000"/>
          <w:sz w:val="32"/>
          <w:szCs w:val="32"/>
        </w:rPr>
        <w:t>遵</w:t>
      </w:r>
      <w:r>
        <w:rPr>
          <w:rFonts w:ascii="Times New Roman"/>
          <w:b/>
          <w:color w:val="000000"/>
          <w:sz w:val="32"/>
          <w:szCs w:val="32"/>
        </w:rPr>
        <w:t>法学法守法用法观念。坚持用制度管权管事管人，加快构建科学有效的权力运行制约和监督体系，确保有权必有责、用权受监督、违法必追究。完善政府社会治理和公共服务职能，推进政府由管理型向服务型转变。深化信访制度改革，把信访纳入法治化轨道。扎实推进平安咸阳建设，完善立体化社会治安防控体系。加强应急管理和体制机制建设，牢固树立安全发展理念，建立健全安全责任体系，实行党政同责、一岗双责、失职追责，坚决遏制重特大事故发生。完善重大项目风险评估机制。加强安全生产基础能力和防灾减灾能力建设，扎实做好安全生产隐患排查整治工作，确保隐患排查治理工作常态化。加强互联网建设和管理，确保网络和信息安全。强化市场监管职能，提升市场监管的信息化、法治化水平。</w:t>
      </w:r>
    </w:p>
    <w:p>
      <w:pPr>
        <w:spacing w:line="300" w:lineRule="exact"/>
        <w:ind w:firstLine="0" w:firstLineChars="0"/>
        <w:rPr>
          <w:rFonts w:ascii="Times New Roman" w:eastAsia="宋体"/>
          <w:b/>
          <w:color w:val="000000"/>
          <w:sz w:val="32"/>
          <w:szCs w:val="32"/>
        </w:rPr>
      </w:pPr>
      <w:r>
        <w:rPr>
          <w:rFonts w:ascii="Times New Roman" w:eastAsia="宋体"/>
          <w:b/>
          <w:color w:val="000000"/>
          <w:sz w:val="32"/>
          <w:szCs w:val="32"/>
        </w:rPr>
        <w:t xml:space="preserve"> </w:t>
      </w:r>
    </w:p>
    <w:p>
      <w:pPr>
        <w:keepNext/>
        <w:keepLines/>
        <w:spacing w:line="600" w:lineRule="exact"/>
        <w:ind w:firstLine="0" w:firstLineChars="0"/>
        <w:jc w:val="center"/>
        <w:outlineLvl w:val="2"/>
        <w:rPr>
          <w:rFonts w:ascii="Times New Roman" w:eastAsia="黑体"/>
          <w:b/>
          <w:color w:val="000000"/>
          <w:kern w:val="0"/>
          <w:sz w:val="32"/>
          <w:szCs w:val="32"/>
        </w:rPr>
      </w:pPr>
      <w:bookmarkStart w:id="70" w:name="_Toc439878116"/>
      <w:r>
        <w:rPr>
          <w:rFonts w:ascii="Times New Roman" w:eastAsia="黑体"/>
          <w:b/>
          <w:color w:val="000000"/>
          <w:kern w:val="0"/>
          <w:sz w:val="32"/>
          <w:szCs w:val="32"/>
        </w:rPr>
        <w:t>第二十六章  加强规划组织实施</w:t>
      </w:r>
      <w:bookmarkEnd w:id="70"/>
    </w:p>
    <w:p>
      <w:pPr>
        <w:spacing w:line="300" w:lineRule="exact"/>
        <w:ind w:firstLine="0" w:firstLineChars="0"/>
        <w:rPr>
          <w:rFonts w:ascii="Times New Roman" w:eastAsia="宋体"/>
          <w:b/>
          <w:color w:val="000000"/>
          <w:sz w:val="32"/>
          <w:szCs w:val="32"/>
        </w:rPr>
      </w:pPr>
    </w:p>
    <w:p>
      <w:pPr>
        <w:spacing w:line="600" w:lineRule="exact"/>
        <w:ind w:firstLine="640"/>
        <w:rPr>
          <w:rFonts w:ascii="Times New Roman" w:eastAsia="宋体"/>
          <w:b/>
          <w:color w:val="000000"/>
          <w:sz w:val="32"/>
          <w:szCs w:val="32"/>
        </w:rPr>
      </w:pPr>
      <w:r>
        <w:rPr>
          <w:rFonts w:ascii="Times New Roman" w:eastAsia="楷体"/>
          <w:b/>
          <w:color w:val="000000"/>
          <w:sz w:val="32"/>
          <w:szCs w:val="32"/>
        </w:rPr>
        <w:t>加强规划衔接协调。</w:t>
      </w:r>
      <w:r>
        <w:rPr>
          <w:rFonts w:ascii="Times New Roman"/>
          <w:b/>
          <w:color w:val="000000"/>
          <w:sz w:val="32"/>
          <w:szCs w:val="32"/>
        </w:rPr>
        <w:t>坚持专项规划服从总体规划、下位规划服从上位规划，以国民经济和社会发展总体规划为统领，以专项规划、城市规划和土地利用规划为支撑，形成各类规划定位清晰、功能互补、统一衔接的规划体系。建立规划纲要与专项规划、市级规划与县市区规划相互协调的工作机制，在重大生产力布局、重点项目安排、基础设施建设上，确保总体要求一致，空间配置合理。积极开展“多规合一”试点工作，确保“一张蓝图”干到底。</w:t>
      </w:r>
    </w:p>
    <w:p>
      <w:pPr>
        <w:spacing w:line="600" w:lineRule="exact"/>
        <w:ind w:firstLine="640"/>
        <w:rPr>
          <w:rFonts w:ascii="Times New Roman" w:eastAsia="宋体"/>
          <w:b/>
          <w:color w:val="000000"/>
          <w:sz w:val="32"/>
          <w:szCs w:val="32"/>
        </w:rPr>
      </w:pPr>
      <w:r>
        <w:rPr>
          <w:rFonts w:ascii="Times New Roman" w:eastAsia="楷体"/>
          <w:b/>
          <w:color w:val="000000"/>
          <w:sz w:val="32"/>
          <w:szCs w:val="32"/>
        </w:rPr>
        <w:t>强化规划监督考核。</w:t>
      </w:r>
      <w:r>
        <w:rPr>
          <w:rFonts w:ascii="Times New Roman"/>
          <w:b/>
          <w:color w:val="000000"/>
          <w:sz w:val="32"/>
          <w:szCs w:val="32"/>
        </w:rPr>
        <w:t>规划提出的预期性指标和产业发展、结构调整等任务，主要依靠市场主体的自主行为实现。各级部门要通过完善市场机制和利益导向机制，创造良好的政策环境、体制环境和法制环境，激发市场主体的积极性和创造性。本规划确定的约束性指标和改革创新、公共服务领域的任务，要纳入各县市区、各部门经济社会发展综合评价和目标责任考核体系。各项指标和重点任务要分解落实到各部门、各县市区和相关重点企业，明确工作责任。要围绕国民经济社会发展的关键领域和薄弱环节，着力解决突出问题，主要明确特定领域的发展方向、发展目标、工作重点和政策措施，形成落实本规划的重要支撑和抓手。</w:t>
      </w:r>
    </w:p>
    <w:p>
      <w:pPr>
        <w:spacing w:line="600" w:lineRule="exact"/>
        <w:ind w:firstLine="640"/>
        <w:rPr>
          <w:rFonts w:ascii="Times New Roman"/>
          <w:b/>
          <w:color w:val="000000"/>
          <w:sz w:val="32"/>
          <w:szCs w:val="32"/>
        </w:rPr>
      </w:pPr>
      <w:r>
        <w:rPr>
          <w:rFonts w:ascii="Times New Roman" w:eastAsia="楷体"/>
          <w:b/>
          <w:color w:val="000000"/>
          <w:sz w:val="32"/>
          <w:szCs w:val="32"/>
        </w:rPr>
        <w:t>完善监测评估制度。</w:t>
      </w:r>
      <w:r>
        <w:rPr>
          <w:rFonts w:ascii="Times New Roman"/>
          <w:b/>
          <w:color w:val="000000"/>
          <w:sz w:val="32"/>
          <w:szCs w:val="32"/>
        </w:rPr>
        <w:t>引入第三方评估机制，加强对规划实施情况跟踪分析，自觉接受市人民代表大会的监督检查。市发展改革委要加强对本规划实施情况的跟踪分析，对重点领域中的突出问题适时开展专题评估。在规划实施的中期阶段，由市政府组织开展全面评估，并将中期评估报告提交市人民代表大会常务委员会审议。经中期评估需要对纲要进行修订时，要报市人民代表大会常务委员会批准。</w:t>
      </w:r>
    </w:p>
    <w:p>
      <w:pPr>
        <w:spacing w:line="6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p>
    <w:p>
      <w:pPr>
        <w:spacing w:line="600" w:lineRule="exact"/>
        <w:ind w:firstLine="643"/>
        <w:rPr>
          <w:rFonts w:ascii="Times New Roman"/>
          <w:b/>
          <w:color w:val="000000"/>
          <w:sz w:val="32"/>
          <w:szCs w:val="32"/>
        </w:rPr>
      </w:pPr>
    </w:p>
    <w:p>
      <w:pPr>
        <w:spacing w:line="600" w:lineRule="exact"/>
        <w:ind w:firstLine="0" w:firstLineChars="0"/>
        <w:jc w:val="left"/>
        <w:rPr>
          <w:rFonts w:ascii="Times New Roman"/>
          <w:b/>
          <w:color w:val="000000"/>
          <w:sz w:val="32"/>
          <w:szCs w:val="32"/>
        </w:rPr>
      </w:pPr>
    </w:p>
    <w:sectPr>
      <w:footerReference r:id="rId13" w:type="default"/>
      <w:pgSz w:w="11906" w:h="16838"/>
      <w:pgMar w:top="1701" w:right="1502" w:bottom="1871" w:left="1502" w:header="851" w:footer="1446" w:gutter="0"/>
      <w:cols w:space="720" w:num="1"/>
      <w:docGrid w:linePitch="41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roman"/>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PUA">
    <w:altName w:val="宋体"/>
    <w:panose1 w:val="02010600030101010101"/>
    <w:charset w:val="86"/>
    <w:family w:val="auto"/>
    <w:pitch w:val="default"/>
    <w:sig w:usb0="00000001" w:usb1="180E0000" w:usb2="00000010" w:usb3="00000000" w:csb0="00040000" w:csb1="00000000"/>
  </w:font>
  <w:font w:name="方正隶书_GBK">
    <w:altName w:val="宋体"/>
    <w:panose1 w:val="03000509000000000000"/>
    <w:charset w:val="86"/>
    <w:family w:val="auto"/>
    <w:pitch w:val="default"/>
    <w:sig w:usb0="00000001" w:usb1="080E0000" w:usb2="00000000" w:usb3="00000000" w:csb0="00040000" w:csb1="00000000"/>
  </w:font>
  <w:font w:name="方正书宋简体">
    <w:altName w:val="宋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rFonts w:hint="eastAsia"/>
                              <w:sz w:val="18"/>
                            </w:rPr>
                          </w:pP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wveMkBAACa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fL&#10;N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JrC94yQEAAJoDAAAOAAAAAAAAAAEAIAAAAB4BAABkcnMvZTJvRG9j&#10;LnhtbFBLBQYAAAAABgAGAFkBAABZBQAAAAA=&#10;">
              <v:fill on="f" focussize="0,0"/>
              <v:stroke on="f"/>
              <v:imagedata o:title=""/>
              <o:lock v:ext="edit" aspectratio="f"/>
              <v:textbox inset="0mm,0mm,0mm,0mm" style="mso-fit-shape-to-text:t;">
                <w:txbxContent>
                  <w:p>
                    <w:pPr>
                      <w:snapToGrid w:val="0"/>
                      <w:ind w:firstLine="360"/>
                      <w:rPr>
                        <w:rFonts w:hint="eastAsia"/>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67385" cy="37084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667385" cy="370840"/>
                      </a:xfrm>
                      <a:prstGeom prst="rect">
                        <a:avLst/>
                      </a:prstGeom>
                      <a:noFill/>
                      <a:ln>
                        <a:noFill/>
                      </a:ln>
                    </wps:spPr>
                    <wps:txbx>
                      <w:txbxContent>
                        <w:p>
                          <w:pPr>
                            <w:snapToGrid w:val="0"/>
                            <w:ind w:firstLine="0" w:firstLineChars="0"/>
                            <w:rPr>
                              <w:rFonts w:hint="eastAsia"/>
                              <w:sz w:val="18"/>
                            </w:rPr>
                          </w:pP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29.2pt;width:52.55pt;mso-position-horizontal:outside;mso-position-horizontal-relative:margin;mso-wrap-style:none;z-index:251659264;mso-width-relative:page;mso-height-relative:page;" filled="f" stroked="f" coordsize="21600,21600" o:gfxdata="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S+2vDSAAAABAEAAA8AAAAAAAAAAQAgAAAAIgAAAGRycy9k&#10;b3ducmV2LnhtbFBLAQIUABQAAAAIAIdO4kBNAb/WzwEAAJgDAAAOAAAAAAAAAAEAIAAAACEBAABk&#10;cnMvZTJvRG9jLnhtbFBLBQYAAAAABgAGAFkBAABiBQAAAAA=&#10;">
              <v:fill on="f" focussize="0,0"/>
              <v:stroke on="f"/>
              <v:imagedata o:title=""/>
              <o:lock v:ext="edit" aspectratio="f"/>
              <v:textbox inset="0mm,0mm,0mm,0mm" style="mso-fit-shape-to-text:t;">
                <w:txbxContent>
                  <w:p>
                    <w:pPr>
                      <w:snapToGrid w:val="0"/>
                      <w:ind w:firstLine="0" w:firstLineChars="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rPr>
        <w:rFonts w:hint="eastAsia"/>
      </w:rP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0" w:firstLineChars="0"/>
                            <w:rPr>
                              <w:rFonts w:hint="eastAsia"/>
                            </w:rPr>
                          </w:pP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p6xfckBAACa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nrF9yQEAAJoDAAAOAAAAAAAAAAEAIAAAAB4BAABkcnMvZTJvRG9j&#10;LnhtbFBLBQYAAAAABgAGAFkBAABZBQAAAAA=&#10;">
              <v:fill on="f" focussize="0,0"/>
              <v:stroke on="f"/>
              <v:imagedata o:title=""/>
              <o:lock v:ext="edit" aspectratio="f"/>
              <v:textbox inset="0mm,0mm,0mm,0mm" style="mso-fit-shape-to-text:t;">
                <w:txbxContent>
                  <w:p>
                    <w:pPr>
                      <w:ind w:firstLine="0" w:firstLineChars="0"/>
                      <w:rPr>
                        <w:rFonts w:hint="eastAsia"/>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rFonts w:hint="eastAsia"/>
                              <w:sz w:val="18"/>
                            </w:rPr>
                          </w:pP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wDLsoBAACa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Z&#10;vs369AFqTLsPmJiGd37ArZn9gM5Me1DR5i8SIhhHdU8XdeWQiMiPVsvVqsKQwNh8QXz28DxESO+l&#10;tyQbDY04vqIqP36ENKbOKbma83famDJC4/5xIGb2sNz72GO20rAbJkI7356QT4+Tb6jDRafEfHAo&#10;bF6S2YizsZuNQ4h635UtyvUg3B4SNlF6yxVG2Kkwjqywm9Yr78Tje8l6+K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wDLsoBAACaAwAADgAAAAAAAAABACAAAAAeAQAAZHJzL2Uyb0Rv&#10;Yy54bWxQSwUGAAAAAAYABgBZAQAAWgUAAAAA&#10;">
              <v:fill on="f" focussize="0,0"/>
              <v:stroke on="f"/>
              <v:imagedata o:title=""/>
              <o:lock v:ext="edit" aspectratio="f"/>
              <v:textbox inset="0mm,0mm,0mm,0mm" style="mso-fit-shape-to-text:t;">
                <w:txbxContent>
                  <w:p>
                    <w:pPr>
                      <w:snapToGrid w:val="0"/>
                      <w:ind w:firstLine="360"/>
                      <w:rPr>
                        <w:rFonts w:hint="eastAsia"/>
                        <w:sz w:val="18"/>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667385" cy="370840"/>
              <wp:effectExtent l="0" t="0" r="0" b="0"/>
              <wp:wrapNone/>
              <wp:docPr id="5" name="文本框 15"/>
              <wp:cNvGraphicFramePr/>
              <a:graphic xmlns:a="http://schemas.openxmlformats.org/drawingml/2006/main">
                <a:graphicData uri="http://schemas.microsoft.com/office/word/2010/wordprocessingShape">
                  <wps:wsp>
                    <wps:cNvSpPr txBox="1"/>
                    <wps:spPr>
                      <a:xfrm>
                        <a:off x="0" y="0"/>
                        <a:ext cx="667385" cy="370840"/>
                      </a:xfrm>
                      <a:prstGeom prst="rect">
                        <a:avLst/>
                      </a:prstGeom>
                      <a:noFill/>
                      <a:ln>
                        <a:noFill/>
                      </a:ln>
                    </wps:spPr>
                    <wps:txbx>
                      <w:txbxContent>
                        <w:p>
                          <w:pPr>
                            <w:snapToGrid w:val="0"/>
                            <w:ind w:firstLine="0" w:firstLineChars="0"/>
                            <w:rPr>
                              <w:rFonts w:hint="eastAsia"/>
                              <w:sz w:val="18"/>
                            </w:rPr>
                          </w:pP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29.2pt;width:52.55pt;mso-position-horizontal:outside;mso-position-horizontal-relative:margin;mso-wrap-style:none;z-index:251663360;mso-width-relative:page;mso-height-relative:page;" filled="f" stroked="f" coordsize="21600,21600" o:gfxdata="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kvtrw0gAAAAQBAAAPAAAAAAAAAAEAIAAAACIAAABkcnMv&#10;ZG93bnJldi54bWxQSwECFAAUAAAACACHTuJAtetKINABAACYAwAADgAAAAAAAAABACAAAAAhAQAA&#10;ZHJzL2Uyb0RvYy54bWxQSwUGAAAAAAYABgBZAQAAYwUAAAAA&#10;">
              <v:fill on="f" focussize="0,0"/>
              <v:stroke on="f"/>
              <v:imagedata o:title=""/>
              <o:lock v:ext="edit" aspectratio="f"/>
              <v:textbox inset="0mm,0mm,0mm,0mm" style="mso-fit-shape-to-text:t;">
                <w:txbxContent>
                  <w:p>
                    <w:pPr>
                      <w:snapToGrid w:val="0"/>
                      <w:ind w:firstLine="0" w:firstLineChars="0"/>
                      <w:rPr>
                        <w:rFonts w:hint="eastAsia"/>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spacing w:line="300" w:lineRule="exact"/>
                            <w:ind w:firstLine="0" w:firstLineChars="0"/>
                            <w:rPr>
                              <w:rFonts w:hint="eastAsia"/>
                              <w:b/>
                              <w:bCs/>
                              <w:sz w:val="18"/>
                            </w:rPr>
                          </w:pPr>
                          <w:r>
                            <w:rPr>
                              <w:rFonts w:hint="eastAsia" w:ascii="宋体" w:hAnsi="宋体" w:eastAsia="宋体" w:cs="宋体"/>
                              <w:b/>
                              <w:bCs/>
                              <w:sz w:val="21"/>
                              <w:szCs w:val="21"/>
                            </w:rPr>
                            <w:t>—</w:t>
                          </w:r>
                          <w:r>
                            <w:rPr>
                              <w:rFonts w:hint="eastAsia"/>
                              <w:b/>
                              <w:bCs/>
                              <w:sz w:val="18"/>
                            </w:rPr>
                            <w:t xml:space="preserve"> </w:t>
                          </w:r>
                          <w:r>
                            <w:rPr>
                              <w:rFonts w:ascii="Times New Roman"/>
                              <w:b/>
                              <w:bCs/>
                              <w:sz w:val="24"/>
                              <w:szCs w:val="24"/>
                            </w:rPr>
                            <w:fldChar w:fldCharType="begin"/>
                          </w:r>
                          <w:r>
                            <w:rPr>
                              <w:rFonts w:ascii="Times New Roman"/>
                              <w:b/>
                              <w:bCs/>
                              <w:sz w:val="24"/>
                              <w:szCs w:val="24"/>
                            </w:rPr>
                            <w:instrText xml:space="preserve"> PAGE  \* MERGEFORMAT </w:instrText>
                          </w:r>
                          <w:r>
                            <w:rPr>
                              <w:rFonts w:ascii="Times New Roman"/>
                              <w:b/>
                              <w:bCs/>
                              <w:sz w:val="24"/>
                              <w:szCs w:val="24"/>
                            </w:rPr>
                            <w:fldChar w:fldCharType="separate"/>
                          </w:r>
                          <w:r>
                            <w:rPr>
                              <w:rFonts w:ascii="Times New Roman"/>
                              <w:b/>
                              <w:bCs/>
                              <w:sz w:val="24"/>
                              <w:szCs w:val="24"/>
                              <w:lang/>
                            </w:rPr>
                            <w:t>1</w:t>
                          </w:r>
                          <w:r>
                            <w:rPr>
                              <w:rFonts w:ascii="Times New Roman"/>
                              <w:b/>
                              <w:bCs/>
                              <w:sz w:val="24"/>
                              <w:szCs w:val="24"/>
                            </w:rPr>
                            <w:fldChar w:fldCharType="end"/>
                          </w:r>
                          <w:r>
                            <w:rPr>
                              <w:rFonts w:hint="eastAsia"/>
                              <w:b/>
                              <w:bCs/>
                              <w:sz w:val="18"/>
                            </w:rPr>
                            <w:t xml:space="preserve"> </w:t>
                          </w:r>
                          <w:r>
                            <w:rPr>
                              <w:rFonts w:hint="eastAsia" w:ascii="宋体" w:hAnsi="宋体" w:eastAsia="宋体" w:cs="宋体"/>
                              <w:b/>
                              <w:bCs/>
                              <w:sz w:val="21"/>
                              <w:szCs w:val="21"/>
                            </w:rPr>
                            <w:t>—</w:t>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AWzpTIAQAAmgMAAA4AAAAAAAAAAQAgAAAAHgEAAGRycy9lMm9Eb2Mu&#10;eG1sUEsFBgAAAAAGAAYAWQEAAFgFAAAAAA==&#10;">
              <v:fill on="f" focussize="0,0"/>
              <v:stroke on="f"/>
              <v:imagedata o:title=""/>
              <o:lock v:ext="edit" aspectratio="f"/>
              <v:textbox inset="0mm,0mm,0mm,0mm" style="mso-fit-shape-to-text:t;">
                <w:txbxContent>
                  <w:p>
                    <w:pPr>
                      <w:snapToGrid w:val="0"/>
                      <w:spacing w:line="300" w:lineRule="exact"/>
                      <w:ind w:firstLine="0" w:firstLineChars="0"/>
                      <w:rPr>
                        <w:rFonts w:hint="eastAsia"/>
                        <w:b/>
                        <w:bCs/>
                        <w:sz w:val="18"/>
                      </w:rPr>
                    </w:pPr>
                    <w:r>
                      <w:rPr>
                        <w:rFonts w:hint="eastAsia" w:ascii="宋体" w:hAnsi="宋体" w:eastAsia="宋体" w:cs="宋体"/>
                        <w:b/>
                        <w:bCs/>
                        <w:sz w:val="21"/>
                        <w:szCs w:val="21"/>
                      </w:rPr>
                      <w:t>—</w:t>
                    </w:r>
                    <w:r>
                      <w:rPr>
                        <w:rFonts w:hint="eastAsia"/>
                        <w:b/>
                        <w:bCs/>
                        <w:sz w:val="18"/>
                      </w:rPr>
                      <w:t xml:space="preserve"> </w:t>
                    </w:r>
                    <w:r>
                      <w:rPr>
                        <w:rFonts w:ascii="Times New Roman"/>
                        <w:b/>
                        <w:bCs/>
                        <w:sz w:val="24"/>
                        <w:szCs w:val="24"/>
                      </w:rPr>
                      <w:fldChar w:fldCharType="begin"/>
                    </w:r>
                    <w:r>
                      <w:rPr>
                        <w:rFonts w:ascii="Times New Roman"/>
                        <w:b/>
                        <w:bCs/>
                        <w:sz w:val="24"/>
                        <w:szCs w:val="24"/>
                      </w:rPr>
                      <w:instrText xml:space="preserve"> PAGE  \* MERGEFORMAT </w:instrText>
                    </w:r>
                    <w:r>
                      <w:rPr>
                        <w:rFonts w:ascii="Times New Roman"/>
                        <w:b/>
                        <w:bCs/>
                        <w:sz w:val="24"/>
                        <w:szCs w:val="24"/>
                      </w:rPr>
                      <w:fldChar w:fldCharType="separate"/>
                    </w:r>
                    <w:r>
                      <w:rPr>
                        <w:rFonts w:ascii="Times New Roman"/>
                        <w:b/>
                        <w:bCs/>
                        <w:sz w:val="24"/>
                        <w:szCs w:val="24"/>
                        <w:lang/>
                      </w:rPr>
                      <w:t>1</w:t>
                    </w:r>
                    <w:r>
                      <w:rPr>
                        <w:rFonts w:ascii="Times New Roman"/>
                        <w:b/>
                        <w:bCs/>
                        <w:sz w:val="24"/>
                        <w:szCs w:val="24"/>
                      </w:rPr>
                      <w:fldChar w:fldCharType="end"/>
                    </w:r>
                    <w:r>
                      <w:rPr>
                        <w:rFonts w:hint="eastAsia"/>
                        <w:b/>
                        <w:bCs/>
                        <w:sz w:val="18"/>
                      </w:rPr>
                      <w:t xml:space="preserve"> </w:t>
                    </w:r>
                    <w:r>
                      <w:rPr>
                        <w:rFonts w:hint="eastAsia" w:ascii="宋体" w:hAnsi="宋体" w:eastAsia="宋体" w:cs="宋体"/>
                        <w:b/>
                        <w:bCs/>
                        <w:sz w:val="21"/>
                        <w:szCs w:val="21"/>
                      </w:rPr>
                      <w:t>—</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rFonts w:hint="eastAsia"/>
                              <w:sz w:val="18"/>
                            </w:rPr>
                          </w:pP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Jkj8cBAACa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ZaJkj8cBAACaAwAADgAAAAAAAAABACAAAAAeAQAAZHJzL2Uyb0RvYy54&#10;bWxQSwUGAAAAAAYABgBZAQAAVwUAAAAA&#10;">
              <v:fill on="f" focussize="0,0"/>
              <v:stroke on="f"/>
              <v:imagedata o:title=""/>
              <o:lock v:ext="edit" aspectratio="f"/>
              <v:textbox inset="0mm,0mm,0mm,0mm" style="mso-fit-shape-to-text:t;">
                <w:txbxContent>
                  <w:p>
                    <w:pPr>
                      <w:snapToGrid w:val="0"/>
                      <w:ind w:firstLine="360"/>
                      <w:rPr>
                        <w:rFonts w:hint="eastAsia"/>
                        <w:sz w:val="18"/>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22225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14935" cy="222250"/>
                      </a:xfrm>
                      <a:prstGeom prst="rect">
                        <a:avLst/>
                      </a:prstGeom>
                      <a:noFill/>
                      <a:ln>
                        <a:noFill/>
                      </a:ln>
                    </wps:spPr>
                    <wps:txbx>
                      <w:txbxContent>
                        <w:p>
                          <w:pPr>
                            <w:snapToGrid w:val="0"/>
                            <w:ind w:firstLine="0" w:firstLineChars="0"/>
                            <w:rPr>
                              <w:rFonts w:hint="eastAsia"/>
                              <w:sz w:val="18"/>
                            </w:rPr>
                          </w:pP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7.5pt;width:9.05pt;mso-position-horizontal:outside;mso-position-horizontal-relative:margin;mso-wrap-style:none;z-index:251660288;mso-width-relative:page;mso-height-relative:page;" filled="f" stroked="f" coordsize="21600,21600" o:gfxdata="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k9ELfRAAAAAwEAAA8AAAAAAAAAAQAgAAAAIgAAAGRycy9kb3du&#10;cmV2LnhtbFBLAQIUABQAAAAIAIdO4kAeBk64zQEAAJgDAAAOAAAAAAAAAAEAIAAAACABAABkcnMv&#10;ZTJvRG9jLnhtbFBLBQYAAAAABgAGAFkBAABfBQAAAAA=&#10;">
              <v:fill on="f" focussize="0,0"/>
              <v:stroke on="f"/>
              <v:imagedata o:title=""/>
              <o:lock v:ext="edit" aspectratio="f"/>
              <v:textbox inset="0mm,0mm,0mm,0mm" style="mso-fit-shape-to-text:t;">
                <w:txbxContent>
                  <w:p>
                    <w:pPr>
                      <w:snapToGrid w:val="0"/>
                      <w:ind w:firstLine="0" w:firstLineChars="0"/>
                      <w:rPr>
                        <w:rFonts w:hint="eastAsia"/>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spacing w:line="300" w:lineRule="exact"/>
                            <w:ind w:firstLine="0" w:firstLineChars="0"/>
                            <w:rPr>
                              <w:rFonts w:hint="eastAsia"/>
                              <w:b/>
                              <w:bCs/>
                              <w:sz w:val="18"/>
                            </w:rPr>
                          </w:pPr>
                          <w:r>
                            <w:rPr>
                              <w:rFonts w:hint="eastAsia" w:ascii="宋体" w:hAnsi="宋体" w:eastAsia="宋体" w:cs="宋体"/>
                              <w:b/>
                              <w:bCs/>
                              <w:sz w:val="21"/>
                              <w:szCs w:val="21"/>
                            </w:rPr>
                            <w:t>—</w:t>
                          </w:r>
                          <w:r>
                            <w:rPr>
                              <w:rFonts w:hint="eastAsia"/>
                              <w:b/>
                              <w:bCs/>
                              <w:sz w:val="18"/>
                            </w:rPr>
                            <w:t xml:space="preserve"> </w:t>
                          </w:r>
                          <w:r>
                            <w:rPr>
                              <w:rFonts w:ascii="Times New Roman"/>
                              <w:b/>
                              <w:bCs/>
                              <w:sz w:val="24"/>
                              <w:szCs w:val="24"/>
                            </w:rPr>
                            <w:fldChar w:fldCharType="begin"/>
                          </w:r>
                          <w:r>
                            <w:rPr>
                              <w:rFonts w:ascii="Times New Roman"/>
                              <w:b/>
                              <w:bCs/>
                              <w:sz w:val="24"/>
                              <w:szCs w:val="24"/>
                            </w:rPr>
                            <w:instrText xml:space="preserve"> PAGE  \* MERGEFORMAT </w:instrText>
                          </w:r>
                          <w:r>
                            <w:rPr>
                              <w:rFonts w:ascii="Times New Roman"/>
                              <w:b/>
                              <w:bCs/>
                              <w:sz w:val="24"/>
                              <w:szCs w:val="24"/>
                            </w:rPr>
                            <w:fldChar w:fldCharType="separate"/>
                          </w:r>
                          <w:r>
                            <w:rPr>
                              <w:rFonts w:ascii="Times New Roman"/>
                              <w:b/>
                              <w:bCs/>
                              <w:sz w:val="24"/>
                              <w:szCs w:val="24"/>
                              <w:lang/>
                            </w:rPr>
                            <w:t>2</w:t>
                          </w:r>
                          <w:r>
                            <w:rPr>
                              <w:rFonts w:ascii="Times New Roman"/>
                              <w:b/>
                              <w:bCs/>
                              <w:sz w:val="24"/>
                              <w:szCs w:val="24"/>
                            </w:rPr>
                            <w:fldChar w:fldCharType="end"/>
                          </w:r>
                          <w:r>
                            <w:rPr>
                              <w:rFonts w:hint="eastAsia"/>
                              <w:b/>
                              <w:bCs/>
                              <w:sz w:val="18"/>
                            </w:rPr>
                            <w:t xml:space="preserve"> </w:t>
                          </w:r>
                          <w:r>
                            <w:rPr>
                              <w:rFonts w:hint="eastAsia" w:ascii="宋体" w:hAnsi="宋体" w:eastAsia="宋体" w:cs="宋体"/>
                              <w:b/>
                              <w:bCs/>
                              <w:sz w:val="21"/>
                              <w:szCs w:val="21"/>
                            </w:rPr>
                            <w:t>—</w:t>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rfPNrIAQAAmwMAAA4AAAAAAAAAAQAgAAAAHgEAAGRycy9lMm9Eb2Mu&#10;eG1sUEsFBgAAAAAGAAYAWQEAAFgFAAAAAA==&#10;">
              <v:fill on="f" focussize="0,0"/>
              <v:stroke on="f"/>
              <v:imagedata o:title=""/>
              <o:lock v:ext="edit" aspectratio="f"/>
              <v:textbox inset="0mm,0mm,0mm,0mm" style="mso-fit-shape-to-text:t;">
                <w:txbxContent>
                  <w:p>
                    <w:pPr>
                      <w:snapToGrid w:val="0"/>
                      <w:spacing w:line="300" w:lineRule="exact"/>
                      <w:ind w:firstLine="0" w:firstLineChars="0"/>
                      <w:rPr>
                        <w:rFonts w:hint="eastAsia"/>
                        <w:b/>
                        <w:bCs/>
                        <w:sz w:val="18"/>
                      </w:rPr>
                    </w:pPr>
                    <w:r>
                      <w:rPr>
                        <w:rFonts w:hint="eastAsia" w:ascii="宋体" w:hAnsi="宋体" w:eastAsia="宋体" w:cs="宋体"/>
                        <w:b/>
                        <w:bCs/>
                        <w:sz w:val="21"/>
                        <w:szCs w:val="21"/>
                      </w:rPr>
                      <w:t>—</w:t>
                    </w:r>
                    <w:r>
                      <w:rPr>
                        <w:rFonts w:hint="eastAsia"/>
                        <w:b/>
                        <w:bCs/>
                        <w:sz w:val="18"/>
                      </w:rPr>
                      <w:t xml:space="preserve"> </w:t>
                    </w:r>
                    <w:r>
                      <w:rPr>
                        <w:rFonts w:ascii="Times New Roman"/>
                        <w:b/>
                        <w:bCs/>
                        <w:sz w:val="24"/>
                        <w:szCs w:val="24"/>
                      </w:rPr>
                      <w:fldChar w:fldCharType="begin"/>
                    </w:r>
                    <w:r>
                      <w:rPr>
                        <w:rFonts w:ascii="Times New Roman"/>
                        <w:b/>
                        <w:bCs/>
                        <w:sz w:val="24"/>
                        <w:szCs w:val="24"/>
                      </w:rPr>
                      <w:instrText xml:space="preserve"> PAGE  \* MERGEFORMAT </w:instrText>
                    </w:r>
                    <w:r>
                      <w:rPr>
                        <w:rFonts w:ascii="Times New Roman"/>
                        <w:b/>
                        <w:bCs/>
                        <w:sz w:val="24"/>
                        <w:szCs w:val="24"/>
                      </w:rPr>
                      <w:fldChar w:fldCharType="separate"/>
                    </w:r>
                    <w:r>
                      <w:rPr>
                        <w:rFonts w:ascii="Times New Roman"/>
                        <w:b/>
                        <w:bCs/>
                        <w:sz w:val="24"/>
                        <w:szCs w:val="24"/>
                        <w:lang/>
                      </w:rPr>
                      <w:t>2</w:t>
                    </w:r>
                    <w:r>
                      <w:rPr>
                        <w:rFonts w:ascii="Times New Roman"/>
                        <w:b/>
                        <w:bCs/>
                        <w:sz w:val="24"/>
                        <w:szCs w:val="24"/>
                      </w:rPr>
                      <w:fldChar w:fldCharType="end"/>
                    </w:r>
                    <w:r>
                      <w:rPr>
                        <w:rFonts w:hint="eastAsia"/>
                        <w:b/>
                        <w:bCs/>
                        <w:sz w:val="18"/>
                      </w:rPr>
                      <w:t xml:space="preserve"> </w:t>
                    </w:r>
                    <w:r>
                      <w:rPr>
                        <w:rFonts w:hint="eastAsia" w:ascii="宋体" w:hAnsi="宋体" w:eastAsia="宋体" w:cs="宋体"/>
                        <w:b/>
                        <w:bCs/>
                        <w:sz w:val="21"/>
                        <w:szCs w:val="21"/>
                      </w:rPr>
                      <w:t>—</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14935" cy="222250"/>
              <wp:effectExtent l="0" t="0" r="0" b="0"/>
              <wp:wrapNone/>
              <wp:docPr id="8" name="文本框 21"/>
              <wp:cNvGraphicFramePr/>
              <a:graphic xmlns:a="http://schemas.openxmlformats.org/drawingml/2006/main">
                <a:graphicData uri="http://schemas.microsoft.com/office/word/2010/wordprocessingShape">
                  <wps:wsp>
                    <wps:cNvSpPr txBox="1"/>
                    <wps:spPr>
                      <a:xfrm>
                        <a:off x="0" y="0"/>
                        <a:ext cx="114935" cy="222250"/>
                      </a:xfrm>
                      <a:prstGeom prst="rect">
                        <a:avLst/>
                      </a:prstGeom>
                      <a:noFill/>
                      <a:ln>
                        <a:noFill/>
                      </a:ln>
                    </wps:spPr>
                    <wps:txbx>
                      <w:txbxContent>
                        <w:p>
                          <w:pPr>
                            <w:snapToGrid w:val="0"/>
                            <w:ind w:firstLine="0" w:firstLineChars="0"/>
                            <w:rPr>
                              <w:rFonts w:hint="eastAsia"/>
                              <w:sz w:val="18"/>
                            </w:rPr>
                          </w:pP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7.5pt;width:9.05pt;mso-position-horizontal:outside;mso-position-horizontal-relative:margin;mso-wrap-style:none;z-index:251666432;mso-width-relative:page;mso-height-relative:page;" filled="f" stroked="f" coordsize="21600,21600" o:gfxdata="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PRC30QAAAAMBAAAPAAAAAAAAAAEAIAAAACIAAABkcnMvZG93&#10;bnJldi54bWxQSwECFAAUAAAACACHTuJA0yCu9c4BAACYAwAADgAAAAAAAAABACAAAAAgAQAAZHJz&#10;L2Uyb0RvYy54bWxQSwUGAAAAAAYABgBZAQAAYAUAAAAA&#10;">
              <v:fill on="f" focussize="0,0"/>
              <v:stroke on="f"/>
              <v:imagedata o:title=""/>
              <o:lock v:ext="edit" aspectratio="f"/>
              <v:textbox inset="0mm,0mm,0mm,0mm" style="mso-fit-shape-to-text:t;">
                <w:txbxContent>
                  <w:p>
                    <w:pPr>
                      <w:snapToGrid w:val="0"/>
                      <w:ind w:firstLine="0" w:firstLineChars="0"/>
                      <w:rPr>
                        <w:rFonts w:hint="eastAsia"/>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spacing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EE6408"/>
    <w:multiLevelType w:val="multilevel"/>
    <w:tmpl w:val="51EE6408"/>
    <w:lvl w:ilvl="0" w:tentative="0">
      <w:start w:val="3"/>
      <w:numFmt w:val="chineseCounting"/>
      <w:suff w:val="space"/>
      <w:lvlText w:val="第%1节"/>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657D1BA"/>
    <w:multiLevelType w:val="singleLevel"/>
    <w:tmpl w:val="5657D1BA"/>
    <w:lvl w:ilvl="0" w:tentative="0">
      <w:start w:val="4"/>
      <w:numFmt w:val="chineseCounting"/>
      <w:suff w:val="space"/>
      <w:lvlText w:val="第%1节"/>
      <w:lvlJc w:val="left"/>
    </w:lvl>
  </w:abstractNum>
  <w:abstractNum w:abstractNumId="2">
    <w:nsid w:val="565804DC"/>
    <w:multiLevelType w:val="singleLevel"/>
    <w:tmpl w:val="565804DC"/>
    <w:lvl w:ilvl="0" w:tentative="0">
      <w:start w:val="1"/>
      <w:numFmt w:val="chineseCounting"/>
      <w:suff w:val="space"/>
      <w:lvlText w:val="第%1节"/>
      <w:lvlJc w:val="left"/>
    </w:lvl>
  </w:abstractNum>
  <w:abstractNum w:abstractNumId="3">
    <w:nsid w:val="56656136"/>
    <w:multiLevelType w:val="singleLevel"/>
    <w:tmpl w:val="56656136"/>
    <w:lvl w:ilvl="0" w:tentative="0">
      <w:start w:val="3"/>
      <w:numFmt w:val="chineseCounting"/>
      <w:suff w:val="space"/>
      <w:lvlText w:val="第%1节"/>
      <w:lvlJc w:val="left"/>
    </w:lvl>
  </w:abstractNum>
  <w:abstractNum w:abstractNumId="4">
    <w:nsid w:val="566A35AD"/>
    <w:multiLevelType w:val="singleLevel"/>
    <w:tmpl w:val="566A35AD"/>
    <w:lvl w:ilvl="0" w:tentative="0">
      <w:start w:val="5"/>
      <w:numFmt w:val="chineseCounting"/>
      <w:suff w:val="space"/>
      <w:lvlText w:val="第%1节"/>
      <w:lvlJc w:val="left"/>
    </w:lvl>
  </w:abstractNum>
  <w:abstractNum w:abstractNumId="5">
    <w:nsid w:val="567F7F9C"/>
    <w:multiLevelType w:val="singleLevel"/>
    <w:tmpl w:val="567F7F9C"/>
    <w:lvl w:ilvl="0" w:tentative="0">
      <w:start w:val="4"/>
      <w:numFmt w:val="chineseCounting"/>
      <w:suff w:val="space"/>
      <w:lvlText w:val="第%1节"/>
      <w:lvlJc w:val="left"/>
    </w:lvl>
  </w:abstractNum>
  <w:abstractNum w:abstractNumId="6">
    <w:nsid w:val="5681F9B5"/>
    <w:multiLevelType w:val="singleLevel"/>
    <w:tmpl w:val="5681F9B5"/>
    <w:lvl w:ilvl="0" w:tentative="0">
      <w:start w:val="1"/>
      <w:numFmt w:val="chineseCounting"/>
      <w:suff w:val="space"/>
      <w:lvlText w:val="第%1节"/>
      <w:lvlJc w:val="left"/>
    </w:lvl>
  </w:abstractNum>
  <w:abstractNum w:abstractNumId="7">
    <w:nsid w:val="568D3F82"/>
    <w:multiLevelType w:val="singleLevel"/>
    <w:tmpl w:val="568D3F82"/>
    <w:lvl w:ilvl="0" w:tentative="0">
      <w:start w:val="9"/>
      <w:numFmt w:val="chineseCounting"/>
      <w:suff w:val="space"/>
      <w:lvlText w:val="第%1章"/>
      <w:lvlJc w:val="left"/>
    </w:lvl>
  </w:abstractNum>
  <w:abstractNum w:abstractNumId="8">
    <w:nsid w:val="56A9D30C"/>
    <w:multiLevelType w:val="singleLevel"/>
    <w:tmpl w:val="56A9D30C"/>
    <w:lvl w:ilvl="0" w:tentative="0">
      <w:start w:val="1"/>
      <w:numFmt w:val="chineseCounting"/>
      <w:suff w:val="space"/>
      <w:lvlText w:val="第%1章"/>
      <w:lvlJc w:val="left"/>
    </w:lvl>
  </w:abstractNum>
  <w:abstractNum w:abstractNumId="9">
    <w:nsid w:val="56A9D572"/>
    <w:multiLevelType w:val="singleLevel"/>
    <w:tmpl w:val="56A9D572"/>
    <w:lvl w:ilvl="0" w:tentative="0">
      <w:start w:val="1"/>
      <w:numFmt w:val="chineseCounting"/>
      <w:suff w:val="space"/>
      <w:lvlText w:val="第%1节"/>
      <w:lvlJc w:val="left"/>
    </w:lvl>
  </w:abstractNum>
  <w:abstractNum w:abstractNumId="10">
    <w:nsid w:val="56A9D80F"/>
    <w:multiLevelType w:val="singleLevel"/>
    <w:tmpl w:val="56A9D80F"/>
    <w:lvl w:ilvl="0" w:tentative="0">
      <w:start w:val="5"/>
      <w:numFmt w:val="chineseCounting"/>
      <w:suff w:val="space"/>
      <w:lvlText w:val="第%1节"/>
      <w:lvlJc w:val="left"/>
    </w:lvl>
  </w:abstractNum>
  <w:abstractNum w:abstractNumId="11">
    <w:nsid w:val="56A9DE5B"/>
    <w:multiLevelType w:val="singleLevel"/>
    <w:tmpl w:val="56A9DE5B"/>
    <w:lvl w:ilvl="0" w:tentative="0">
      <w:start w:val="2"/>
      <w:numFmt w:val="chineseCounting"/>
      <w:suff w:val="space"/>
      <w:lvlText w:val="第%1节"/>
      <w:lvlJc w:val="left"/>
    </w:lvl>
  </w:abstractNum>
  <w:abstractNum w:abstractNumId="12">
    <w:nsid w:val="56A9DFCA"/>
    <w:multiLevelType w:val="singleLevel"/>
    <w:tmpl w:val="56A9DFCA"/>
    <w:lvl w:ilvl="0" w:tentative="0">
      <w:start w:val="5"/>
      <w:numFmt w:val="chineseCounting"/>
      <w:suff w:val="space"/>
      <w:lvlText w:val="第%1节"/>
      <w:lvlJc w:val="left"/>
    </w:lvl>
  </w:abstractNum>
  <w:num w:numId="1">
    <w:abstractNumId w:val="8"/>
  </w:num>
  <w:num w:numId="2">
    <w:abstractNumId w:val="9"/>
  </w:num>
  <w:num w:numId="3">
    <w:abstractNumId w:val="3"/>
  </w:num>
  <w:num w:numId="4">
    <w:abstractNumId w:val="10"/>
  </w:num>
  <w:num w:numId="5">
    <w:abstractNumId w:val="2"/>
  </w:num>
  <w:num w:numId="6">
    <w:abstractNumId w:val="4"/>
  </w:num>
  <w:num w:numId="7">
    <w:abstractNumId w:val="5"/>
  </w:num>
  <w:num w:numId="8">
    <w:abstractNumId w:val="7"/>
  </w:num>
  <w:num w:numId="9">
    <w:abstractNumId w:val="1"/>
  </w:num>
  <w:num w:numId="10">
    <w:abstractNumId w:val="6"/>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00"/>
  <w:drawingGridVerticalSpacing w:val="205"/>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89"/>
    <w:rsid w:val="00083ED2"/>
    <w:rsid w:val="00135AAE"/>
    <w:rsid w:val="00153EFB"/>
    <w:rsid w:val="001A5739"/>
    <w:rsid w:val="001E5742"/>
    <w:rsid w:val="002418CC"/>
    <w:rsid w:val="00246FC4"/>
    <w:rsid w:val="00272850"/>
    <w:rsid w:val="00284A4F"/>
    <w:rsid w:val="002F093A"/>
    <w:rsid w:val="002F24F4"/>
    <w:rsid w:val="00313485"/>
    <w:rsid w:val="00365069"/>
    <w:rsid w:val="003A4E50"/>
    <w:rsid w:val="00427DB9"/>
    <w:rsid w:val="004C5812"/>
    <w:rsid w:val="00513CA3"/>
    <w:rsid w:val="005A3AFD"/>
    <w:rsid w:val="005C3CA9"/>
    <w:rsid w:val="005D35BD"/>
    <w:rsid w:val="005D364F"/>
    <w:rsid w:val="00655705"/>
    <w:rsid w:val="00681C1D"/>
    <w:rsid w:val="006B022B"/>
    <w:rsid w:val="006E2CE9"/>
    <w:rsid w:val="00735688"/>
    <w:rsid w:val="00790578"/>
    <w:rsid w:val="00825154"/>
    <w:rsid w:val="00864537"/>
    <w:rsid w:val="008D694B"/>
    <w:rsid w:val="009464AE"/>
    <w:rsid w:val="00A10C25"/>
    <w:rsid w:val="00A2032A"/>
    <w:rsid w:val="00A76622"/>
    <w:rsid w:val="00AF3A2E"/>
    <w:rsid w:val="00BE4713"/>
    <w:rsid w:val="00C900B6"/>
    <w:rsid w:val="00D6784B"/>
    <w:rsid w:val="00D71561"/>
    <w:rsid w:val="00EC0A89"/>
    <w:rsid w:val="00F3541C"/>
    <w:rsid w:val="01006CB0"/>
    <w:rsid w:val="01172D69"/>
    <w:rsid w:val="01182C38"/>
    <w:rsid w:val="01281579"/>
    <w:rsid w:val="01333413"/>
    <w:rsid w:val="013E2CED"/>
    <w:rsid w:val="013E7D32"/>
    <w:rsid w:val="014A255E"/>
    <w:rsid w:val="014A6A9C"/>
    <w:rsid w:val="014B31FA"/>
    <w:rsid w:val="015676BF"/>
    <w:rsid w:val="015D0B57"/>
    <w:rsid w:val="016570E7"/>
    <w:rsid w:val="016B4616"/>
    <w:rsid w:val="01831A44"/>
    <w:rsid w:val="01885C73"/>
    <w:rsid w:val="018A5BA6"/>
    <w:rsid w:val="01AF35D1"/>
    <w:rsid w:val="01BA0F6F"/>
    <w:rsid w:val="01BE07BC"/>
    <w:rsid w:val="01BE51FF"/>
    <w:rsid w:val="01BF1784"/>
    <w:rsid w:val="01C43A2F"/>
    <w:rsid w:val="01C744FB"/>
    <w:rsid w:val="01C848AF"/>
    <w:rsid w:val="01D44132"/>
    <w:rsid w:val="01D63A4C"/>
    <w:rsid w:val="01E65CA9"/>
    <w:rsid w:val="01E7372B"/>
    <w:rsid w:val="01EA716A"/>
    <w:rsid w:val="02063FE0"/>
    <w:rsid w:val="02074D9D"/>
    <w:rsid w:val="020E591D"/>
    <w:rsid w:val="021D4F45"/>
    <w:rsid w:val="022C2E9B"/>
    <w:rsid w:val="02324217"/>
    <w:rsid w:val="023D4D56"/>
    <w:rsid w:val="025062A1"/>
    <w:rsid w:val="02696863"/>
    <w:rsid w:val="02913B7F"/>
    <w:rsid w:val="029B5722"/>
    <w:rsid w:val="02A55508"/>
    <w:rsid w:val="02B40AB3"/>
    <w:rsid w:val="02B44DC6"/>
    <w:rsid w:val="02BB01A8"/>
    <w:rsid w:val="02BF0308"/>
    <w:rsid w:val="02C06C91"/>
    <w:rsid w:val="02C44CCD"/>
    <w:rsid w:val="02E268CB"/>
    <w:rsid w:val="02E912A5"/>
    <w:rsid w:val="02EC76C8"/>
    <w:rsid w:val="02F25CAA"/>
    <w:rsid w:val="02FE6776"/>
    <w:rsid w:val="030D3291"/>
    <w:rsid w:val="03175220"/>
    <w:rsid w:val="031D6F15"/>
    <w:rsid w:val="03327DC6"/>
    <w:rsid w:val="034B7721"/>
    <w:rsid w:val="03533C82"/>
    <w:rsid w:val="03695E25"/>
    <w:rsid w:val="037960C0"/>
    <w:rsid w:val="037D0349"/>
    <w:rsid w:val="038A145E"/>
    <w:rsid w:val="03911568"/>
    <w:rsid w:val="039C5752"/>
    <w:rsid w:val="03B32AD2"/>
    <w:rsid w:val="03B34FA0"/>
    <w:rsid w:val="03C816C2"/>
    <w:rsid w:val="03D512B7"/>
    <w:rsid w:val="03E35AEF"/>
    <w:rsid w:val="03E82C1C"/>
    <w:rsid w:val="04022E34"/>
    <w:rsid w:val="04036024"/>
    <w:rsid w:val="04256902"/>
    <w:rsid w:val="043322E8"/>
    <w:rsid w:val="044F392E"/>
    <w:rsid w:val="04502D71"/>
    <w:rsid w:val="04513BA5"/>
    <w:rsid w:val="046163BD"/>
    <w:rsid w:val="046402BE"/>
    <w:rsid w:val="04721A78"/>
    <w:rsid w:val="04785FE3"/>
    <w:rsid w:val="04840727"/>
    <w:rsid w:val="04896E34"/>
    <w:rsid w:val="048F44A4"/>
    <w:rsid w:val="049125FC"/>
    <w:rsid w:val="04957B11"/>
    <w:rsid w:val="04A14C29"/>
    <w:rsid w:val="04AD109E"/>
    <w:rsid w:val="04BB7F4A"/>
    <w:rsid w:val="04C218DA"/>
    <w:rsid w:val="04C715E5"/>
    <w:rsid w:val="04CB4B75"/>
    <w:rsid w:val="04CE0F70"/>
    <w:rsid w:val="04E92477"/>
    <w:rsid w:val="04EA2A9E"/>
    <w:rsid w:val="04F12429"/>
    <w:rsid w:val="04F85637"/>
    <w:rsid w:val="04F9194D"/>
    <w:rsid w:val="050071C0"/>
    <w:rsid w:val="05051039"/>
    <w:rsid w:val="05091A55"/>
    <w:rsid w:val="05184867"/>
    <w:rsid w:val="051922E9"/>
    <w:rsid w:val="051C21F1"/>
    <w:rsid w:val="05253B7D"/>
    <w:rsid w:val="05272903"/>
    <w:rsid w:val="053A3717"/>
    <w:rsid w:val="053E5AC7"/>
    <w:rsid w:val="05421691"/>
    <w:rsid w:val="054269BE"/>
    <w:rsid w:val="054E5C3E"/>
    <w:rsid w:val="056004DF"/>
    <w:rsid w:val="056549F0"/>
    <w:rsid w:val="056704DC"/>
    <w:rsid w:val="05726491"/>
    <w:rsid w:val="05732A60"/>
    <w:rsid w:val="05737CC1"/>
    <w:rsid w:val="0580683A"/>
    <w:rsid w:val="05890CF5"/>
    <w:rsid w:val="05911E8A"/>
    <w:rsid w:val="059F54B8"/>
    <w:rsid w:val="05B460A7"/>
    <w:rsid w:val="05B70C77"/>
    <w:rsid w:val="05CD6DB8"/>
    <w:rsid w:val="05D04016"/>
    <w:rsid w:val="05E45913"/>
    <w:rsid w:val="060C0A92"/>
    <w:rsid w:val="0623601E"/>
    <w:rsid w:val="063C49CA"/>
    <w:rsid w:val="06516942"/>
    <w:rsid w:val="06532244"/>
    <w:rsid w:val="06634889"/>
    <w:rsid w:val="0664230B"/>
    <w:rsid w:val="067B6479"/>
    <w:rsid w:val="068560C3"/>
    <w:rsid w:val="068C566F"/>
    <w:rsid w:val="06901B93"/>
    <w:rsid w:val="069D54E5"/>
    <w:rsid w:val="06B80C1D"/>
    <w:rsid w:val="06BB7496"/>
    <w:rsid w:val="06C66B2C"/>
    <w:rsid w:val="06D16368"/>
    <w:rsid w:val="06EA7FE5"/>
    <w:rsid w:val="06F90600"/>
    <w:rsid w:val="06F916CE"/>
    <w:rsid w:val="06FB5D01"/>
    <w:rsid w:val="06FE0455"/>
    <w:rsid w:val="07005014"/>
    <w:rsid w:val="07067916"/>
    <w:rsid w:val="070F27A4"/>
    <w:rsid w:val="0739486A"/>
    <w:rsid w:val="073B5502"/>
    <w:rsid w:val="07563BCB"/>
    <w:rsid w:val="075B37DA"/>
    <w:rsid w:val="076A763A"/>
    <w:rsid w:val="0775197C"/>
    <w:rsid w:val="07890DE8"/>
    <w:rsid w:val="078C0CAA"/>
    <w:rsid w:val="079836F1"/>
    <w:rsid w:val="07A5170B"/>
    <w:rsid w:val="07BF79B8"/>
    <w:rsid w:val="07C61F53"/>
    <w:rsid w:val="07E25BDA"/>
    <w:rsid w:val="07E43B00"/>
    <w:rsid w:val="07E87F08"/>
    <w:rsid w:val="080A72C0"/>
    <w:rsid w:val="082F7275"/>
    <w:rsid w:val="08426019"/>
    <w:rsid w:val="084A5506"/>
    <w:rsid w:val="08550B82"/>
    <w:rsid w:val="085D4542"/>
    <w:rsid w:val="085E5403"/>
    <w:rsid w:val="085F64AC"/>
    <w:rsid w:val="086055C9"/>
    <w:rsid w:val="08646752"/>
    <w:rsid w:val="087C4EF9"/>
    <w:rsid w:val="087D297A"/>
    <w:rsid w:val="0886328A"/>
    <w:rsid w:val="0892301B"/>
    <w:rsid w:val="08983D41"/>
    <w:rsid w:val="089A0CE9"/>
    <w:rsid w:val="08A27337"/>
    <w:rsid w:val="08A31B20"/>
    <w:rsid w:val="08A81240"/>
    <w:rsid w:val="08A82FDE"/>
    <w:rsid w:val="08AB689B"/>
    <w:rsid w:val="08C14368"/>
    <w:rsid w:val="08C64073"/>
    <w:rsid w:val="08EA2FAE"/>
    <w:rsid w:val="08F16DA2"/>
    <w:rsid w:val="08F700C6"/>
    <w:rsid w:val="09015152"/>
    <w:rsid w:val="09056FA9"/>
    <w:rsid w:val="090A6415"/>
    <w:rsid w:val="090F2083"/>
    <w:rsid w:val="092C77D2"/>
    <w:rsid w:val="09303999"/>
    <w:rsid w:val="09383541"/>
    <w:rsid w:val="096674B8"/>
    <w:rsid w:val="0970068C"/>
    <w:rsid w:val="09721F8E"/>
    <w:rsid w:val="097904D4"/>
    <w:rsid w:val="097B2C0D"/>
    <w:rsid w:val="09804648"/>
    <w:rsid w:val="09806892"/>
    <w:rsid w:val="098447D4"/>
    <w:rsid w:val="099A4DF8"/>
    <w:rsid w:val="09A76BE4"/>
    <w:rsid w:val="09AA16E3"/>
    <w:rsid w:val="09AC5238"/>
    <w:rsid w:val="09AE12D1"/>
    <w:rsid w:val="09B17207"/>
    <w:rsid w:val="09B5177D"/>
    <w:rsid w:val="09B671FF"/>
    <w:rsid w:val="09CD1537"/>
    <w:rsid w:val="09CE1B99"/>
    <w:rsid w:val="09D405A0"/>
    <w:rsid w:val="09E661A6"/>
    <w:rsid w:val="09E85450"/>
    <w:rsid w:val="09EA0953"/>
    <w:rsid w:val="0A041E90"/>
    <w:rsid w:val="0A35554F"/>
    <w:rsid w:val="0A3F769E"/>
    <w:rsid w:val="0A447D68"/>
    <w:rsid w:val="0A4607FA"/>
    <w:rsid w:val="0A4731F8"/>
    <w:rsid w:val="0A5507F1"/>
    <w:rsid w:val="0A69468F"/>
    <w:rsid w:val="0A7B01DD"/>
    <w:rsid w:val="0A840B51"/>
    <w:rsid w:val="0A8D1E29"/>
    <w:rsid w:val="0A8F5AFD"/>
    <w:rsid w:val="0A922065"/>
    <w:rsid w:val="0A9C2632"/>
    <w:rsid w:val="0AB84CCE"/>
    <w:rsid w:val="0AC30636"/>
    <w:rsid w:val="0AC35152"/>
    <w:rsid w:val="0AD153CD"/>
    <w:rsid w:val="0ADA4B2E"/>
    <w:rsid w:val="0AE15667"/>
    <w:rsid w:val="0AF8528D"/>
    <w:rsid w:val="0B0E19AF"/>
    <w:rsid w:val="0B183610"/>
    <w:rsid w:val="0B232127"/>
    <w:rsid w:val="0B2C47E2"/>
    <w:rsid w:val="0B347BF1"/>
    <w:rsid w:val="0B3F2F81"/>
    <w:rsid w:val="0B4E021A"/>
    <w:rsid w:val="0B5224A3"/>
    <w:rsid w:val="0B576895"/>
    <w:rsid w:val="0B5D6A39"/>
    <w:rsid w:val="0B696845"/>
    <w:rsid w:val="0B744BD6"/>
    <w:rsid w:val="0B78105E"/>
    <w:rsid w:val="0B8B47CD"/>
    <w:rsid w:val="0B8C2DDF"/>
    <w:rsid w:val="0B911342"/>
    <w:rsid w:val="0B932B88"/>
    <w:rsid w:val="0BAC3C28"/>
    <w:rsid w:val="0BAD6035"/>
    <w:rsid w:val="0BB00D71"/>
    <w:rsid w:val="0BBD1B53"/>
    <w:rsid w:val="0BC301D9"/>
    <w:rsid w:val="0BC4487E"/>
    <w:rsid w:val="0BCC4586"/>
    <w:rsid w:val="0BCE1F5E"/>
    <w:rsid w:val="0BD14D1B"/>
    <w:rsid w:val="0BDA7DFE"/>
    <w:rsid w:val="0BE6434E"/>
    <w:rsid w:val="0BEC6666"/>
    <w:rsid w:val="0C0D2323"/>
    <w:rsid w:val="0C0E7E79"/>
    <w:rsid w:val="0C136A9B"/>
    <w:rsid w:val="0C1D75EE"/>
    <w:rsid w:val="0C534244"/>
    <w:rsid w:val="0C5A7452"/>
    <w:rsid w:val="0C5B58D5"/>
    <w:rsid w:val="0C5F38DA"/>
    <w:rsid w:val="0C6371CF"/>
    <w:rsid w:val="0C7F0363"/>
    <w:rsid w:val="0C840985"/>
    <w:rsid w:val="0C8A25DD"/>
    <w:rsid w:val="0C9037D2"/>
    <w:rsid w:val="0C9671B3"/>
    <w:rsid w:val="0CC30DC3"/>
    <w:rsid w:val="0CCE2B2E"/>
    <w:rsid w:val="0CD563A3"/>
    <w:rsid w:val="0CDC55B5"/>
    <w:rsid w:val="0CEB2B5E"/>
    <w:rsid w:val="0CEF7946"/>
    <w:rsid w:val="0CF80284"/>
    <w:rsid w:val="0D0343E8"/>
    <w:rsid w:val="0D0F5C7C"/>
    <w:rsid w:val="0D140CC6"/>
    <w:rsid w:val="0D1D1130"/>
    <w:rsid w:val="0D314411"/>
    <w:rsid w:val="0D3B4184"/>
    <w:rsid w:val="0D3D639C"/>
    <w:rsid w:val="0D3F0BBE"/>
    <w:rsid w:val="0D4C30EB"/>
    <w:rsid w:val="0D5B23CC"/>
    <w:rsid w:val="0D693D8C"/>
    <w:rsid w:val="0D6F3717"/>
    <w:rsid w:val="0D8C0AC9"/>
    <w:rsid w:val="0D8E3FCC"/>
    <w:rsid w:val="0D9C3235"/>
    <w:rsid w:val="0DA44865"/>
    <w:rsid w:val="0DA712D9"/>
    <w:rsid w:val="0DAF6D65"/>
    <w:rsid w:val="0DBA6F5E"/>
    <w:rsid w:val="0DDD3D4B"/>
    <w:rsid w:val="0DF97DF8"/>
    <w:rsid w:val="0E041A0C"/>
    <w:rsid w:val="0E131905"/>
    <w:rsid w:val="0E155901"/>
    <w:rsid w:val="0E175600"/>
    <w:rsid w:val="0E1D03B8"/>
    <w:rsid w:val="0E1F5B77"/>
    <w:rsid w:val="0E370F62"/>
    <w:rsid w:val="0E4447A8"/>
    <w:rsid w:val="0E5202F1"/>
    <w:rsid w:val="0E573A15"/>
    <w:rsid w:val="0E5C209B"/>
    <w:rsid w:val="0E637BD5"/>
    <w:rsid w:val="0E693536"/>
    <w:rsid w:val="0E7145BF"/>
    <w:rsid w:val="0E750A47"/>
    <w:rsid w:val="0E7C03D1"/>
    <w:rsid w:val="0E88682E"/>
    <w:rsid w:val="0E896C22"/>
    <w:rsid w:val="0E93374C"/>
    <w:rsid w:val="0EA07B24"/>
    <w:rsid w:val="0EA55D13"/>
    <w:rsid w:val="0EB61ABC"/>
    <w:rsid w:val="0EB97D23"/>
    <w:rsid w:val="0EBB7EB6"/>
    <w:rsid w:val="0ECB2C3F"/>
    <w:rsid w:val="0ED165FC"/>
    <w:rsid w:val="0ED22025"/>
    <w:rsid w:val="0ED57A24"/>
    <w:rsid w:val="0EDE4BF3"/>
    <w:rsid w:val="0EE24F8C"/>
    <w:rsid w:val="0EE357F8"/>
    <w:rsid w:val="0EE5237F"/>
    <w:rsid w:val="0EE774C5"/>
    <w:rsid w:val="0EE77A81"/>
    <w:rsid w:val="0EEB217F"/>
    <w:rsid w:val="0EFA18E1"/>
    <w:rsid w:val="0F024369"/>
    <w:rsid w:val="0F125E01"/>
    <w:rsid w:val="0F175589"/>
    <w:rsid w:val="0F2B0925"/>
    <w:rsid w:val="0F347AA8"/>
    <w:rsid w:val="0F3E048F"/>
    <w:rsid w:val="0F501CA9"/>
    <w:rsid w:val="0F540ADB"/>
    <w:rsid w:val="0F545EB6"/>
    <w:rsid w:val="0F5D76CC"/>
    <w:rsid w:val="0F5E6F0A"/>
    <w:rsid w:val="0F6D2BD4"/>
    <w:rsid w:val="0F6D575B"/>
    <w:rsid w:val="0F6D655F"/>
    <w:rsid w:val="0F7179E5"/>
    <w:rsid w:val="0F873629"/>
    <w:rsid w:val="0F8F6F95"/>
    <w:rsid w:val="0F921E41"/>
    <w:rsid w:val="0F9743A1"/>
    <w:rsid w:val="0F997897"/>
    <w:rsid w:val="0F9B78C4"/>
    <w:rsid w:val="0FBE14AE"/>
    <w:rsid w:val="0FC47733"/>
    <w:rsid w:val="0FC62E37"/>
    <w:rsid w:val="0FCF4EA9"/>
    <w:rsid w:val="0FD06741"/>
    <w:rsid w:val="0FD91811"/>
    <w:rsid w:val="0FD9288C"/>
    <w:rsid w:val="0FE87CF3"/>
    <w:rsid w:val="0FF01B4C"/>
    <w:rsid w:val="0FF52AC8"/>
    <w:rsid w:val="0FF77DD9"/>
    <w:rsid w:val="10035202"/>
    <w:rsid w:val="100C0C1E"/>
    <w:rsid w:val="101A1319"/>
    <w:rsid w:val="101A6B79"/>
    <w:rsid w:val="10211D9E"/>
    <w:rsid w:val="10214A29"/>
    <w:rsid w:val="102E3B56"/>
    <w:rsid w:val="103155E3"/>
    <w:rsid w:val="103819AC"/>
    <w:rsid w:val="10476743"/>
    <w:rsid w:val="104F5D4E"/>
    <w:rsid w:val="105769DE"/>
    <w:rsid w:val="10625C40"/>
    <w:rsid w:val="10717588"/>
    <w:rsid w:val="108465A8"/>
    <w:rsid w:val="108D3635"/>
    <w:rsid w:val="10952600"/>
    <w:rsid w:val="109D16D1"/>
    <w:rsid w:val="109F7528"/>
    <w:rsid w:val="10B00E25"/>
    <w:rsid w:val="10B10CDD"/>
    <w:rsid w:val="10B52C9B"/>
    <w:rsid w:val="10CE359C"/>
    <w:rsid w:val="10D42720"/>
    <w:rsid w:val="10E364F4"/>
    <w:rsid w:val="10F25D36"/>
    <w:rsid w:val="10F75262"/>
    <w:rsid w:val="10FA1A6A"/>
    <w:rsid w:val="10FD29EF"/>
    <w:rsid w:val="11057DFB"/>
    <w:rsid w:val="11076598"/>
    <w:rsid w:val="110C0813"/>
    <w:rsid w:val="110F269A"/>
    <w:rsid w:val="11205D2A"/>
    <w:rsid w:val="11273833"/>
    <w:rsid w:val="112D737E"/>
    <w:rsid w:val="112E2AD7"/>
    <w:rsid w:val="1141128B"/>
    <w:rsid w:val="1144116B"/>
    <w:rsid w:val="11483030"/>
    <w:rsid w:val="115018B0"/>
    <w:rsid w:val="115349B0"/>
    <w:rsid w:val="11595DEB"/>
    <w:rsid w:val="115D0964"/>
    <w:rsid w:val="116029E6"/>
    <w:rsid w:val="116A431C"/>
    <w:rsid w:val="116C2CA3"/>
    <w:rsid w:val="117229AE"/>
    <w:rsid w:val="118925D3"/>
    <w:rsid w:val="11984DEC"/>
    <w:rsid w:val="11A25669"/>
    <w:rsid w:val="11A649F5"/>
    <w:rsid w:val="11B24A10"/>
    <w:rsid w:val="11BE722A"/>
    <w:rsid w:val="11CD10AF"/>
    <w:rsid w:val="11D036C2"/>
    <w:rsid w:val="11D413CD"/>
    <w:rsid w:val="11DB2CE1"/>
    <w:rsid w:val="11F32B4F"/>
    <w:rsid w:val="11FA160D"/>
    <w:rsid w:val="120265C9"/>
    <w:rsid w:val="1206210D"/>
    <w:rsid w:val="120B5B2A"/>
    <w:rsid w:val="121F3DCB"/>
    <w:rsid w:val="12232B36"/>
    <w:rsid w:val="12335EA2"/>
    <w:rsid w:val="12374BBC"/>
    <w:rsid w:val="12391F78"/>
    <w:rsid w:val="123D77F8"/>
    <w:rsid w:val="124132D4"/>
    <w:rsid w:val="1252421A"/>
    <w:rsid w:val="1259124B"/>
    <w:rsid w:val="125D38B0"/>
    <w:rsid w:val="126221B1"/>
    <w:rsid w:val="1267370B"/>
    <w:rsid w:val="126E3B4A"/>
    <w:rsid w:val="12717A0B"/>
    <w:rsid w:val="127A3F91"/>
    <w:rsid w:val="127B2E60"/>
    <w:rsid w:val="12880AEB"/>
    <w:rsid w:val="12883F6C"/>
    <w:rsid w:val="12985B28"/>
    <w:rsid w:val="12B50183"/>
    <w:rsid w:val="12B6167C"/>
    <w:rsid w:val="12B75243"/>
    <w:rsid w:val="12BB3524"/>
    <w:rsid w:val="12C44EA9"/>
    <w:rsid w:val="12C739D2"/>
    <w:rsid w:val="12D77CF6"/>
    <w:rsid w:val="12DC57BE"/>
    <w:rsid w:val="12E8656E"/>
    <w:rsid w:val="12ED571D"/>
    <w:rsid w:val="13032AA0"/>
    <w:rsid w:val="13157C10"/>
    <w:rsid w:val="1316525D"/>
    <w:rsid w:val="13221336"/>
    <w:rsid w:val="13262116"/>
    <w:rsid w:val="13280BAE"/>
    <w:rsid w:val="132D381D"/>
    <w:rsid w:val="13462CDE"/>
    <w:rsid w:val="134712AF"/>
    <w:rsid w:val="1348338F"/>
    <w:rsid w:val="13484B32"/>
    <w:rsid w:val="134E1CE9"/>
    <w:rsid w:val="137C3678"/>
    <w:rsid w:val="1386368A"/>
    <w:rsid w:val="138E33AD"/>
    <w:rsid w:val="13904F26"/>
    <w:rsid w:val="139334BE"/>
    <w:rsid w:val="139648BE"/>
    <w:rsid w:val="139852BB"/>
    <w:rsid w:val="139C7CA0"/>
    <w:rsid w:val="13AC24B8"/>
    <w:rsid w:val="13D85535"/>
    <w:rsid w:val="13E238D1"/>
    <w:rsid w:val="13E63873"/>
    <w:rsid w:val="13EA0AB8"/>
    <w:rsid w:val="13EE2D42"/>
    <w:rsid w:val="13FA6B54"/>
    <w:rsid w:val="14083185"/>
    <w:rsid w:val="140F4474"/>
    <w:rsid w:val="1410457B"/>
    <w:rsid w:val="14131C7C"/>
    <w:rsid w:val="142351F1"/>
    <w:rsid w:val="14247998"/>
    <w:rsid w:val="14293E20"/>
    <w:rsid w:val="142B450A"/>
    <w:rsid w:val="1434557A"/>
    <w:rsid w:val="143C5E43"/>
    <w:rsid w:val="14501AE1"/>
    <w:rsid w:val="14550167"/>
    <w:rsid w:val="145A5F37"/>
    <w:rsid w:val="146D1091"/>
    <w:rsid w:val="146E4C5F"/>
    <w:rsid w:val="14751D21"/>
    <w:rsid w:val="147E4209"/>
    <w:rsid w:val="1485190B"/>
    <w:rsid w:val="149118D6"/>
    <w:rsid w:val="14B24995"/>
    <w:rsid w:val="14B74989"/>
    <w:rsid w:val="14BE4314"/>
    <w:rsid w:val="14C124ED"/>
    <w:rsid w:val="14CD7B40"/>
    <w:rsid w:val="14D4741C"/>
    <w:rsid w:val="14E90C49"/>
    <w:rsid w:val="14E91422"/>
    <w:rsid w:val="14F44807"/>
    <w:rsid w:val="14F7006D"/>
    <w:rsid w:val="14FE041F"/>
    <w:rsid w:val="150B4413"/>
    <w:rsid w:val="151B1462"/>
    <w:rsid w:val="15242DBE"/>
    <w:rsid w:val="1537203E"/>
    <w:rsid w:val="153D5E46"/>
    <w:rsid w:val="154A0A62"/>
    <w:rsid w:val="154A2AFE"/>
    <w:rsid w:val="154C7F95"/>
    <w:rsid w:val="15582314"/>
    <w:rsid w:val="155A5817"/>
    <w:rsid w:val="155C2F18"/>
    <w:rsid w:val="15601ACE"/>
    <w:rsid w:val="158063CA"/>
    <w:rsid w:val="159F5738"/>
    <w:rsid w:val="15A959CF"/>
    <w:rsid w:val="15AA0A99"/>
    <w:rsid w:val="15B648AC"/>
    <w:rsid w:val="15BA6B35"/>
    <w:rsid w:val="15BA7A9E"/>
    <w:rsid w:val="15C164C0"/>
    <w:rsid w:val="15C674A5"/>
    <w:rsid w:val="15C75E4B"/>
    <w:rsid w:val="15CD4AE4"/>
    <w:rsid w:val="15DD3A76"/>
    <w:rsid w:val="15E144D0"/>
    <w:rsid w:val="15E17369"/>
    <w:rsid w:val="15EB3E16"/>
    <w:rsid w:val="15FE417F"/>
    <w:rsid w:val="16051F47"/>
    <w:rsid w:val="160D716A"/>
    <w:rsid w:val="161058D5"/>
    <w:rsid w:val="161648AB"/>
    <w:rsid w:val="161C2919"/>
    <w:rsid w:val="161F42DB"/>
    <w:rsid w:val="162E657C"/>
    <w:rsid w:val="163D0008"/>
    <w:rsid w:val="164264D4"/>
    <w:rsid w:val="164D3B25"/>
    <w:rsid w:val="164F7029"/>
    <w:rsid w:val="165532FB"/>
    <w:rsid w:val="166B1A71"/>
    <w:rsid w:val="167327E8"/>
    <w:rsid w:val="168075CF"/>
    <w:rsid w:val="16815279"/>
    <w:rsid w:val="169F610F"/>
    <w:rsid w:val="16A107B0"/>
    <w:rsid w:val="16BA197A"/>
    <w:rsid w:val="16C25191"/>
    <w:rsid w:val="16C46FE7"/>
    <w:rsid w:val="16D5788F"/>
    <w:rsid w:val="16E06917"/>
    <w:rsid w:val="16F6098A"/>
    <w:rsid w:val="16FA2A2D"/>
    <w:rsid w:val="16FF7158"/>
    <w:rsid w:val="171F3E7E"/>
    <w:rsid w:val="17370FAB"/>
    <w:rsid w:val="17407C36"/>
    <w:rsid w:val="174513C4"/>
    <w:rsid w:val="174A3279"/>
    <w:rsid w:val="17573FD8"/>
    <w:rsid w:val="175E169B"/>
    <w:rsid w:val="17681CF4"/>
    <w:rsid w:val="177934AF"/>
    <w:rsid w:val="177A5491"/>
    <w:rsid w:val="177B65D6"/>
    <w:rsid w:val="17826121"/>
    <w:rsid w:val="17877998"/>
    <w:rsid w:val="178A2532"/>
    <w:rsid w:val="178C6205"/>
    <w:rsid w:val="178D0D00"/>
    <w:rsid w:val="178D44B2"/>
    <w:rsid w:val="178E244B"/>
    <w:rsid w:val="178F79B5"/>
    <w:rsid w:val="1792262B"/>
    <w:rsid w:val="179462E5"/>
    <w:rsid w:val="17957D12"/>
    <w:rsid w:val="17AE026A"/>
    <w:rsid w:val="17BF4228"/>
    <w:rsid w:val="17C07E41"/>
    <w:rsid w:val="17C4413B"/>
    <w:rsid w:val="17D228C8"/>
    <w:rsid w:val="17D570CC"/>
    <w:rsid w:val="17DB2818"/>
    <w:rsid w:val="17DE4F46"/>
    <w:rsid w:val="17E6129F"/>
    <w:rsid w:val="17EA0F04"/>
    <w:rsid w:val="17EC6CE1"/>
    <w:rsid w:val="17F45028"/>
    <w:rsid w:val="17FD5641"/>
    <w:rsid w:val="17FD5E55"/>
    <w:rsid w:val="1813383D"/>
    <w:rsid w:val="182A1DB2"/>
    <w:rsid w:val="182B6A89"/>
    <w:rsid w:val="182D6580"/>
    <w:rsid w:val="1830753E"/>
    <w:rsid w:val="18346572"/>
    <w:rsid w:val="183C55E1"/>
    <w:rsid w:val="183E091D"/>
    <w:rsid w:val="184F676E"/>
    <w:rsid w:val="186E7ABC"/>
    <w:rsid w:val="18755FFE"/>
    <w:rsid w:val="18845E9B"/>
    <w:rsid w:val="1887214B"/>
    <w:rsid w:val="18877F4D"/>
    <w:rsid w:val="188D6271"/>
    <w:rsid w:val="189C590A"/>
    <w:rsid w:val="18A35829"/>
    <w:rsid w:val="18A41C4E"/>
    <w:rsid w:val="18A54F7E"/>
    <w:rsid w:val="18D376A9"/>
    <w:rsid w:val="18E17362"/>
    <w:rsid w:val="18F43E9F"/>
    <w:rsid w:val="19135BC0"/>
    <w:rsid w:val="19181A3A"/>
    <w:rsid w:val="191D3F62"/>
    <w:rsid w:val="191E3943"/>
    <w:rsid w:val="192047F5"/>
    <w:rsid w:val="192D34FF"/>
    <w:rsid w:val="19305E07"/>
    <w:rsid w:val="19363EC1"/>
    <w:rsid w:val="1949053F"/>
    <w:rsid w:val="19584A22"/>
    <w:rsid w:val="19591877"/>
    <w:rsid w:val="195F30B8"/>
    <w:rsid w:val="1964413C"/>
    <w:rsid w:val="196B2CE4"/>
    <w:rsid w:val="196D6F46"/>
    <w:rsid w:val="19760FD4"/>
    <w:rsid w:val="19770061"/>
    <w:rsid w:val="197E79B7"/>
    <w:rsid w:val="19810577"/>
    <w:rsid w:val="1983253E"/>
    <w:rsid w:val="198329B6"/>
    <w:rsid w:val="19846CBF"/>
    <w:rsid w:val="198B62AE"/>
    <w:rsid w:val="198F2BBE"/>
    <w:rsid w:val="19AB559A"/>
    <w:rsid w:val="19AD7900"/>
    <w:rsid w:val="19B919BB"/>
    <w:rsid w:val="19BA2CBF"/>
    <w:rsid w:val="19C80559"/>
    <w:rsid w:val="19CA3471"/>
    <w:rsid w:val="19CC239F"/>
    <w:rsid w:val="19D5786F"/>
    <w:rsid w:val="19DC5B70"/>
    <w:rsid w:val="19F73D5E"/>
    <w:rsid w:val="1A0119B8"/>
    <w:rsid w:val="1A0503BE"/>
    <w:rsid w:val="1A0B713C"/>
    <w:rsid w:val="1A0E0CCD"/>
    <w:rsid w:val="1A1660DA"/>
    <w:rsid w:val="1A1D12E8"/>
    <w:rsid w:val="1A234404"/>
    <w:rsid w:val="1A2A1AD1"/>
    <w:rsid w:val="1A2F1202"/>
    <w:rsid w:val="1A3049E4"/>
    <w:rsid w:val="1A307EFC"/>
    <w:rsid w:val="1A390C0B"/>
    <w:rsid w:val="1A4557C8"/>
    <w:rsid w:val="1A515E3D"/>
    <w:rsid w:val="1A5E00F5"/>
    <w:rsid w:val="1A7009F9"/>
    <w:rsid w:val="1A751114"/>
    <w:rsid w:val="1A82320B"/>
    <w:rsid w:val="1A8B0C0E"/>
    <w:rsid w:val="1A8D4E1F"/>
    <w:rsid w:val="1A9D70D5"/>
    <w:rsid w:val="1A9F4D39"/>
    <w:rsid w:val="1AA524C6"/>
    <w:rsid w:val="1AC67CAC"/>
    <w:rsid w:val="1ACC09B1"/>
    <w:rsid w:val="1AD55213"/>
    <w:rsid w:val="1AE253D9"/>
    <w:rsid w:val="1AF57CC6"/>
    <w:rsid w:val="1AF9414E"/>
    <w:rsid w:val="1B0424DF"/>
    <w:rsid w:val="1B0B0F09"/>
    <w:rsid w:val="1B0E7D5B"/>
    <w:rsid w:val="1B217891"/>
    <w:rsid w:val="1B25673D"/>
    <w:rsid w:val="1B415BC7"/>
    <w:rsid w:val="1B490618"/>
    <w:rsid w:val="1B4F4EDD"/>
    <w:rsid w:val="1B5D4960"/>
    <w:rsid w:val="1B747738"/>
    <w:rsid w:val="1B7802A0"/>
    <w:rsid w:val="1B8B4F42"/>
    <w:rsid w:val="1B8C12F4"/>
    <w:rsid w:val="1BA12479"/>
    <w:rsid w:val="1BA23F7F"/>
    <w:rsid w:val="1BAF416F"/>
    <w:rsid w:val="1BB5665A"/>
    <w:rsid w:val="1BC57376"/>
    <w:rsid w:val="1BCA7CE3"/>
    <w:rsid w:val="1BCF6562"/>
    <w:rsid w:val="1BD92DC8"/>
    <w:rsid w:val="1BE069CA"/>
    <w:rsid w:val="1BE85FD5"/>
    <w:rsid w:val="1BF91AF2"/>
    <w:rsid w:val="1C016EFF"/>
    <w:rsid w:val="1C1041F6"/>
    <w:rsid w:val="1C254DC1"/>
    <w:rsid w:val="1C2B7D43"/>
    <w:rsid w:val="1C420632"/>
    <w:rsid w:val="1C6A30AB"/>
    <w:rsid w:val="1C7C61F5"/>
    <w:rsid w:val="1C8B48E5"/>
    <w:rsid w:val="1C8C6C33"/>
    <w:rsid w:val="1C9706F7"/>
    <w:rsid w:val="1CBC2557"/>
    <w:rsid w:val="1CDA2087"/>
    <w:rsid w:val="1CDB7EE7"/>
    <w:rsid w:val="1CE407F6"/>
    <w:rsid w:val="1CE608F8"/>
    <w:rsid w:val="1CF70B3E"/>
    <w:rsid w:val="1D0609AB"/>
    <w:rsid w:val="1D0A795D"/>
    <w:rsid w:val="1D1E5DF6"/>
    <w:rsid w:val="1D2437DE"/>
    <w:rsid w:val="1D246D7B"/>
    <w:rsid w:val="1D2821E4"/>
    <w:rsid w:val="1D376F7C"/>
    <w:rsid w:val="1D4D49A3"/>
    <w:rsid w:val="1D4F1F1E"/>
    <w:rsid w:val="1D584F32"/>
    <w:rsid w:val="1D5D053C"/>
    <w:rsid w:val="1D6107A5"/>
    <w:rsid w:val="1D675828"/>
    <w:rsid w:val="1D6C19D4"/>
    <w:rsid w:val="1D771F63"/>
    <w:rsid w:val="1D800675"/>
    <w:rsid w:val="1D854AFC"/>
    <w:rsid w:val="1D8833FC"/>
    <w:rsid w:val="1DA973F6"/>
    <w:rsid w:val="1DAA72BB"/>
    <w:rsid w:val="1DC842EC"/>
    <w:rsid w:val="1DCE464C"/>
    <w:rsid w:val="1DD138F7"/>
    <w:rsid w:val="1DDC550B"/>
    <w:rsid w:val="1DE05FC7"/>
    <w:rsid w:val="1DE658AB"/>
    <w:rsid w:val="1DE8351C"/>
    <w:rsid w:val="1DE85886"/>
    <w:rsid w:val="1DEB0488"/>
    <w:rsid w:val="1DEC57A6"/>
    <w:rsid w:val="1DF56668"/>
    <w:rsid w:val="1DF60CD6"/>
    <w:rsid w:val="1DF67CF7"/>
    <w:rsid w:val="1E020431"/>
    <w:rsid w:val="1E0F07C9"/>
    <w:rsid w:val="1E14771A"/>
    <w:rsid w:val="1E166148"/>
    <w:rsid w:val="1E2647E6"/>
    <w:rsid w:val="1E407FD2"/>
    <w:rsid w:val="1E512F4B"/>
    <w:rsid w:val="1E5C4A9F"/>
    <w:rsid w:val="1E74406F"/>
    <w:rsid w:val="1E7C10D8"/>
    <w:rsid w:val="1E815C99"/>
    <w:rsid w:val="1E834A1F"/>
    <w:rsid w:val="1E84367F"/>
    <w:rsid w:val="1E85469F"/>
    <w:rsid w:val="1E890C86"/>
    <w:rsid w:val="1E9876CD"/>
    <w:rsid w:val="1E9C7B48"/>
    <w:rsid w:val="1EA44ED2"/>
    <w:rsid w:val="1EBA6727"/>
    <w:rsid w:val="1EC60105"/>
    <w:rsid w:val="1ED2479E"/>
    <w:rsid w:val="1ED43525"/>
    <w:rsid w:val="1EDD6E46"/>
    <w:rsid w:val="1EE14DB9"/>
    <w:rsid w:val="1EED4D9C"/>
    <w:rsid w:val="1F0442FE"/>
    <w:rsid w:val="1F0D1B51"/>
    <w:rsid w:val="1F0F45B3"/>
    <w:rsid w:val="1F205FC8"/>
    <w:rsid w:val="1F266416"/>
    <w:rsid w:val="1F404DD2"/>
    <w:rsid w:val="1F520C6C"/>
    <w:rsid w:val="1F556D02"/>
    <w:rsid w:val="1F615307"/>
    <w:rsid w:val="1F705CAA"/>
    <w:rsid w:val="1F710E25"/>
    <w:rsid w:val="1F8A213D"/>
    <w:rsid w:val="1F9C76EA"/>
    <w:rsid w:val="1F9E05E4"/>
    <w:rsid w:val="1F9E3A65"/>
    <w:rsid w:val="1FA327B0"/>
    <w:rsid w:val="1FB12E11"/>
    <w:rsid w:val="1FB50614"/>
    <w:rsid w:val="1FBC5A21"/>
    <w:rsid w:val="1FBD7A77"/>
    <w:rsid w:val="1FD00E3E"/>
    <w:rsid w:val="1FDF1459"/>
    <w:rsid w:val="1FE5510D"/>
    <w:rsid w:val="1FEB1E28"/>
    <w:rsid w:val="1FEC461D"/>
    <w:rsid w:val="1FEC5944"/>
    <w:rsid w:val="1FED61F0"/>
    <w:rsid w:val="1FEE1106"/>
    <w:rsid w:val="2000198D"/>
    <w:rsid w:val="2006518E"/>
    <w:rsid w:val="200E3310"/>
    <w:rsid w:val="201560AF"/>
    <w:rsid w:val="201A5012"/>
    <w:rsid w:val="20282F0E"/>
    <w:rsid w:val="202A1834"/>
    <w:rsid w:val="203330E1"/>
    <w:rsid w:val="20570247"/>
    <w:rsid w:val="20590AE8"/>
    <w:rsid w:val="205F6AFF"/>
    <w:rsid w:val="207955DD"/>
    <w:rsid w:val="207D52FD"/>
    <w:rsid w:val="20AB071A"/>
    <w:rsid w:val="20B117B1"/>
    <w:rsid w:val="20B32E43"/>
    <w:rsid w:val="20C05C7F"/>
    <w:rsid w:val="20C2198B"/>
    <w:rsid w:val="20D74BEC"/>
    <w:rsid w:val="20D94EF4"/>
    <w:rsid w:val="20E52F05"/>
    <w:rsid w:val="20F4351F"/>
    <w:rsid w:val="20F47F84"/>
    <w:rsid w:val="20F7160F"/>
    <w:rsid w:val="20FD2F8F"/>
    <w:rsid w:val="21031AFE"/>
    <w:rsid w:val="21077D0F"/>
    <w:rsid w:val="210D73EA"/>
    <w:rsid w:val="211A595D"/>
    <w:rsid w:val="212C71D2"/>
    <w:rsid w:val="21324810"/>
    <w:rsid w:val="213D1EC5"/>
    <w:rsid w:val="214E7D37"/>
    <w:rsid w:val="215672E7"/>
    <w:rsid w:val="215F5AAB"/>
    <w:rsid w:val="216E5428"/>
    <w:rsid w:val="21792C4F"/>
    <w:rsid w:val="218211C6"/>
    <w:rsid w:val="2184758B"/>
    <w:rsid w:val="21850F03"/>
    <w:rsid w:val="21907657"/>
    <w:rsid w:val="21A67B84"/>
    <w:rsid w:val="21B162D9"/>
    <w:rsid w:val="21CA0BCC"/>
    <w:rsid w:val="21D23FD7"/>
    <w:rsid w:val="21EE56B5"/>
    <w:rsid w:val="22064CB8"/>
    <w:rsid w:val="221413F8"/>
    <w:rsid w:val="2216794D"/>
    <w:rsid w:val="221F104C"/>
    <w:rsid w:val="22233C11"/>
    <w:rsid w:val="22253891"/>
    <w:rsid w:val="222D5D3D"/>
    <w:rsid w:val="22302762"/>
    <w:rsid w:val="223822F9"/>
    <w:rsid w:val="224E0717"/>
    <w:rsid w:val="22552B0E"/>
    <w:rsid w:val="225B5E6D"/>
    <w:rsid w:val="22627FED"/>
    <w:rsid w:val="227028AF"/>
    <w:rsid w:val="2277369B"/>
    <w:rsid w:val="227F2CA6"/>
    <w:rsid w:val="227F4693"/>
    <w:rsid w:val="228625E5"/>
    <w:rsid w:val="228C2550"/>
    <w:rsid w:val="228D1FBC"/>
    <w:rsid w:val="228F5316"/>
    <w:rsid w:val="22912757"/>
    <w:rsid w:val="229A4B54"/>
    <w:rsid w:val="229F33DA"/>
    <w:rsid w:val="22A62377"/>
    <w:rsid w:val="22AF52FC"/>
    <w:rsid w:val="22B53180"/>
    <w:rsid w:val="22BC2B0B"/>
    <w:rsid w:val="22BD0047"/>
    <w:rsid w:val="22CC2DA5"/>
    <w:rsid w:val="22D20532"/>
    <w:rsid w:val="22E57920"/>
    <w:rsid w:val="22EF03B3"/>
    <w:rsid w:val="22EF4C75"/>
    <w:rsid w:val="22F30A66"/>
    <w:rsid w:val="23055F00"/>
    <w:rsid w:val="23061C85"/>
    <w:rsid w:val="2309001C"/>
    <w:rsid w:val="230B69BA"/>
    <w:rsid w:val="23113150"/>
    <w:rsid w:val="23195AB7"/>
    <w:rsid w:val="231C75D7"/>
    <w:rsid w:val="231F6A45"/>
    <w:rsid w:val="23356F51"/>
    <w:rsid w:val="233C215F"/>
    <w:rsid w:val="23405518"/>
    <w:rsid w:val="235A7E57"/>
    <w:rsid w:val="235E06A3"/>
    <w:rsid w:val="236131D6"/>
    <w:rsid w:val="23626B1C"/>
    <w:rsid w:val="236E4B2D"/>
    <w:rsid w:val="23730FB4"/>
    <w:rsid w:val="2390435A"/>
    <w:rsid w:val="23A23767"/>
    <w:rsid w:val="23A91F64"/>
    <w:rsid w:val="23AF5E5D"/>
    <w:rsid w:val="23B1689B"/>
    <w:rsid w:val="23BD3A6F"/>
    <w:rsid w:val="23CE1C74"/>
    <w:rsid w:val="23CF15CA"/>
    <w:rsid w:val="23D30931"/>
    <w:rsid w:val="23D52A7A"/>
    <w:rsid w:val="23DD6465"/>
    <w:rsid w:val="23DE0A82"/>
    <w:rsid w:val="23EA72C1"/>
    <w:rsid w:val="23F0576F"/>
    <w:rsid w:val="23FA0B3C"/>
    <w:rsid w:val="23FA26DA"/>
    <w:rsid w:val="23FC2192"/>
    <w:rsid w:val="23FC550B"/>
    <w:rsid w:val="24023B60"/>
    <w:rsid w:val="24033CA9"/>
    <w:rsid w:val="24044127"/>
    <w:rsid w:val="24165CAC"/>
    <w:rsid w:val="241C6A54"/>
    <w:rsid w:val="241F27BB"/>
    <w:rsid w:val="242001D4"/>
    <w:rsid w:val="24653687"/>
    <w:rsid w:val="2485597A"/>
    <w:rsid w:val="248633FB"/>
    <w:rsid w:val="24904CE2"/>
    <w:rsid w:val="249931D9"/>
    <w:rsid w:val="249F043C"/>
    <w:rsid w:val="24A91031"/>
    <w:rsid w:val="24AB4669"/>
    <w:rsid w:val="24AD14F9"/>
    <w:rsid w:val="24AF67BE"/>
    <w:rsid w:val="24BD293C"/>
    <w:rsid w:val="24BF5A63"/>
    <w:rsid w:val="24D03AE7"/>
    <w:rsid w:val="24D33D4B"/>
    <w:rsid w:val="24D40F7C"/>
    <w:rsid w:val="24DC4DDA"/>
    <w:rsid w:val="24DF6093"/>
    <w:rsid w:val="24E06F8D"/>
    <w:rsid w:val="24E57C3C"/>
    <w:rsid w:val="24E9569E"/>
    <w:rsid w:val="24EB531E"/>
    <w:rsid w:val="24EB5604"/>
    <w:rsid w:val="24F43A2F"/>
    <w:rsid w:val="24F72435"/>
    <w:rsid w:val="250C774B"/>
    <w:rsid w:val="250E7E70"/>
    <w:rsid w:val="25174A7C"/>
    <w:rsid w:val="252541FE"/>
    <w:rsid w:val="25283B61"/>
    <w:rsid w:val="25284902"/>
    <w:rsid w:val="25347FF8"/>
    <w:rsid w:val="2538586E"/>
    <w:rsid w:val="253D6D56"/>
    <w:rsid w:val="25426F0E"/>
    <w:rsid w:val="25480D10"/>
    <w:rsid w:val="254A7B87"/>
    <w:rsid w:val="256A6A90"/>
    <w:rsid w:val="256E2074"/>
    <w:rsid w:val="257242FD"/>
    <w:rsid w:val="257B138A"/>
    <w:rsid w:val="257C6E0B"/>
    <w:rsid w:val="25922476"/>
    <w:rsid w:val="25963238"/>
    <w:rsid w:val="25A115C9"/>
    <w:rsid w:val="25A83BED"/>
    <w:rsid w:val="25AE66CE"/>
    <w:rsid w:val="25AF172D"/>
    <w:rsid w:val="25B00611"/>
    <w:rsid w:val="25B45E34"/>
    <w:rsid w:val="25B91362"/>
    <w:rsid w:val="25C96F0A"/>
    <w:rsid w:val="25CF4396"/>
    <w:rsid w:val="25D74E9F"/>
    <w:rsid w:val="25E923FE"/>
    <w:rsid w:val="25F94153"/>
    <w:rsid w:val="26021A52"/>
    <w:rsid w:val="261063D0"/>
    <w:rsid w:val="26143B06"/>
    <w:rsid w:val="26310EB8"/>
    <w:rsid w:val="26336F88"/>
    <w:rsid w:val="26386C8F"/>
    <w:rsid w:val="26407AA2"/>
    <w:rsid w:val="264520D7"/>
    <w:rsid w:val="264562B9"/>
    <w:rsid w:val="264B7B70"/>
    <w:rsid w:val="2653066B"/>
    <w:rsid w:val="26637109"/>
    <w:rsid w:val="266710A4"/>
    <w:rsid w:val="26683BDE"/>
    <w:rsid w:val="266D7A18"/>
    <w:rsid w:val="26747613"/>
    <w:rsid w:val="267A20E3"/>
    <w:rsid w:val="26830474"/>
    <w:rsid w:val="2683543F"/>
    <w:rsid w:val="268908EC"/>
    <w:rsid w:val="26955359"/>
    <w:rsid w:val="26A052BD"/>
    <w:rsid w:val="26A53BC7"/>
    <w:rsid w:val="26AD0802"/>
    <w:rsid w:val="26C64F0D"/>
    <w:rsid w:val="26D52EC5"/>
    <w:rsid w:val="26DC1351"/>
    <w:rsid w:val="26F13382"/>
    <w:rsid w:val="26F877CA"/>
    <w:rsid w:val="27071F66"/>
    <w:rsid w:val="270A6B1F"/>
    <w:rsid w:val="27196F9C"/>
    <w:rsid w:val="271B334C"/>
    <w:rsid w:val="27210A3E"/>
    <w:rsid w:val="273803E6"/>
    <w:rsid w:val="27486482"/>
    <w:rsid w:val="27500494"/>
    <w:rsid w:val="275414D4"/>
    <w:rsid w:val="275A327D"/>
    <w:rsid w:val="275C189F"/>
    <w:rsid w:val="2762122A"/>
    <w:rsid w:val="27636CAC"/>
    <w:rsid w:val="276A4438"/>
    <w:rsid w:val="277300A1"/>
    <w:rsid w:val="27765CCC"/>
    <w:rsid w:val="278F6292"/>
    <w:rsid w:val="279024A7"/>
    <w:rsid w:val="27A204A7"/>
    <w:rsid w:val="27B66CA4"/>
    <w:rsid w:val="27C07C30"/>
    <w:rsid w:val="27C70F4E"/>
    <w:rsid w:val="27D6113A"/>
    <w:rsid w:val="27DD30F2"/>
    <w:rsid w:val="27E46B57"/>
    <w:rsid w:val="27E53D82"/>
    <w:rsid w:val="27ED5F0F"/>
    <w:rsid w:val="28030DB3"/>
    <w:rsid w:val="280A4E97"/>
    <w:rsid w:val="28152210"/>
    <w:rsid w:val="28156ACF"/>
    <w:rsid w:val="281A6B3E"/>
    <w:rsid w:val="281D775F"/>
    <w:rsid w:val="2824388E"/>
    <w:rsid w:val="282F6F43"/>
    <w:rsid w:val="283B313D"/>
    <w:rsid w:val="284278D6"/>
    <w:rsid w:val="284E6094"/>
    <w:rsid w:val="28541CCA"/>
    <w:rsid w:val="28557BC0"/>
    <w:rsid w:val="2857083D"/>
    <w:rsid w:val="285B7244"/>
    <w:rsid w:val="286014DE"/>
    <w:rsid w:val="28766CCB"/>
    <w:rsid w:val="2886390B"/>
    <w:rsid w:val="28880F4A"/>
    <w:rsid w:val="28894890"/>
    <w:rsid w:val="289626E0"/>
    <w:rsid w:val="289942CC"/>
    <w:rsid w:val="28BC5A2B"/>
    <w:rsid w:val="28BE14E7"/>
    <w:rsid w:val="28C85C44"/>
    <w:rsid w:val="28EA7DAC"/>
    <w:rsid w:val="29040956"/>
    <w:rsid w:val="29077AA0"/>
    <w:rsid w:val="29212960"/>
    <w:rsid w:val="29234267"/>
    <w:rsid w:val="292852DE"/>
    <w:rsid w:val="29454C43"/>
    <w:rsid w:val="294D655C"/>
    <w:rsid w:val="29533F58"/>
    <w:rsid w:val="295E4E55"/>
    <w:rsid w:val="2961415C"/>
    <w:rsid w:val="29626771"/>
    <w:rsid w:val="296865DE"/>
    <w:rsid w:val="296B39DD"/>
    <w:rsid w:val="29770AC6"/>
    <w:rsid w:val="29924221"/>
    <w:rsid w:val="29933DBC"/>
    <w:rsid w:val="29A04058"/>
    <w:rsid w:val="29A1273E"/>
    <w:rsid w:val="29A45292"/>
    <w:rsid w:val="29A77266"/>
    <w:rsid w:val="29A97550"/>
    <w:rsid w:val="29AF2174"/>
    <w:rsid w:val="29C66496"/>
    <w:rsid w:val="29DD60BB"/>
    <w:rsid w:val="29F10053"/>
    <w:rsid w:val="29F51563"/>
    <w:rsid w:val="2A030937"/>
    <w:rsid w:val="2A070584"/>
    <w:rsid w:val="2A0C4EE5"/>
    <w:rsid w:val="2A176A9D"/>
    <w:rsid w:val="2A18031F"/>
    <w:rsid w:val="2A1A17A3"/>
    <w:rsid w:val="2A2657EF"/>
    <w:rsid w:val="2A332463"/>
    <w:rsid w:val="2A3A2D5A"/>
    <w:rsid w:val="2A423F12"/>
    <w:rsid w:val="2A480FED"/>
    <w:rsid w:val="2A4907AE"/>
    <w:rsid w:val="2A4C0F6B"/>
    <w:rsid w:val="2A602109"/>
    <w:rsid w:val="2A6D728E"/>
    <w:rsid w:val="2A736A50"/>
    <w:rsid w:val="2A762DB6"/>
    <w:rsid w:val="2A7717B4"/>
    <w:rsid w:val="2A890FFC"/>
    <w:rsid w:val="2A96383D"/>
    <w:rsid w:val="2AA22981"/>
    <w:rsid w:val="2AA42601"/>
    <w:rsid w:val="2AA674F4"/>
    <w:rsid w:val="2AA9230C"/>
    <w:rsid w:val="2AA9450A"/>
    <w:rsid w:val="2ABE32E0"/>
    <w:rsid w:val="2AC63A75"/>
    <w:rsid w:val="2ACF0BFD"/>
    <w:rsid w:val="2AD56433"/>
    <w:rsid w:val="2AD82A42"/>
    <w:rsid w:val="2AD875D8"/>
    <w:rsid w:val="2AE22EA2"/>
    <w:rsid w:val="2AE25969"/>
    <w:rsid w:val="2AE62118"/>
    <w:rsid w:val="2AEB338C"/>
    <w:rsid w:val="2B011CF0"/>
    <w:rsid w:val="2B0136B7"/>
    <w:rsid w:val="2B102FB5"/>
    <w:rsid w:val="2B1A5808"/>
    <w:rsid w:val="2B28065B"/>
    <w:rsid w:val="2B302885"/>
    <w:rsid w:val="2B3C72FC"/>
    <w:rsid w:val="2B3E6082"/>
    <w:rsid w:val="2B46348F"/>
    <w:rsid w:val="2B5711AB"/>
    <w:rsid w:val="2B5807B5"/>
    <w:rsid w:val="2B600ADA"/>
    <w:rsid w:val="2B645964"/>
    <w:rsid w:val="2B6D1E43"/>
    <w:rsid w:val="2B7042D3"/>
    <w:rsid w:val="2B7E1912"/>
    <w:rsid w:val="2B7E33E2"/>
    <w:rsid w:val="2B852BC9"/>
    <w:rsid w:val="2B906D86"/>
    <w:rsid w:val="2B9504D2"/>
    <w:rsid w:val="2B950548"/>
    <w:rsid w:val="2B97189F"/>
    <w:rsid w:val="2BA128A4"/>
    <w:rsid w:val="2BB65AB3"/>
    <w:rsid w:val="2BBC6951"/>
    <w:rsid w:val="2BC55F5B"/>
    <w:rsid w:val="2BE26310"/>
    <w:rsid w:val="2BE70858"/>
    <w:rsid w:val="2BEE6566"/>
    <w:rsid w:val="2C0412C3"/>
    <w:rsid w:val="2C0C7856"/>
    <w:rsid w:val="2C1646C6"/>
    <w:rsid w:val="2C2378BF"/>
    <w:rsid w:val="2C336405"/>
    <w:rsid w:val="2C3A0A35"/>
    <w:rsid w:val="2C3C3C46"/>
    <w:rsid w:val="2C3D52F0"/>
    <w:rsid w:val="2C3D7625"/>
    <w:rsid w:val="2C437F13"/>
    <w:rsid w:val="2C447B2E"/>
    <w:rsid w:val="2C5C51D5"/>
    <w:rsid w:val="2C7659E2"/>
    <w:rsid w:val="2C87189D"/>
    <w:rsid w:val="2C9061A6"/>
    <w:rsid w:val="2C9D61AA"/>
    <w:rsid w:val="2CA13D59"/>
    <w:rsid w:val="2CBD6EB4"/>
    <w:rsid w:val="2CC1297B"/>
    <w:rsid w:val="2CD34ABC"/>
    <w:rsid w:val="2CD51B1F"/>
    <w:rsid w:val="2CDA4DFE"/>
    <w:rsid w:val="2CEC15B3"/>
    <w:rsid w:val="2CF51ED1"/>
    <w:rsid w:val="2CF61B50"/>
    <w:rsid w:val="2CFC72DD"/>
    <w:rsid w:val="2CFF0262"/>
    <w:rsid w:val="2CFF4243"/>
    <w:rsid w:val="2D040E66"/>
    <w:rsid w:val="2D1519FD"/>
    <w:rsid w:val="2D264709"/>
    <w:rsid w:val="2D4476D1"/>
    <w:rsid w:val="2D534468"/>
    <w:rsid w:val="2D7846A8"/>
    <w:rsid w:val="2D7A5E64"/>
    <w:rsid w:val="2DAA06FA"/>
    <w:rsid w:val="2DD4153F"/>
    <w:rsid w:val="2DDA5646"/>
    <w:rsid w:val="2DE45DB7"/>
    <w:rsid w:val="2DEC59F1"/>
    <w:rsid w:val="2E093F97"/>
    <w:rsid w:val="2E1434F9"/>
    <w:rsid w:val="2E16582B"/>
    <w:rsid w:val="2E1660EB"/>
    <w:rsid w:val="2E215DBB"/>
    <w:rsid w:val="2E243B8A"/>
    <w:rsid w:val="2E3D1E67"/>
    <w:rsid w:val="2E402DEC"/>
    <w:rsid w:val="2E4734D8"/>
    <w:rsid w:val="2E583D16"/>
    <w:rsid w:val="2E585457"/>
    <w:rsid w:val="2E60758B"/>
    <w:rsid w:val="2E612427"/>
    <w:rsid w:val="2E697834"/>
    <w:rsid w:val="2E79424B"/>
    <w:rsid w:val="2E842841"/>
    <w:rsid w:val="2E866DE4"/>
    <w:rsid w:val="2E8817D8"/>
    <w:rsid w:val="2E8C56A5"/>
    <w:rsid w:val="2EA73F13"/>
    <w:rsid w:val="2EA92482"/>
    <w:rsid w:val="2EAB776C"/>
    <w:rsid w:val="2EB36F48"/>
    <w:rsid w:val="2EB953E2"/>
    <w:rsid w:val="2EC3119A"/>
    <w:rsid w:val="2EC92D50"/>
    <w:rsid w:val="2F005429"/>
    <w:rsid w:val="2F1808D1"/>
    <w:rsid w:val="2F1A0292"/>
    <w:rsid w:val="2F260552"/>
    <w:rsid w:val="2F3D7961"/>
    <w:rsid w:val="2F437197"/>
    <w:rsid w:val="2F474134"/>
    <w:rsid w:val="2F4D2D3A"/>
    <w:rsid w:val="2F4F038B"/>
    <w:rsid w:val="2F5563FD"/>
    <w:rsid w:val="2F590A35"/>
    <w:rsid w:val="2F5B00C1"/>
    <w:rsid w:val="2F6871D8"/>
    <w:rsid w:val="2F6A56C7"/>
    <w:rsid w:val="2F806FFC"/>
    <w:rsid w:val="2F89790B"/>
    <w:rsid w:val="2F9D5AE8"/>
    <w:rsid w:val="2FA45F63"/>
    <w:rsid w:val="2FA8640C"/>
    <w:rsid w:val="2FA91173"/>
    <w:rsid w:val="2FA95E10"/>
    <w:rsid w:val="2FAA53F9"/>
    <w:rsid w:val="2FAE75AA"/>
    <w:rsid w:val="2FB51A54"/>
    <w:rsid w:val="2FC254E7"/>
    <w:rsid w:val="2FCC2B4F"/>
    <w:rsid w:val="2FD952C9"/>
    <w:rsid w:val="2FE2352B"/>
    <w:rsid w:val="2FEB7E7D"/>
    <w:rsid w:val="2FEC5FC1"/>
    <w:rsid w:val="2FED531F"/>
    <w:rsid w:val="2FF005B4"/>
    <w:rsid w:val="2FFB4A47"/>
    <w:rsid w:val="2FFD1E48"/>
    <w:rsid w:val="300E35A0"/>
    <w:rsid w:val="30122C24"/>
    <w:rsid w:val="302B0468"/>
    <w:rsid w:val="304D53FF"/>
    <w:rsid w:val="305862D2"/>
    <w:rsid w:val="305C56E5"/>
    <w:rsid w:val="306203B6"/>
    <w:rsid w:val="30635070"/>
    <w:rsid w:val="30665FF5"/>
    <w:rsid w:val="30881A2C"/>
    <w:rsid w:val="30982D0A"/>
    <w:rsid w:val="309A76E2"/>
    <w:rsid w:val="30A438DB"/>
    <w:rsid w:val="30AF45A5"/>
    <w:rsid w:val="30B6162F"/>
    <w:rsid w:val="30C33729"/>
    <w:rsid w:val="30C57693"/>
    <w:rsid w:val="30D30C27"/>
    <w:rsid w:val="30D41530"/>
    <w:rsid w:val="30DB1837"/>
    <w:rsid w:val="30E0733F"/>
    <w:rsid w:val="30EC3CCF"/>
    <w:rsid w:val="30F514DB"/>
    <w:rsid w:val="30FC03BB"/>
    <w:rsid w:val="31115C45"/>
    <w:rsid w:val="312A2724"/>
    <w:rsid w:val="31306344"/>
    <w:rsid w:val="31327CC7"/>
    <w:rsid w:val="313A6B5C"/>
    <w:rsid w:val="313B72D2"/>
    <w:rsid w:val="314B756C"/>
    <w:rsid w:val="315122AD"/>
    <w:rsid w:val="31644624"/>
    <w:rsid w:val="31651B7C"/>
    <w:rsid w:val="316B58A2"/>
    <w:rsid w:val="317029B4"/>
    <w:rsid w:val="31703F28"/>
    <w:rsid w:val="31950430"/>
    <w:rsid w:val="3198766B"/>
    <w:rsid w:val="319E1574"/>
    <w:rsid w:val="31A5008C"/>
    <w:rsid w:val="31AC630C"/>
    <w:rsid w:val="31BF107E"/>
    <w:rsid w:val="31C30930"/>
    <w:rsid w:val="31C63350"/>
    <w:rsid w:val="31CE42C2"/>
    <w:rsid w:val="31D60C88"/>
    <w:rsid w:val="31DC6E5B"/>
    <w:rsid w:val="31E61055"/>
    <w:rsid w:val="31EE15A6"/>
    <w:rsid w:val="31F20FFF"/>
    <w:rsid w:val="31F44502"/>
    <w:rsid w:val="31FE1D69"/>
    <w:rsid w:val="32003B98"/>
    <w:rsid w:val="32041A04"/>
    <w:rsid w:val="32233940"/>
    <w:rsid w:val="325F1E66"/>
    <w:rsid w:val="326C2EC7"/>
    <w:rsid w:val="327E5BE9"/>
    <w:rsid w:val="3280242F"/>
    <w:rsid w:val="3284056D"/>
    <w:rsid w:val="32843DF1"/>
    <w:rsid w:val="32922D7B"/>
    <w:rsid w:val="32A468A4"/>
    <w:rsid w:val="32AE7E18"/>
    <w:rsid w:val="32B065EA"/>
    <w:rsid w:val="32BE5B76"/>
    <w:rsid w:val="32C34EE9"/>
    <w:rsid w:val="32CA1951"/>
    <w:rsid w:val="32D30E25"/>
    <w:rsid w:val="32E860BB"/>
    <w:rsid w:val="32EE219B"/>
    <w:rsid w:val="32FD4850"/>
    <w:rsid w:val="330F26D0"/>
    <w:rsid w:val="3315321B"/>
    <w:rsid w:val="331F3F74"/>
    <w:rsid w:val="33265B78"/>
    <w:rsid w:val="333C7D1C"/>
    <w:rsid w:val="33494E33"/>
    <w:rsid w:val="334F24ED"/>
    <w:rsid w:val="335A7FDC"/>
    <w:rsid w:val="33693D46"/>
    <w:rsid w:val="336C50D7"/>
    <w:rsid w:val="336D1203"/>
    <w:rsid w:val="3377467E"/>
    <w:rsid w:val="33866E96"/>
    <w:rsid w:val="3395213A"/>
    <w:rsid w:val="33A0260A"/>
    <w:rsid w:val="33A37199"/>
    <w:rsid w:val="33A6194A"/>
    <w:rsid w:val="33A96152"/>
    <w:rsid w:val="33AD27BD"/>
    <w:rsid w:val="33AF159F"/>
    <w:rsid w:val="33B92B69"/>
    <w:rsid w:val="33C507BD"/>
    <w:rsid w:val="33C561FC"/>
    <w:rsid w:val="33C67C80"/>
    <w:rsid w:val="33CB12C1"/>
    <w:rsid w:val="33D92F74"/>
    <w:rsid w:val="33E83D20"/>
    <w:rsid w:val="33EC298D"/>
    <w:rsid w:val="3408795A"/>
    <w:rsid w:val="34134330"/>
    <w:rsid w:val="34234796"/>
    <w:rsid w:val="34324807"/>
    <w:rsid w:val="343E4A26"/>
    <w:rsid w:val="344032D3"/>
    <w:rsid w:val="345B0173"/>
    <w:rsid w:val="345D1478"/>
    <w:rsid w:val="346B6210"/>
    <w:rsid w:val="346C7CD4"/>
    <w:rsid w:val="3471400D"/>
    <w:rsid w:val="3474338F"/>
    <w:rsid w:val="347A0A28"/>
    <w:rsid w:val="348F19E7"/>
    <w:rsid w:val="349B2A17"/>
    <w:rsid w:val="34A522D6"/>
    <w:rsid w:val="34AB5DED"/>
    <w:rsid w:val="34AD2051"/>
    <w:rsid w:val="34B24A88"/>
    <w:rsid w:val="34BF58A5"/>
    <w:rsid w:val="34C370B2"/>
    <w:rsid w:val="34CB1E80"/>
    <w:rsid w:val="34D37544"/>
    <w:rsid w:val="34D46B38"/>
    <w:rsid w:val="34D92B8A"/>
    <w:rsid w:val="34E06AF5"/>
    <w:rsid w:val="34F54AEF"/>
    <w:rsid w:val="35042BCB"/>
    <w:rsid w:val="3504566B"/>
    <w:rsid w:val="350954EE"/>
    <w:rsid w:val="35164CDB"/>
    <w:rsid w:val="35247BBC"/>
    <w:rsid w:val="352C084C"/>
    <w:rsid w:val="352E08AA"/>
    <w:rsid w:val="35397B62"/>
    <w:rsid w:val="353A2C44"/>
    <w:rsid w:val="35595A9D"/>
    <w:rsid w:val="35614886"/>
    <w:rsid w:val="356B7D1C"/>
    <w:rsid w:val="3570223A"/>
    <w:rsid w:val="357069B7"/>
    <w:rsid w:val="359266D8"/>
    <w:rsid w:val="3595575C"/>
    <w:rsid w:val="3596247A"/>
    <w:rsid w:val="359B62F4"/>
    <w:rsid w:val="35A93699"/>
    <w:rsid w:val="35B30761"/>
    <w:rsid w:val="35B35B18"/>
    <w:rsid w:val="35B50230"/>
    <w:rsid w:val="35B96F03"/>
    <w:rsid w:val="35C51944"/>
    <w:rsid w:val="35C800F7"/>
    <w:rsid w:val="35D30C5A"/>
    <w:rsid w:val="35D85CF2"/>
    <w:rsid w:val="35E022B4"/>
    <w:rsid w:val="35F41E0E"/>
    <w:rsid w:val="35F75C22"/>
    <w:rsid w:val="35FB5876"/>
    <w:rsid w:val="36004BCA"/>
    <w:rsid w:val="3618394C"/>
    <w:rsid w:val="361D0774"/>
    <w:rsid w:val="362A109F"/>
    <w:rsid w:val="362A31C0"/>
    <w:rsid w:val="36381C83"/>
    <w:rsid w:val="363C5C14"/>
    <w:rsid w:val="363E0309"/>
    <w:rsid w:val="365D6127"/>
    <w:rsid w:val="366E68DA"/>
    <w:rsid w:val="36873497"/>
    <w:rsid w:val="36882D07"/>
    <w:rsid w:val="368D1068"/>
    <w:rsid w:val="368F2692"/>
    <w:rsid w:val="369C6BD7"/>
    <w:rsid w:val="36AB79F4"/>
    <w:rsid w:val="36AD2CCC"/>
    <w:rsid w:val="36B260C9"/>
    <w:rsid w:val="36B4584A"/>
    <w:rsid w:val="36B848DE"/>
    <w:rsid w:val="36C05A6F"/>
    <w:rsid w:val="36C37669"/>
    <w:rsid w:val="36C605ED"/>
    <w:rsid w:val="36C84813"/>
    <w:rsid w:val="36D32561"/>
    <w:rsid w:val="36DB2584"/>
    <w:rsid w:val="36DB7C78"/>
    <w:rsid w:val="36DD23A2"/>
    <w:rsid w:val="36E6534F"/>
    <w:rsid w:val="36EE0B95"/>
    <w:rsid w:val="36F75539"/>
    <w:rsid w:val="36F7585D"/>
    <w:rsid w:val="36FF1009"/>
    <w:rsid w:val="37040F5C"/>
    <w:rsid w:val="3709331B"/>
    <w:rsid w:val="37134E69"/>
    <w:rsid w:val="371428EB"/>
    <w:rsid w:val="371F7B4F"/>
    <w:rsid w:val="37261FE4"/>
    <w:rsid w:val="37262F6E"/>
    <w:rsid w:val="37315A94"/>
    <w:rsid w:val="37400CC5"/>
    <w:rsid w:val="37447CFD"/>
    <w:rsid w:val="37471E40"/>
    <w:rsid w:val="374F144B"/>
    <w:rsid w:val="37506ECC"/>
    <w:rsid w:val="37523F3F"/>
    <w:rsid w:val="3757620D"/>
    <w:rsid w:val="3763774A"/>
    <w:rsid w:val="37686B59"/>
    <w:rsid w:val="37692219"/>
    <w:rsid w:val="376B50C0"/>
    <w:rsid w:val="377802E1"/>
    <w:rsid w:val="37792394"/>
    <w:rsid w:val="377A4684"/>
    <w:rsid w:val="37A543D8"/>
    <w:rsid w:val="37A80BE0"/>
    <w:rsid w:val="37B25640"/>
    <w:rsid w:val="37C56E8B"/>
    <w:rsid w:val="37CA3313"/>
    <w:rsid w:val="37D05097"/>
    <w:rsid w:val="37D72C99"/>
    <w:rsid w:val="37E31CBE"/>
    <w:rsid w:val="37E7504D"/>
    <w:rsid w:val="37ED2F8A"/>
    <w:rsid w:val="37FA18E4"/>
    <w:rsid w:val="37FE6CA3"/>
    <w:rsid w:val="37FF26F0"/>
    <w:rsid w:val="380D2B03"/>
    <w:rsid w:val="381A37D9"/>
    <w:rsid w:val="38201B23"/>
    <w:rsid w:val="383F6FA6"/>
    <w:rsid w:val="385B3B2D"/>
    <w:rsid w:val="38684D6B"/>
    <w:rsid w:val="386A0C9E"/>
    <w:rsid w:val="387C665F"/>
    <w:rsid w:val="388108C3"/>
    <w:rsid w:val="38993659"/>
    <w:rsid w:val="389C6EEF"/>
    <w:rsid w:val="38A20DF8"/>
    <w:rsid w:val="38A85BDE"/>
    <w:rsid w:val="38BE0827"/>
    <w:rsid w:val="38CB377E"/>
    <w:rsid w:val="38D66E54"/>
    <w:rsid w:val="38D755C5"/>
    <w:rsid w:val="38DC7CD8"/>
    <w:rsid w:val="38F00B77"/>
    <w:rsid w:val="38FE3710"/>
    <w:rsid w:val="38FF40CB"/>
    <w:rsid w:val="39144F66"/>
    <w:rsid w:val="39190E93"/>
    <w:rsid w:val="392274DB"/>
    <w:rsid w:val="39291FD6"/>
    <w:rsid w:val="39297DD7"/>
    <w:rsid w:val="392C1BD8"/>
    <w:rsid w:val="393206E7"/>
    <w:rsid w:val="39326120"/>
    <w:rsid w:val="393261B0"/>
    <w:rsid w:val="393A4A07"/>
    <w:rsid w:val="394F4037"/>
    <w:rsid w:val="395E699F"/>
    <w:rsid w:val="396A0841"/>
    <w:rsid w:val="39825EE7"/>
    <w:rsid w:val="39826B76"/>
    <w:rsid w:val="398F2F00"/>
    <w:rsid w:val="399144F4"/>
    <w:rsid w:val="399B4893"/>
    <w:rsid w:val="399F3299"/>
    <w:rsid w:val="39BB2F93"/>
    <w:rsid w:val="39BB3AC3"/>
    <w:rsid w:val="39BC4DC8"/>
    <w:rsid w:val="39BE0611"/>
    <w:rsid w:val="39D80E75"/>
    <w:rsid w:val="39DE600B"/>
    <w:rsid w:val="39E56201"/>
    <w:rsid w:val="39F72D15"/>
    <w:rsid w:val="3A005D08"/>
    <w:rsid w:val="3A126887"/>
    <w:rsid w:val="3A221FB6"/>
    <w:rsid w:val="3A2556F1"/>
    <w:rsid w:val="3A3C1982"/>
    <w:rsid w:val="3A40759F"/>
    <w:rsid w:val="3A4154E8"/>
    <w:rsid w:val="3A420D7A"/>
    <w:rsid w:val="3A433954"/>
    <w:rsid w:val="3A663C58"/>
    <w:rsid w:val="3A685235"/>
    <w:rsid w:val="3A6B69F7"/>
    <w:rsid w:val="3A744297"/>
    <w:rsid w:val="3A783ACA"/>
    <w:rsid w:val="3A784232"/>
    <w:rsid w:val="3A7E7084"/>
    <w:rsid w:val="3A8B60FC"/>
    <w:rsid w:val="3A9B414B"/>
    <w:rsid w:val="3A9B4436"/>
    <w:rsid w:val="3AA9564F"/>
    <w:rsid w:val="3AB668B3"/>
    <w:rsid w:val="3ABE4533"/>
    <w:rsid w:val="3AC41D77"/>
    <w:rsid w:val="3AC91A82"/>
    <w:rsid w:val="3ACD5CF2"/>
    <w:rsid w:val="3AD65514"/>
    <w:rsid w:val="3AD85F03"/>
    <w:rsid w:val="3AFE4E25"/>
    <w:rsid w:val="3B2A4F9E"/>
    <w:rsid w:val="3B3C3FBF"/>
    <w:rsid w:val="3B3F7B3C"/>
    <w:rsid w:val="3B45164F"/>
    <w:rsid w:val="3B491FD0"/>
    <w:rsid w:val="3B4941A1"/>
    <w:rsid w:val="3B6127CA"/>
    <w:rsid w:val="3B690306"/>
    <w:rsid w:val="3B6B6DE1"/>
    <w:rsid w:val="3B6E2210"/>
    <w:rsid w:val="3B782B1F"/>
    <w:rsid w:val="3B9659D1"/>
    <w:rsid w:val="3B985F84"/>
    <w:rsid w:val="3B9B6557"/>
    <w:rsid w:val="3BA769EC"/>
    <w:rsid w:val="3BB57A62"/>
    <w:rsid w:val="3BBA100A"/>
    <w:rsid w:val="3BBF0D15"/>
    <w:rsid w:val="3BD6417E"/>
    <w:rsid w:val="3BD763BC"/>
    <w:rsid w:val="3BDF1F23"/>
    <w:rsid w:val="3BE067D5"/>
    <w:rsid w:val="3BE4693D"/>
    <w:rsid w:val="3BE84F78"/>
    <w:rsid w:val="3BE940D8"/>
    <w:rsid w:val="3BF33BCB"/>
    <w:rsid w:val="3BF70E6F"/>
    <w:rsid w:val="3BF94372"/>
    <w:rsid w:val="3C0332C3"/>
    <w:rsid w:val="3C0B1111"/>
    <w:rsid w:val="3C124405"/>
    <w:rsid w:val="3C1838B2"/>
    <w:rsid w:val="3C1A6958"/>
    <w:rsid w:val="3C1E32AD"/>
    <w:rsid w:val="3C1F67B0"/>
    <w:rsid w:val="3C333252"/>
    <w:rsid w:val="3C3663D5"/>
    <w:rsid w:val="3C3876DA"/>
    <w:rsid w:val="3C63633D"/>
    <w:rsid w:val="3C762A42"/>
    <w:rsid w:val="3C785223"/>
    <w:rsid w:val="3C83070F"/>
    <w:rsid w:val="3C9B2D69"/>
    <w:rsid w:val="3CA2064A"/>
    <w:rsid w:val="3CA75790"/>
    <w:rsid w:val="3CAF66B3"/>
    <w:rsid w:val="3CB33F51"/>
    <w:rsid w:val="3CBD6450"/>
    <w:rsid w:val="3CBF613A"/>
    <w:rsid w:val="3CC94A4B"/>
    <w:rsid w:val="3CD47558"/>
    <w:rsid w:val="3CD56CF2"/>
    <w:rsid w:val="3CDB6FFA"/>
    <w:rsid w:val="3CE349A6"/>
    <w:rsid w:val="3CEB3C84"/>
    <w:rsid w:val="3CEC580A"/>
    <w:rsid w:val="3CF01087"/>
    <w:rsid w:val="3CF92DBF"/>
    <w:rsid w:val="3CF97798"/>
    <w:rsid w:val="3D0535AB"/>
    <w:rsid w:val="3D056C70"/>
    <w:rsid w:val="3D075476"/>
    <w:rsid w:val="3D0A09EC"/>
    <w:rsid w:val="3D37507E"/>
    <w:rsid w:val="3D3834BC"/>
    <w:rsid w:val="3D3D5AF1"/>
    <w:rsid w:val="3D4734FB"/>
    <w:rsid w:val="3D513F0C"/>
    <w:rsid w:val="3D582E95"/>
    <w:rsid w:val="3D5D3C39"/>
    <w:rsid w:val="3D6E7757"/>
    <w:rsid w:val="3D8A033D"/>
    <w:rsid w:val="3DB84A5A"/>
    <w:rsid w:val="3DC774F6"/>
    <w:rsid w:val="3DD119FA"/>
    <w:rsid w:val="3DE6611C"/>
    <w:rsid w:val="3DF24927"/>
    <w:rsid w:val="3DFA3274"/>
    <w:rsid w:val="3E0334CE"/>
    <w:rsid w:val="3E147279"/>
    <w:rsid w:val="3E160E69"/>
    <w:rsid w:val="3E174DA2"/>
    <w:rsid w:val="3E272787"/>
    <w:rsid w:val="3E303062"/>
    <w:rsid w:val="3E543198"/>
    <w:rsid w:val="3E5B60DB"/>
    <w:rsid w:val="3E613867"/>
    <w:rsid w:val="3E620644"/>
    <w:rsid w:val="3E692E72"/>
    <w:rsid w:val="3E6D3AA9"/>
    <w:rsid w:val="3E7A0175"/>
    <w:rsid w:val="3E7A6BD4"/>
    <w:rsid w:val="3E7C1068"/>
    <w:rsid w:val="3E843743"/>
    <w:rsid w:val="3E856F1F"/>
    <w:rsid w:val="3E981810"/>
    <w:rsid w:val="3E9F116F"/>
    <w:rsid w:val="3EB62D7C"/>
    <w:rsid w:val="3EB7199E"/>
    <w:rsid w:val="3EBD28FC"/>
    <w:rsid w:val="3EC42287"/>
    <w:rsid w:val="3EC768F4"/>
    <w:rsid w:val="3ED03146"/>
    <w:rsid w:val="3ED65A24"/>
    <w:rsid w:val="3EDD0C32"/>
    <w:rsid w:val="3EEB2146"/>
    <w:rsid w:val="3EEF5F10"/>
    <w:rsid w:val="3EF240B2"/>
    <w:rsid w:val="3EFC23E1"/>
    <w:rsid w:val="3F112386"/>
    <w:rsid w:val="3F1324DB"/>
    <w:rsid w:val="3F1E4290"/>
    <w:rsid w:val="3F1F711D"/>
    <w:rsid w:val="3F2D4D1F"/>
    <w:rsid w:val="3F3C44CF"/>
    <w:rsid w:val="3F41451A"/>
    <w:rsid w:val="3F425721"/>
    <w:rsid w:val="3F4B0D53"/>
    <w:rsid w:val="3F4C21AF"/>
    <w:rsid w:val="3F542739"/>
    <w:rsid w:val="3F583EA9"/>
    <w:rsid w:val="3F592485"/>
    <w:rsid w:val="3F651482"/>
    <w:rsid w:val="3F7C4554"/>
    <w:rsid w:val="3FA03D3A"/>
    <w:rsid w:val="3FB659E4"/>
    <w:rsid w:val="3FC10A9F"/>
    <w:rsid w:val="3FCB406B"/>
    <w:rsid w:val="3FD11923"/>
    <w:rsid w:val="3FE321C9"/>
    <w:rsid w:val="3FE66116"/>
    <w:rsid w:val="3FEE42F3"/>
    <w:rsid w:val="3FF22A5A"/>
    <w:rsid w:val="3FF316C7"/>
    <w:rsid w:val="40027E28"/>
    <w:rsid w:val="40063B98"/>
    <w:rsid w:val="4006719B"/>
    <w:rsid w:val="401435B0"/>
    <w:rsid w:val="4016131E"/>
    <w:rsid w:val="401A7C14"/>
    <w:rsid w:val="401C44BB"/>
    <w:rsid w:val="40225A46"/>
    <w:rsid w:val="40345961"/>
    <w:rsid w:val="40463967"/>
    <w:rsid w:val="405A78FE"/>
    <w:rsid w:val="4064364B"/>
    <w:rsid w:val="40671125"/>
    <w:rsid w:val="406903B9"/>
    <w:rsid w:val="407709D4"/>
    <w:rsid w:val="40782BD2"/>
    <w:rsid w:val="40846A58"/>
    <w:rsid w:val="408D0C45"/>
    <w:rsid w:val="40965A05"/>
    <w:rsid w:val="40A334E6"/>
    <w:rsid w:val="40B67A10"/>
    <w:rsid w:val="40B839BB"/>
    <w:rsid w:val="40BB2D9F"/>
    <w:rsid w:val="40BB678D"/>
    <w:rsid w:val="40BD38EB"/>
    <w:rsid w:val="40BF4CE4"/>
    <w:rsid w:val="40C460E4"/>
    <w:rsid w:val="40CB08AB"/>
    <w:rsid w:val="40D40FFA"/>
    <w:rsid w:val="40E52A90"/>
    <w:rsid w:val="40F14E1A"/>
    <w:rsid w:val="40F605CD"/>
    <w:rsid w:val="40F700A0"/>
    <w:rsid w:val="41076FBE"/>
    <w:rsid w:val="411B6C88"/>
    <w:rsid w:val="412C4B24"/>
    <w:rsid w:val="413E4F19"/>
    <w:rsid w:val="414778FE"/>
    <w:rsid w:val="41666FD7"/>
    <w:rsid w:val="41712639"/>
    <w:rsid w:val="417557CB"/>
    <w:rsid w:val="417565D5"/>
    <w:rsid w:val="417D011E"/>
    <w:rsid w:val="417D2480"/>
    <w:rsid w:val="417D5BE2"/>
    <w:rsid w:val="418D27C5"/>
    <w:rsid w:val="419D07B6"/>
    <w:rsid w:val="41A24AFA"/>
    <w:rsid w:val="41AD51CD"/>
    <w:rsid w:val="41B13BD3"/>
    <w:rsid w:val="41B5478F"/>
    <w:rsid w:val="41B83B98"/>
    <w:rsid w:val="41BC1F64"/>
    <w:rsid w:val="41CE5702"/>
    <w:rsid w:val="41D00D84"/>
    <w:rsid w:val="41D97316"/>
    <w:rsid w:val="41E434A5"/>
    <w:rsid w:val="41E533F5"/>
    <w:rsid w:val="41EB6C44"/>
    <w:rsid w:val="41EF14BA"/>
    <w:rsid w:val="41EF4D3D"/>
    <w:rsid w:val="41F6546E"/>
    <w:rsid w:val="41FD4053"/>
    <w:rsid w:val="42025391"/>
    <w:rsid w:val="42177F87"/>
    <w:rsid w:val="4221632B"/>
    <w:rsid w:val="4221770A"/>
    <w:rsid w:val="42291412"/>
    <w:rsid w:val="422B6C94"/>
    <w:rsid w:val="422B77A7"/>
    <w:rsid w:val="4234285E"/>
    <w:rsid w:val="42352B76"/>
    <w:rsid w:val="4238229A"/>
    <w:rsid w:val="423E3096"/>
    <w:rsid w:val="42456F0C"/>
    <w:rsid w:val="424B1A90"/>
    <w:rsid w:val="424F2F1B"/>
    <w:rsid w:val="42580EE9"/>
    <w:rsid w:val="426C7AC7"/>
    <w:rsid w:val="42780119"/>
    <w:rsid w:val="427A3596"/>
    <w:rsid w:val="42993ED1"/>
    <w:rsid w:val="429C624E"/>
    <w:rsid w:val="42B13886"/>
    <w:rsid w:val="42B42080"/>
    <w:rsid w:val="42BE088D"/>
    <w:rsid w:val="42CA46A0"/>
    <w:rsid w:val="42CC5625"/>
    <w:rsid w:val="42CE6165"/>
    <w:rsid w:val="42EA5CA9"/>
    <w:rsid w:val="42EA5FC7"/>
    <w:rsid w:val="42F04134"/>
    <w:rsid w:val="42F22E12"/>
    <w:rsid w:val="42FB06F2"/>
    <w:rsid w:val="430008F2"/>
    <w:rsid w:val="43003087"/>
    <w:rsid w:val="43201922"/>
    <w:rsid w:val="432252FC"/>
    <w:rsid w:val="43287C9D"/>
    <w:rsid w:val="43393FD2"/>
    <w:rsid w:val="433D6BDD"/>
    <w:rsid w:val="43437072"/>
    <w:rsid w:val="43452CC9"/>
    <w:rsid w:val="434A37D0"/>
    <w:rsid w:val="43552086"/>
    <w:rsid w:val="4359348E"/>
    <w:rsid w:val="43605E98"/>
    <w:rsid w:val="436169DE"/>
    <w:rsid w:val="43675823"/>
    <w:rsid w:val="438C21E0"/>
    <w:rsid w:val="439D5CFD"/>
    <w:rsid w:val="439D7EE2"/>
    <w:rsid w:val="43A14429"/>
    <w:rsid w:val="43A57A3D"/>
    <w:rsid w:val="43B1111A"/>
    <w:rsid w:val="43B84329"/>
    <w:rsid w:val="43BA6F0F"/>
    <w:rsid w:val="43C2289E"/>
    <w:rsid w:val="43C565B3"/>
    <w:rsid w:val="43CA7AC6"/>
    <w:rsid w:val="43CE2890"/>
    <w:rsid w:val="43DA6CD7"/>
    <w:rsid w:val="43FE61B3"/>
    <w:rsid w:val="4405047E"/>
    <w:rsid w:val="44054428"/>
    <w:rsid w:val="441930C8"/>
    <w:rsid w:val="442564C5"/>
    <w:rsid w:val="442617C3"/>
    <w:rsid w:val="442C47DF"/>
    <w:rsid w:val="44316D96"/>
    <w:rsid w:val="444A3897"/>
    <w:rsid w:val="445554AC"/>
    <w:rsid w:val="446753C6"/>
    <w:rsid w:val="44692B2F"/>
    <w:rsid w:val="446C3CA1"/>
    <w:rsid w:val="446C50D1"/>
    <w:rsid w:val="447815AA"/>
    <w:rsid w:val="447F2A6D"/>
    <w:rsid w:val="44873A1C"/>
    <w:rsid w:val="448D5606"/>
    <w:rsid w:val="44900207"/>
    <w:rsid w:val="44981418"/>
    <w:rsid w:val="44A50CC6"/>
    <w:rsid w:val="44A86E46"/>
    <w:rsid w:val="44AA33B7"/>
    <w:rsid w:val="44AF71F4"/>
    <w:rsid w:val="44B13770"/>
    <w:rsid w:val="44B37A44"/>
    <w:rsid w:val="44B40556"/>
    <w:rsid w:val="44BD3BD6"/>
    <w:rsid w:val="44C37CDE"/>
    <w:rsid w:val="44D47F78"/>
    <w:rsid w:val="44DB01A8"/>
    <w:rsid w:val="44DE167D"/>
    <w:rsid w:val="44DF10DD"/>
    <w:rsid w:val="44E32791"/>
    <w:rsid w:val="44EC4A6B"/>
    <w:rsid w:val="44ED7D48"/>
    <w:rsid w:val="44FA5C39"/>
    <w:rsid w:val="44FB40F1"/>
    <w:rsid w:val="44FB7E38"/>
    <w:rsid w:val="44FE5C65"/>
    <w:rsid w:val="451232E0"/>
    <w:rsid w:val="452458BF"/>
    <w:rsid w:val="452D190C"/>
    <w:rsid w:val="452F40CC"/>
    <w:rsid w:val="454E1713"/>
    <w:rsid w:val="455D6A79"/>
    <w:rsid w:val="457D2990"/>
    <w:rsid w:val="45827FC4"/>
    <w:rsid w:val="458307C0"/>
    <w:rsid w:val="4587711C"/>
    <w:rsid w:val="458967A2"/>
    <w:rsid w:val="45955DD9"/>
    <w:rsid w:val="459B4B69"/>
    <w:rsid w:val="45B11EE5"/>
    <w:rsid w:val="45BD0C8E"/>
    <w:rsid w:val="45C10BF8"/>
    <w:rsid w:val="45D468F8"/>
    <w:rsid w:val="45D9429B"/>
    <w:rsid w:val="45DB3E5C"/>
    <w:rsid w:val="45DD17E2"/>
    <w:rsid w:val="45E67C15"/>
    <w:rsid w:val="45EF19CA"/>
    <w:rsid w:val="45FC4A4F"/>
    <w:rsid w:val="46053B6D"/>
    <w:rsid w:val="460B12FA"/>
    <w:rsid w:val="4622569C"/>
    <w:rsid w:val="4627694B"/>
    <w:rsid w:val="462778EF"/>
    <w:rsid w:val="46301654"/>
    <w:rsid w:val="464202B8"/>
    <w:rsid w:val="465E3302"/>
    <w:rsid w:val="46626485"/>
    <w:rsid w:val="467375F4"/>
    <w:rsid w:val="467C41B6"/>
    <w:rsid w:val="467D0334"/>
    <w:rsid w:val="46862B6D"/>
    <w:rsid w:val="46957BD9"/>
    <w:rsid w:val="469E4E2E"/>
    <w:rsid w:val="46A17DF0"/>
    <w:rsid w:val="46AC5600"/>
    <w:rsid w:val="46AF1B96"/>
    <w:rsid w:val="46B13E5E"/>
    <w:rsid w:val="46B57F9F"/>
    <w:rsid w:val="46BB161D"/>
    <w:rsid w:val="46BF681F"/>
    <w:rsid w:val="46D25840"/>
    <w:rsid w:val="46E102C7"/>
    <w:rsid w:val="471362A9"/>
    <w:rsid w:val="471608E0"/>
    <w:rsid w:val="471748B1"/>
    <w:rsid w:val="47174CAF"/>
    <w:rsid w:val="472F2356"/>
    <w:rsid w:val="473560DC"/>
    <w:rsid w:val="473C6933"/>
    <w:rsid w:val="47425922"/>
    <w:rsid w:val="47513142"/>
    <w:rsid w:val="475E7622"/>
    <w:rsid w:val="4763732D"/>
    <w:rsid w:val="47816D65"/>
    <w:rsid w:val="47921C5F"/>
    <w:rsid w:val="479245F9"/>
    <w:rsid w:val="47A9421E"/>
    <w:rsid w:val="47AC4759"/>
    <w:rsid w:val="47B0305D"/>
    <w:rsid w:val="47B03BA9"/>
    <w:rsid w:val="47C3090A"/>
    <w:rsid w:val="47C502CB"/>
    <w:rsid w:val="47C57F3E"/>
    <w:rsid w:val="47E27CF0"/>
    <w:rsid w:val="47EB3674"/>
    <w:rsid w:val="47ED3A0E"/>
    <w:rsid w:val="47FC1476"/>
    <w:rsid w:val="47FC2230"/>
    <w:rsid w:val="48031435"/>
    <w:rsid w:val="480B1A93"/>
    <w:rsid w:val="480D17A9"/>
    <w:rsid w:val="481F1C5E"/>
    <w:rsid w:val="482D3640"/>
    <w:rsid w:val="48301EC3"/>
    <w:rsid w:val="483979FD"/>
    <w:rsid w:val="483A2174"/>
    <w:rsid w:val="483B5C2B"/>
    <w:rsid w:val="483D4027"/>
    <w:rsid w:val="483E2513"/>
    <w:rsid w:val="48655C56"/>
    <w:rsid w:val="486737F5"/>
    <w:rsid w:val="486C55E1"/>
    <w:rsid w:val="487144D7"/>
    <w:rsid w:val="48892E91"/>
    <w:rsid w:val="48901897"/>
    <w:rsid w:val="48AC11E7"/>
    <w:rsid w:val="48B63030"/>
    <w:rsid w:val="48BE436D"/>
    <w:rsid w:val="48C2056E"/>
    <w:rsid w:val="48C96BC6"/>
    <w:rsid w:val="48CF7884"/>
    <w:rsid w:val="48D27C61"/>
    <w:rsid w:val="48E11FE6"/>
    <w:rsid w:val="48E15659"/>
    <w:rsid w:val="48EA14D3"/>
    <w:rsid w:val="48F07DB8"/>
    <w:rsid w:val="48FA1A7D"/>
    <w:rsid w:val="48FF64D3"/>
    <w:rsid w:val="49052E12"/>
    <w:rsid w:val="49092EE1"/>
    <w:rsid w:val="490971A8"/>
    <w:rsid w:val="4928628C"/>
    <w:rsid w:val="492A444B"/>
    <w:rsid w:val="4940325A"/>
    <w:rsid w:val="4941303B"/>
    <w:rsid w:val="495C08EA"/>
    <w:rsid w:val="496107A0"/>
    <w:rsid w:val="496A1C80"/>
    <w:rsid w:val="496D5A86"/>
    <w:rsid w:val="49834DA9"/>
    <w:rsid w:val="49881230"/>
    <w:rsid w:val="498F443F"/>
    <w:rsid w:val="49993A39"/>
    <w:rsid w:val="49A50A29"/>
    <w:rsid w:val="49B54D55"/>
    <w:rsid w:val="49BD0406"/>
    <w:rsid w:val="49D46290"/>
    <w:rsid w:val="49E43B49"/>
    <w:rsid w:val="49E652D7"/>
    <w:rsid w:val="49EB465A"/>
    <w:rsid w:val="49ED39DD"/>
    <w:rsid w:val="4A073CF0"/>
    <w:rsid w:val="4A0855EB"/>
    <w:rsid w:val="4A0B180A"/>
    <w:rsid w:val="4A0B6181"/>
    <w:rsid w:val="4A135D61"/>
    <w:rsid w:val="4A1A5FE8"/>
    <w:rsid w:val="4A1B4023"/>
    <w:rsid w:val="4A3C3AE9"/>
    <w:rsid w:val="4A3D2122"/>
    <w:rsid w:val="4A4F0FFA"/>
    <w:rsid w:val="4A5166FB"/>
    <w:rsid w:val="4A540459"/>
    <w:rsid w:val="4A581909"/>
    <w:rsid w:val="4A751CE1"/>
    <w:rsid w:val="4A8F28DC"/>
    <w:rsid w:val="4ACA2215"/>
    <w:rsid w:val="4ADF5065"/>
    <w:rsid w:val="4AF5557E"/>
    <w:rsid w:val="4B082F5C"/>
    <w:rsid w:val="4B0A64D5"/>
    <w:rsid w:val="4B3F62F9"/>
    <w:rsid w:val="4B400582"/>
    <w:rsid w:val="4B473981"/>
    <w:rsid w:val="4B4E4A77"/>
    <w:rsid w:val="4B50054C"/>
    <w:rsid w:val="4B583FE8"/>
    <w:rsid w:val="4B637A17"/>
    <w:rsid w:val="4B6D28F1"/>
    <w:rsid w:val="4B703474"/>
    <w:rsid w:val="4B745559"/>
    <w:rsid w:val="4B782F12"/>
    <w:rsid w:val="4B816DED"/>
    <w:rsid w:val="4B867852"/>
    <w:rsid w:val="4B8A4993"/>
    <w:rsid w:val="4B8A6BFF"/>
    <w:rsid w:val="4B8D6483"/>
    <w:rsid w:val="4BA91610"/>
    <w:rsid w:val="4BAA2572"/>
    <w:rsid w:val="4BAC0A1D"/>
    <w:rsid w:val="4BB9373B"/>
    <w:rsid w:val="4BC16C1C"/>
    <w:rsid w:val="4BC5405E"/>
    <w:rsid w:val="4BD52321"/>
    <w:rsid w:val="4BF700B0"/>
    <w:rsid w:val="4BF957B2"/>
    <w:rsid w:val="4BFA3233"/>
    <w:rsid w:val="4BFB54DC"/>
    <w:rsid w:val="4C00513D"/>
    <w:rsid w:val="4C0469DB"/>
    <w:rsid w:val="4C176B55"/>
    <w:rsid w:val="4C2A155A"/>
    <w:rsid w:val="4C4D5CC9"/>
    <w:rsid w:val="4C5948D2"/>
    <w:rsid w:val="4C5A4AA3"/>
    <w:rsid w:val="4C5F1EFC"/>
    <w:rsid w:val="4C6071F6"/>
    <w:rsid w:val="4C6D3572"/>
    <w:rsid w:val="4C7759AE"/>
    <w:rsid w:val="4C7E128E"/>
    <w:rsid w:val="4C812213"/>
    <w:rsid w:val="4C8E3AA7"/>
    <w:rsid w:val="4C94132B"/>
    <w:rsid w:val="4CB546D1"/>
    <w:rsid w:val="4CB613E8"/>
    <w:rsid w:val="4CC01CF8"/>
    <w:rsid w:val="4CD27077"/>
    <w:rsid w:val="4CD33767"/>
    <w:rsid w:val="4CE0222C"/>
    <w:rsid w:val="4CE27EB0"/>
    <w:rsid w:val="4CE4748E"/>
    <w:rsid w:val="4CEE0DD2"/>
    <w:rsid w:val="4CEF4DE2"/>
    <w:rsid w:val="4D061624"/>
    <w:rsid w:val="4D10183F"/>
    <w:rsid w:val="4D1F67E2"/>
    <w:rsid w:val="4D282F19"/>
    <w:rsid w:val="4D380509"/>
    <w:rsid w:val="4D3D21CB"/>
    <w:rsid w:val="4D4344CF"/>
    <w:rsid w:val="4D5E1868"/>
    <w:rsid w:val="4D5E6DD5"/>
    <w:rsid w:val="4D647899"/>
    <w:rsid w:val="4D685EC2"/>
    <w:rsid w:val="4D7E0E31"/>
    <w:rsid w:val="4D81227F"/>
    <w:rsid w:val="4D827837"/>
    <w:rsid w:val="4D873CBF"/>
    <w:rsid w:val="4D8C239D"/>
    <w:rsid w:val="4D92309B"/>
    <w:rsid w:val="4D9602CE"/>
    <w:rsid w:val="4D9819DB"/>
    <w:rsid w:val="4DAF7614"/>
    <w:rsid w:val="4DBF3CF1"/>
    <w:rsid w:val="4DCD4C46"/>
    <w:rsid w:val="4DD30CC1"/>
    <w:rsid w:val="4DD4430F"/>
    <w:rsid w:val="4DED62DF"/>
    <w:rsid w:val="4DEF5FB2"/>
    <w:rsid w:val="4DFB4EB7"/>
    <w:rsid w:val="4E04238F"/>
    <w:rsid w:val="4E06200F"/>
    <w:rsid w:val="4E08632C"/>
    <w:rsid w:val="4E0869F9"/>
    <w:rsid w:val="4E1246B2"/>
    <w:rsid w:val="4E125E21"/>
    <w:rsid w:val="4E2A2BE7"/>
    <w:rsid w:val="4E34799B"/>
    <w:rsid w:val="4E4E5C86"/>
    <w:rsid w:val="4E4F3F85"/>
    <w:rsid w:val="4E7A600D"/>
    <w:rsid w:val="4EA470B4"/>
    <w:rsid w:val="4EAA5C75"/>
    <w:rsid w:val="4EAB4223"/>
    <w:rsid w:val="4EB11919"/>
    <w:rsid w:val="4EB124A8"/>
    <w:rsid w:val="4EB13AD6"/>
    <w:rsid w:val="4EB936D7"/>
    <w:rsid w:val="4EBB663A"/>
    <w:rsid w:val="4EC95EA5"/>
    <w:rsid w:val="4ECF52DB"/>
    <w:rsid w:val="4EE748E4"/>
    <w:rsid w:val="4F023A58"/>
    <w:rsid w:val="4F062A04"/>
    <w:rsid w:val="4F1B40D5"/>
    <w:rsid w:val="4F21553C"/>
    <w:rsid w:val="4F323A12"/>
    <w:rsid w:val="4F3A0F7F"/>
    <w:rsid w:val="4F4A5CB6"/>
    <w:rsid w:val="4F5774B9"/>
    <w:rsid w:val="4F5F0269"/>
    <w:rsid w:val="4F624DA5"/>
    <w:rsid w:val="4F711E1C"/>
    <w:rsid w:val="4F7459D0"/>
    <w:rsid w:val="4F80187B"/>
    <w:rsid w:val="4F8C48CB"/>
    <w:rsid w:val="4F955D36"/>
    <w:rsid w:val="4FA07BB2"/>
    <w:rsid w:val="4FA538F1"/>
    <w:rsid w:val="4FAE6D9A"/>
    <w:rsid w:val="4FB27ACC"/>
    <w:rsid w:val="4FB45107"/>
    <w:rsid w:val="4FB50A50"/>
    <w:rsid w:val="4FD237F8"/>
    <w:rsid w:val="4FD93A4C"/>
    <w:rsid w:val="4FDC515A"/>
    <w:rsid w:val="4FF13B47"/>
    <w:rsid w:val="4FF55B74"/>
    <w:rsid w:val="50040DFF"/>
    <w:rsid w:val="50140C26"/>
    <w:rsid w:val="50146E47"/>
    <w:rsid w:val="50202FA5"/>
    <w:rsid w:val="5031764D"/>
    <w:rsid w:val="503A452D"/>
    <w:rsid w:val="503E59BB"/>
    <w:rsid w:val="5045033F"/>
    <w:rsid w:val="5048763A"/>
    <w:rsid w:val="50494CF7"/>
    <w:rsid w:val="504B2DEF"/>
    <w:rsid w:val="505C6ECB"/>
    <w:rsid w:val="505D13E5"/>
    <w:rsid w:val="506F3928"/>
    <w:rsid w:val="50780A4E"/>
    <w:rsid w:val="507A4191"/>
    <w:rsid w:val="50835C26"/>
    <w:rsid w:val="509D2B7C"/>
    <w:rsid w:val="50A325ED"/>
    <w:rsid w:val="50AD486C"/>
    <w:rsid w:val="50B04973"/>
    <w:rsid w:val="50B13272"/>
    <w:rsid w:val="50B82283"/>
    <w:rsid w:val="50C809CB"/>
    <w:rsid w:val="50CC4B65"/>
    <w:rsid w:val="50D71195"/>
    <w:rsid w:val="50DB0825"/>
    <w:rsid w:val="50F25EDA"/>
    <w:rsid w:val="50FB0CA9"/>
    <w:rsid w:val="510B6E04"/>
    <w:rsid w:val="512222AC"/>
    <w:rsid w:val="512B5C75"/>
    <w:rsid w:val="512E02BD"/>
    <w:rsid w:val="512F5D3F"/>
    <w:rsid w:val="51402996"/>
    <w:rsid w:val="51457DEE"/>
    <w:rsid w:val="51547FE0"/>
    <w:rsid w:val="5162107A"/>
    <w:rsid w:val="517A4EB9"/>
    <w:rsid w:val="517D2D6B"/>
    <w:rsid w:val="51877A52"/>
    <w:rsid w:val="518F253F"/>
    <w:rsid w:val="51AD62E0"/>
    <w:rsid w:val="51AD660D"/>
    <w:rsid w:val="51B8076C"/>
    <w:rsid w:val="51C05902"/>
    <w:rsid w:val="51CF7E46"/>
    <w:rsid w:val="51D60658"/>
    <w:rsid w:val="51D90BA4"/>
    <w:rsid w:val="51DB13E8"/>
    <w:rsid w:val="51E0001D"/>
    <w:rsid w:val="51E24360"/>
    <w:rsid w:val="51E44568"/>
    <w:rsid w:val="51EE192B"/>
    <w:rsid w:val="51EE3A3E"/>
    <w:rsid w:val="51F53D5C"/>
    <w:rsid w:val="51F84B8F"/>
    <w:rsid w:val="52071B1E"/>
    <w:rsid w:val="52074ECA"/>
    <w:rsid w:val="52272921"/>
    <w:rsid w:val="52360CF2"/>
    <w:rsid w:val="52424902"/>
    <w:rsid w:val="5256339E"/>
    <w:rsid w:val="525635A3"/>
    <w:rsid w:val="52584D28"/>
    <w:rsid w:val="526A64A7"/>
    <w:rsid w:val="5279285E"/>
    <w:rsid w:val="527F2C14"/>
    <w:rsid w:val="52825268"/>
    <w:rsid w:val="528A4705"/>
    <w:rsid w:val="528B2778"/>
    <w:rsid w:val="52993A33"/>
    <w:rsid w:val="52B85BC6"/>
    <w:rsid w:val="52C15155"/>
    <w:rsid w:val="52D13E08"/>
    <w:rsid w:val="52DB3993"/>
    <w:rsid w:val="52EB05A3"/>
    <w:rsid w:val="52ED5C6F"/>
    <w:rsid w:val="52F7312C"/>
    <w:rsid w:val="52FA41A5"/>
    <w:rsid w:val="532277F3"/>
    <w:rsid w:val="5328717E"/>
    <w:rsid w:val="532A29BD"/>
    <w:rsid w:val="532D7D83"/>
    <w:rsid w:val="533A31DD"/>
    <w:rsid w:val="534F0105"/>
    <w:rsid w:val="53577F4E"/>
    <w:rsid w:val="535B277D"/>
    <w:rsid w:val="53714FF4"/>
    <w:rsid w:val="537E210B"/>
    <w:rsid w:val="538E3DD8"/>
    <w:rsid w:val="539231FF"/>
    <w:rsid w:val="539E4BBE"/>
    <w:rsid w:val="53A635B6"/>
    <w:rsid w:val="53AF4A46"/>
    <w:rsid w:val="53BC636D"/>
    <w:rsid w:val="53C05B65"/>
    <w:rsid w:val="53C73874"/>
    <w:rsid w:val="53DC28C6"/>
    <w:rsid w:val="53EB4CBE"/>
    <w:rsid w:val="53FA1185"/>
    <w:rsid w:val="53FB4F58"/>
    <w:rsid w:val="54216091"/>
    <w:rsid w:val="542459DD"/>
    <w:rsid w:val="54252519"/>
    <w:rsid w:val="5430412D"/>
    <w:rsid w:val="54311649"/>
    <w:rsid w:val="54540E6A"/>
    <w:rsid w:val="54572BA7"/>
    <w:rsid w:val="545C3923"/>
    <w:rsid w:val="546A0ECA"/>
    <w:rsid w:val="5472094E"/>
    <w:rsid w:val="547C1D20"/>
    <w:rsid w:val="547E068A"/>
    <w:rsid w:val="548E44C7"/>
    <w:rsid w:val="549160FF"/>
    <w:rsid w:val="549D015B"/>
    <w:rsid w:val="54A8625E"/>
    <w:rsid w:val="54B45B25"/>
    <w:rsid w:val="54BF0519"/>
    <w:rsid w:val="54C05F9B"/>
    <w:rsid w:val="54C10199"/>
    <w:rsid w:val="54C17BC4"/>
    <w:rsid w:val="54CB3FB6"/>
    <w:rsid w:val="54E6627B"/>
    <w:rsid w:val="55046303"/>
    <w:rsid w:val="550B7314"/>
    <w:rsid w:val="55126C9E"/>
    <w:rsid w:val="5518442B"/>
    <w:rsid w:val="551A2A67"/>
    <w:rsid w:val="5524243C"/>
    <w:rsid w:val="553F0A67"/>
    <w:rsid w:val="553F664A"/>
    <w:rsid w:val="55403D02"/>
    <w:rsid w:val="555B709A"/>
    <w:rsid w:val="556F274C"/>
    <w:rsid w:val="557F0612"/>
    <w:rsid w:val="558A134B"/>
    <w:rsid w:val="55933D75"/>
    <w:rsid w:val="559439F4"/>
    <w:rsid w:val="559801FC"/>
    <w:rsid w:val="559E467E"/>
    <w:rsid w:val="55A10B0C"/>
    <w:rsid w:val="55A4620D"/>
    <w:rsid w:val="55B961B3"/>
    <w:rsid w:val="55BF35C6"/>
    <w:rsid w:val="55CC73D2"/>
    <w:rsid w:val="55DA17B2"/>
    <w:rsid w:val="55DF0C2B"/>
    <w:rsid w:val="55FA0B35"/>
    <w:rsid w:val="55FA119A"/>
    <w:rsid w:val="55FE4FA0"/>
    <w:rsid w:val="55FF7BCA"/>
    <w:rsid w:val="56013147"/>
    <w:rsid w:val="5605228B"/>
    <w:rsid w:val="56085F32"/>
    <w:rsid w:val="561262ED"/>
    <w:rsid w:val="561E4DDF"/>
    <w:rsid w:val="5622235F"/>
    <w:rsid w:val="56400843"/>
    <w:rsid w:val="56490020"/>
    <w:rsid w:val="564A382F"/>
    <w:rsid w:val="56592792"/>
    <w:rsid w:val="5668784A"/>
    <w:rsid w:val="56740A05"/>
    <w:rsid w:val="569F547A"/>
    <w:rsid w:val="56AB0CF7"/>
    <w:rsid w:val="56AD5BCC"/>
    <w:rsid w:val="56C056E0"/>
    <w:rsid w:val="56C52CB7"/>
    <w:rsid w:val="56C95952"/>
    <w:rsid w:val="56D33066"/>
    <w:rsid w:val="56E6760F"/>
    <w:rsid w:val="56E80E23"/>
    <w:rsid w:val="57046922"/>
    <w:rsid w:val="571472A1"/>
    <w:rsid w:val="571760EF"/>
    <w:rsid w:val="571F0C30"/>
    <w:rsid w:val="57335A1F"/>
    <w:rsid w:val="573B502A"/>
    <w:rsid w:val="5747117C"/>
    <w:rsid w:val="575D2961"/>
    <w:rsid w:val="576C7BF1"/>
    <w:rsid w:val="577175FD"/>
    <w:rsid w:val="5777520F"/>
    <w:rsid w:val="57894A4B"/>
    <w:rsid w:val="579A6A58"/>
    <w:rsid w:val="57A05DAC"/>
    <w:rsid w:val="57A57248"/>
    <w:rsid w:val="57BB4DCE"/>
    <w:rsid w:val="57C312FD"/>
    <w:rsid w:val="57D65B3A"/>
    <w:rsid w:val="57D825E6"/>
    <w:rsid w:val="57DE1BC2"/>
    <w:rsid w:val="57DE6447"/>
    <w:rsid w:val="57E14E26"/>
    <w:rsid w:val="57E37DC1"/>
    <w:rsid w:val="57F51F09"/>
    <w:rsid w:val="58013AEE"/>
    <w:rsid w:val="580A6EFA"/>
    <w:rsid w:val="5829167B"/>
    <w:rsid w:val="5830783D"/>
    <w:rsid w:val="58395BC0"/>
    <w:rsid w:val="58434389"/>
    <w:rsid w:val="584926AC"/>
    <w:rsid w:val="58551681"/>
    <w:rsid w:val="585F1909"/>
    <w:rsid w:val="58685672"/>
    <w:rsid w:val="58841E83"/>
    <w:rsid w:val="58875D0A"/>
    <w:rsid w:val="58A85581"/>
    <w:rsid w:val="58BE7724"/>
    <w:rsid w:val="58CA3E2F"/>
    <w:rsid w:val="58E33E95"/>
    <w:rsid w:val="590A1DA2"/>
    <w:rsid w:val="591041CA"/>
    <w:rsid w:val="59260213"/>
    <w:rsid w:val="59316FAF"/>
    <w:rsid w:val="5941102D"/>
    <w:rsid w:val="595B2E66"/>
    <w:rsid w:val="59606540"/>
    <w:rsid w:val="596612B8"/>
    <w:rsid w:val="596D4045"/>
    <w:rsid w:val="59806D51"/>
    <w:rsid w:val="59854011"/>
    <w:rsid w:val="598822C5"/>
    <w:rsid w:val="599364EA"/>
    <w:rsid w:val="59951581"/>
    <w:rsid w:val="59B004CA"/>
    <w:rsid w:val="59B972E2"/>
    <w:rsid w:val="59BC7647"/>
    <w:rsid w:val="59CF06D3"/>
    <w:rsid w:val="59D44CEE"/>
    <w:rsid w:val="59EF2CBE"/>
    <w:rsid w:val="59F046B9"/>
    <w:rsid w:val="59FB4BE8"/>
    <w:rsid w:val="59FD7982"/>
    <w:rsid w:val="59FE036C"/>
    <w:rsid w:val="59FF35B4"/>
    <w:rsid w:val="5A110C39"/>
    <w:rsid w:val="5A22286F"/>
    <w:rsid w:val="5A3511FA"/>
    <w:rsid w:val="5A3541BE"/>
    <w:rsid w:val="5A3A5A90"/>
    <w:rsid w:val="5A420BA5"/>
    <w:rsid w:val="5A4A46D9"/>
    <w:rsid w:val="5A4B3A33"/>
    <w:rsid w:val="5A5729DF"/>
    <w:rsid w:val="5A676D65"/>
    <w:rsid w:val="5A871A61"/>
    <w:rsid w:val="5A9A37B2"/>
    <w:rsid w:val="5A9D4737"/>
    <w:rsid w:val="5AAF7F21"/>
    <w:rsid w:val="5AB16C5B"/>
    <w:rsid w:val="5AB851C0"/>
    <w:rsid w:val="5AB94067"/>
    <w:rsid w:val="5ABC4A13"/>
    <w:rsid w:val="5ABF5F70"/>
    <w:rsid w:val="5AC05BF0"/>
    <w:rsid w:val="5AC67D3B"/>
    <w:rsid w:val="5AD36949"/>
    <w:rsid w:val="5AE81624"/>
    <w:rsid w:val="5AEE3E3C"/>
    <w:rsid w:val="5B1A429C"/>
    <w:rsid w:val="5B4F0AAB"/>
    <w:rsid w:val="5B501C5C"/>
    <w:rsid w:val="5B584E6A"/>
    <w:rsid w:val="5B6C2D6A"/>
    <w:rsid w:val="5B943C70"/>
    <w:rsid w:val="5BA9796C"/>
    <w:rsid w:val="5BB85A77"/>
    <w:rsid w:val="5BB90387"/>
    <w:rsid w:val="5BC31F9B"/>
    <w:rsid w:val="5BC4133E"/>
    <w:rsid w:val="5BC6656B"/>
    <w:rsid w:val="5BD129F2"/>
    <w:rsid w:val="5BD347B4"/>
    <w:rsid w:val="5BE13139"/>
    <w:rsid w:val="5BEE2DDF"/>
    <w:rsid w:val="5C1A24BE"/>
    <w:rsid w:val="5C1A29AA"/>
    <w:rsid w:val="5C22616F"/>
    <w:rsid w:val="5C28188A"/>
    <w:rsid w:val="5C4232CF"/>
    <w:rsid w:val="5C56192A"/>
    <w:rsid w:val="5C575E1E"/>
    <w:rsid w:val="5C5F2B52"/>
    <w:rsid w:val="5C704C57"/>
    <w:rsid w:val="5C7D5CA1"/>
    <w:rsid w:val="5C800399"/>
    <w:rsid w:val="5C805BD1"/>
    <w:rsid w:val="5C8070E4"/>
    <w:rsid w:val="5C891F4F"/>
    <w:rsid w:val="5C8F1BBA"/>
    <w:rsid w:val="5C9E5181"/>
    <w:rsid w:val="5CA07747"/>
    <w:rsid w:val="5CA23B87"/>
    <w:rsid w:val="5CA7000F"/>
    <w:rsid w:val="5CB30A08"/>
    <w:rsid w:val="5CB743F9"/>
    <w:rsid w:val="5CB85BA8"/>
    <w:rsid w:val="5CC71E5A"/>
    <w:rsid w:val="5CC869AB"/>
    <w:rsid w:val="5CCB6F4A"/>
    <w:rsid w:val="5CDE0169"/>
    <w:rsid w:val="5CE60DF9"/>
    <w:rsid w:val="5CED6190"/>
    <w:rsid w:val="5CF108DF"/>
    <w:rsid w:val="5CF55B90"/>
    <w:rsid w:val="5D024EA6"/>
    <w:rsid w:val="5D042070"/>
    <w:rsid w:val="5D152781"/>
    <w:rsid w:val="5D291EC2"/>
    <w:rsid w:val="5D292B67"/>
    <w:rsid w:val="5D324AD4"/>
    <w:rsid w:val="5D3269B5"/>
    <w:rsid w:val="5D351CF6"/>
    <w:rsid w:val="5D410CB4"/>
    <w:rsid w:val="5D44590F"/>
    <w:rsid w:val="5D4F73C1"/>
    <w:rsid w:val="5D530128"/>
    <w:rsid w:val="5D805774"/>
    <w:rsid w:val="5D89070C"/>
    <w:rsid w:val="5D9B3D9F"/>
    <w:rsid w:val="5DB04079"/>
    <w:rsid w:val="5DB623CB"/>
    <w:rsid w:val="5DBA537A"/>
    <w:rsid w:val="5DBD4EB1"/>
    <w:rsid w:val="5DD83C04"/>
    <w:rsid w:val="5DDE1391"/>
    <w:rsid w:val="5DF43B3E"/>
    <w:rsid w:val="5DFC4B25"/>
    <w:rsid w:val="5E204475"/>
    <w:rsid w:val="5E257379"/>
    <w:rsid w:val="5E276FDE"/>
    <w:rsid w:val="5E2C368E"/>
    <w:rsid w:val="5E2D4BC2"/>
    <w:rsid w:val="5E3452A8"/>
    <w:rsid w:val="5E35651C"/>
    <w:rsid w:val="5E455650"/>
    <w:rsid w:val="5E48773B"/>
    <w:rsid w:val="5E5A675C"/>
    <w:rsid w:val="5E687C70"/>
    <w:rsid w:val="5E6C46E6"/>
    <w:rsid w:val="5E6D01F4"/>
    <w:rsid w:val="5E751504"/>
    <w:rsid w:val="5E7A1139"/>
    <w:rsid w:val="5E8D7495"/>
    <w:rsid w:val="5E9A3CC2"/>
    <w:rsid w:val="5EAC2CE3"/>
    <w:rsid w:val="5EAC6A18"/>
    <w:rsid w:val="5EAD4EE1"/>
    <w:rsid w:val="5EB9022B"/>
    <w:rsid w:val="5EBF6480"/>
    <w:rsid w:val="5EC42D5A"/>
    <w:rsid w:val="5EC82E34"/>
    <w:rsid w:val="5ED57EC2"/>
    <w:rsid w:val="5EDD4FAC"/>
    <w:rsid w:val="5EF06C4F"/>
    <w:rsid w:val="5EF84C7F"/>
    <w:rsid w:val="5F1776B2"/>
    <w:rsid w:val="5F20741E"/>
    <w:rsid w:val="5F247F22"/>
    <w:rsid w:val="5F2C3231"/>
    <w:rsid w:val="5F2E6734"/>
    <w:rsid w:val="5F3E754D"/>
    <w:rsid w:val="5F4750E0"/>
    <w:rsid w:val="5F5246C1"/>
    <w:rsid w:val="5F5A3632"/>
    <w:rsid w:val="5F5D04C3"/>
    <w:rsid w:val="5F7238DD"/>
    <w:rsid w:val="5F7D203D"/>
    <w:rsid w:val="5F875EC9"/>
    <w:rsid w:val="5F890648"/>
    <w:rsid w:val="5FA03167"/>
    <w:rsid w:val="5FA53396"/>
    <w:rsid w:val="5FA911F0"/>
    <w:rsid w:val="5FB07A8E"/>
    <w:rsid w:val="5FBD2B20"/>
    <w:rsid w:val="5FC0703B"/>
    <w:rsid w:val="5FC25458"/>
    <w:rsid w:val="5FD44315"/>
    <w:rsid w:val="5FE44DE5"/>
    <w:rsid w:val="5FE813E6"/>
    <w:rsid w:val="5FF6617D"/>
    <w:rsid w:val="6003349A"/>
    <w:rsid w:val="60034C00"/>
    <w:rsid w:val="60052F14"/>
    <w:rsid w:val="60076417"/>
    <w:rsid w:val="600A2C1F"/>
    <w:rsid w:val="6036050B"/>
    <w:rsid w:val="60441AFF"/>
    <w:rsid w:val="60533983"/>
    <w:rsid w:val="60596221"/>
    <w:rsid w:val="60660E92"/>
    <w:rsid w:val="6074484D"/>
    <w:rsid w:val="608F2664"/>
    <w:rsid w:val="608F2E78"/>
    <w:rsid w:val="609355AC"/>
    <w:rsid w:val="60991209"/>
    <w:rsid w:val="60A2401D"/>
    <w:rsid w:val="60A24097"/>
    <w:rsid w:val="60A42E1E"/>
    <w:rsid w:val="60A81824"/>
    <w:rsid w:val="60A966F0"/>
    <w:rsid w:val="60B47835"/>
    <w:rsid w:val="60BA2095"/>
    <w:rsid w:val="60C27861"/>
    <w:rsid w:val="60D36EB3"/>
    <w:rsid w:val="60D422E8"/>
    <w:rsid w:val="60D76369"/>
    <w:rsid w:val="60DC3C8A"/>
    <w:rsid w:val="60E31B4B"/>
    <w:rsid w:val="60FE6B5E"/>
    <w:rsid w:val="610905C4"/>
    <w:rsid w:val="610C67BF"/>
    <w:rsid w:val="611B1A29"/>
    <w:rsid w:val="612A6997"/>
    <w:rsid w:val="612E0C6F"/>
    <w:rsid w:val="613C3C75"/>
    <w:rsid w:val="613C4296"/>
    <w:rsid w:val="61454B64"/>
    <w:rsid w:val="61457124"/>
    <w:rsid w:val="614D4195"/>
    <w:rsid w:val="61536F1B"/>
    <w:rsid w:val="61554C18"/>
    <w:rsid w:val="615C0E12"/>
    <w:rsid w:val="615F2100"/>
    <w:rsid w:val="616333C2"/>
    <w:rsid w:val="616C4DE5"/>
    <w:rsid w:val="616C6FE3"/>
    <w:rsid w:val="616D2E89"/>
    <w:rsid w:val="617B75FE"/>
    <w:rsid w:val="617C507F"/>
    <w:rsid w:val="61804119"/>
    <w:rsid w:val="61875457"/>
    <w:rsid w:val="61974F0A"/>
    <w:rsid w:val="61A813C7"/>
    <w:rsid w:val="61B54E59"/>
    <w:rsid w:val="61C45941"/>
    <w:rsid w:val="61C9247D"/>
    <w:rsid w:val="61CE0A64"/>
    <w:rsid w:val="61D50F91"/>
    <w:rsid w:val="61D76693"/>
    <w:rsid w:val="61D848CC"/>
    <w:rsid w:val="61D95419"/>
    <w:rsid w:val="61DC6BAA"/>
    <w:rsid w:val="61F2255A"/>
    <w:rsid w:val="61FB562B"/>
    <w:rsid w:val="61FB658B"/>
    <w:rsid w:val="62340FAB"/>
    <w:rsid w:val="62355DD2"/>
    <w:rsid w:val="623D288E"/>
    <w:rsid w:val="623F263D"/>
    <w:rsid w:val="624D40D3"/>
    <w:rsid w:val="625008DB"/>
    <w:rsid w:val="62506880"/>
    <w:rsid w:val="626165F5"/>
    <w:rsid w:val="626621DD"/>
    <w:rsid w:val="62714880"/>
    <w:rsid w:val="62762D19"/>
    <w:rsid w:val="628D611E"/>
    <w:rsid w:val="62915419"/>
    <w:rsid w:val="629657CC"/>
    <w:rsid w:val="62A072E9"/>
    <w:rsid w:val="62A44F57"/>
    <w:rsid w:val="62BE6B64"/>
    <w:rsid w:val="62CB3EA0"/>
    <w:rsid w:val="62D1212E"/>
    <w:rsid w:val="62DE30E7"/>
    <w:rsid w:val="62E90308"/>
    <w:rsid w:val="62E95063"/>
    <w:rsid w:val="62EE3C5C"/>
    <w:rsid w:val="62F91AE4"/>
    <w:rsid w:val="63085B8C"/>
    <w:rsid w:val="630D5B88"/>
    <w:rsid w:val="63107694"/>
    <w:rsid w:val="63184AA0"/>
    <w:rsid w:val="63222E31"/>
    <w:rsid w:val="63251941"/>
    <w:rsid w:val="632E7557"/>
    <w:rsid w:val="633330CC"/>
    <w:rsid w:val="63414027"/>
    <w:rsid w:val="634258E5"/>
    <w:rsid w:val="634642EB"/>
    <w:rsid w:val="634A4EA4"/>
    <w:rsid w:val="63554905"/>
    <w:rsid w:val="635B0627"/>
    <w:rsid w:val="635E3896"/>
    <w:rsid w:val="63631344"/>
    <w:rsid w:val="636B232C"/>
    <w:rsid w:val="6377469A"/>
    <w:rsid w:val="63790C62"/>
    <w:rsid w:val="638379D3"/>
    <w:rsid w:val="638C75A0"/>
    <w:rsid w:val="63A056B7"/>
    <w:rsid w:val="63B16B73"/>
    <w:rsid w:val="63CD4F9A"/>
    <w:rsid w:val="63CD6012"/>
    <w:rsid w:val="63D07143"/>
    <w:rsid w:val="63E257EE"/>
    <w:rsid w:val="63F11C63"/>
    <w:rsid w:val="63FD6018"/>
    <w:rsid w:val="640376B8"/>
    <w:rsid w:val="64091E2A"/>
    <w:rsid w:val="64151F2C"/>
    <w:rsid w:val="64161D67"/>
    <w:rsid w:val="64224922"/>
    <w:rsid w:val="642C6B67"/>
    <w:rsid w:val="643C1380"/>
    <w:rsid w:val="64642544"/>
    <w:rsid w:val="646E655C"/>
    <w:rsid w:val="64706357"/>
    <w:rsid w:val="6470689F"/>
    <w:rsid w:val="64763C76"/>
    <w:rsid w:val="647744FE"/>
    <w:rsid w:val="64AC073A"/>
    <w:rsid w:val="64AE5E3B"/>
    <w:rsid w:val="64B22642"/>
    <w:rsid w:val="64B543E2"/>
    <w:rsid w:val="64BE540F"/>
    <w:rsid w:val="64BE552E"/>
    <w:rsid w:val="64C71B68"/>
    <w:rsid w:val="64C81C22"/>
    <w:rsid w:val="64CB7DFC"/>
    <w:rsid w:val="64D6083E"/>
    <w:rsid w:val="64DC5686"/>
    <w:rsid w:val="64FB6135"/>
    <w:rsid w:val="650755D0"/>
    <w:rsid w:val="650877CF"/>
    <w:rsid w:val="652148E1"/>
    <w:rsid w:val="652B1B79"/>
    <w:rsid w:val="65375D30"/>
    <w:rsid w:val="65432DCB"/>
    <w:rsid w:val="65440CC7"/>
    <w:rsid w:val="65496B8E"/>
    <w:rsid w:val="654E1586"/>
    <w:rsid w:val="65505CF7"/>
    <w:rsid w:val="65657B68"/>
    <w:rsid w:val="656B1A72"/>
    <w:rsid w:val="656E2178"/>
    <w:rsid w:val="65732701"/>
    <w:rsid w:val="65861A1B"/>
    <w:rsid w:val="658B7132"/>
    <w:rsid w:val="65912A34"/>
    <w:rsid w:val="659506B8"/>
    <w:rsid w:val="659B4AF6"/>
    <w:rsid w:val="65B35048"/>
    <w:rsid w:val="65B705C0"/>
    <w:rsid w:val="65BF14FC"/>
    <w:rsid w:val="65DA2FAF"/>
    <w:rsid w:val="65DD7D62"/>
    <w:rsid w:val="65E24F34"/>
    <w:rsid w:val="65E475C4"/>
    <w:rsid w:val="65E5298B"/>
    <w:rsid w:val="65E65A2C"/>
    <w:rsid w:val="65FD355F"/>
    <w:rsid w:val="66003BA3"/>
    <w:rsid w:val="66075173"/>
    <w:rsid w:val="66135703"/>
    <w:rsid w:val="66166687"/>
    <w:rsid w:val="661B1D2F"/>
    <w:rsid w:val="661F4D98"/>
    <w:rsid w:val="6648684B"/>
    <w:rsid w:val="66510C2D"/>
    <w:rsid w:val="66613283"/>
    <w:rsid w:val="66622FA1"/>
    <w:rsid w:val="6666648B"/>
    <w:rsid w:val="6671351E"/>
    <w:rsid w:val="66740350"/>
    <w:rsid w:val="667661A2"/>
    <w:rsid w:val="667E2F58"/>
    <w:rsid w:val="669530D9"/>
    <w:rsid w:val="669C5E64"/>
    <w:rsid w:val="669E01D6"/>
    <w:rsid w:val="669F71AE"/>
    <w:rsid w:val="66A57C98"/>
    <w:rsid w:val="66AD5901"/>
    <w:rsid w:val="66BB049A"/>
    <w:rsid w:val="66EE7D32"/>
    <w:rsid w:val="66FA5266"/>
    <w:rsid w:val="671059A6"/>
    <w:rsid w:val="671962B5"/>
    <w:rsid w:val="67215BC4"/>
    <w:rsid w:val="672755CB"/>
    <w:rsid w:val="672C2A5E"/>
    <w:rsid w:val="672E7154"/>
    <w:rsid w:val="67303B1F"/>
    <w:rsid w:val="6730690D"/>
    <w:rsid w:val="6738644B"/>
    <w:rsid w:val="673E5C26"/>
    <w:rsid w:val="6740432D"/>
    <w:rsid w:val="674A6541"/>
    <w:rsid w:val="6750098D"/>
    <w:rsid w:val="675A398D"/>
    <w:rsid w:val="676A1CBD"/>
    <w:rsid w:val="676D1EF9"/>
    <w:rsid w:val="67790AF7"/>
    <w:rsid w:val="677C3867"/>
    <w:rsid w:val="67903975"/>
    <w:rsid w:val="67925990"/>
    <w:rsid w:val="67A37331"/>
    <w:rsid w:val="67B124C4"/>
    <w:rsid w:val="67B60F3A"/>
    <w:rsid w:val="67CA4AF9"/>
    <w:rsid w:val="67D97DBA"/>
    <w:rsid w:val="67DE099A"/>
    <w:rsid w:val="67E33780"/>
    <w:rsid w:val="67E433FF"/>
    <w:rsid w:val="67E979D5"/>
    <w:rsid w:val="67EB4189"/>
    <w:rsid w:val="67EF5014"/>
    <w:rsid w:val="67F85DF9"/>
    <w:rsid w:val="67FD6528"/>
    <w:rsid w:val="680726BA"/>
    <w:rsid w:val="68174749"/>
    <w:rsid w:val="681B67AC"/>
    <w:rsid w:val="681D4A99"/>
    <w:rsid w:val="681F268D"/>
    <w:rsid w:val="68332184"/>
    <w:rsid w:val="683D402B"/>
    <w:rsid w:val="684840A7"/>
    <w:rsid w:val="684B40A8"/>
    <w:rsid w:val="68514BBF"/>
    <w:rsid w:val="686333D6"/>
    <w:rsid w:val="68665F57"/>
    <w:rsid w:val="686F52C0"/>
    <w:rsid w:val="6870070A"/>
    <w:rsid w:val="68754EED"/>
    <w:rsid w:val="68851784"/>
    <w:rsid w:val="68953223"/>
    <w:rsid w:val="689C6431"/>
    <w:rsid w:val="68B37291"/>
    <w:rsid w:val="68BB161B"/>
    <w:rsid w:val="68D4658B"/>
    <w:rsid w:val="68DF738F"/>
    <w:rsid w:val="68E11616"/>
    <w:rsid w:val="68E34E7B"/>
    <w:rsid w:val="68E82F29"/>
    <w:rsid w:val="690470DA"/>
    <w:rsid w:val="691050EB"/>
    <w:rsid w:val="69156FF4"/>
    <w:rsid w:val="691E46A5"/>
    <w:rsid w:val="69274D10"/>
    <w:rsid w:val="692B7CD1"/>
    <w:rsid w:val="692D08A7"/>
    <w:rsid w:val="693D2737"/>
    <w:rsid w:val="693F5C3A"/>
    <w:rsid w:val="6943212F"/>
    <w:rsid w:val="694A0EF8"/>
    <w:rsid w:val="694A2E87"/>
    <w:rsid w:val="695238CF"/>
    <w:rsid w:val="696029A6"/>
    <w:rsid w:val="69771617"/>
    <w:rsid w:val="698A2836"/>
    <w:rsid w:val="69945B39"/>
    <w:rsid w:val="69967AC4"/>
    <w:rsid w:val="69982BA6"/>
    <w:rsid w:val="699D5FD4"/>
    <w:rsid w:val="69B334A6"/>
    <w:rsid w:val="69B422E3"/>
    <w:rsid w:val="69B920A1"/>
    <w:rsid w:val="69BD5BED"/>
    <w:rsid w:val="69C21BC3"/>
    <w:rsid w:val="69C438FF"/>
    <w:rsid w:val="69C72372"/>
    <w:rsid w:val="69CD3032"/>
    <w:rsid w:val="69D05529"/>
    <w:rsid w:val="69E132A1"/>
    <w:rsid w:val="69EE5285"/>
    <w:rsid w:val="6A063770"/>
    <w:rsid w:val="6A0A2D85"/>
    <w:rsid w:val="6A121AA9"/>
    <w:rsid w:val="6A154662"/>
    <w:rsid w:val="6A2F6186"/>
    <w:rsid w:val="6A3E5B5D"/>
    <w:rsid w:val="6A410BA0"/>
    <w:rsid w:val="6A482602"/>
    <w:rsid w:val="6A4A0C69"/>
    <w:rsid w:val="6A563204"/>
    <w:rsid w:val="6A5D5DBC"/>
    <w:rsid w:val="6A5E280F"/>
    <w:rsid w:val="6A694423"/>
    <w:rsid w:val="6A720BFF"/>
    <w:rsid w:val="6A752706"/>
    <w:rsid w:val="6A911AA9"/>
    <w:rsid w:val="6AAD450A"/>
    <w:rsid w:val="6AB50838"/>
    <w:rsid w:val="6ABF4906"/>
    <w:rsid w:val="6ABF6F65"/>
    <w:rsid w:val="6AC224A6"/>
    <w:rsid w:val="6AC22533"/>
    <w:rsid w:val="6AC45A36"/>
    <w:rsid w:val="6AC866AF"/>
    <w:rsid w:val="6ACA7F4C"/>
    <w:rsid w:val="6ACC66C6"/>
    <w:rsid w:val="6AD227CD"/>
    <w:rsid w:val="6AD60D70"/>
    <w:rsid w:val="6AEA5C76"/>
    <w:rsid w:val="6AF07B7F"/>
    <w:rsid w:val="6AF830B1"/>
    <w:rsid w:val="6B080AA9"/>
    <w:rsid w:val="6B0B2ED8"/>
    <w:rsid w:val="6B0E29B2"/>
    <w:rsid w:val="6B2037A4"/>
    <w:rsid w:val="6B277D25"/>
    <w:rsid w:val="6B2F2B54"/>
    <w:rsid w:val="6B356FEF"/>
    <w:rsid w:val="6B48020E"/>
    <w:rsid w:val="6B697849"/>
    <w:rsid w:val="6B6A6613"/>
    <w:rsid w:val="6B6B74C9"/>
    <w:rsid w:val="6B6C07CE"/>
    <w:rsid w:val="6B6E3CD1"/>
    <w:rsid w:val="6B707D60"/>
    <w:rsid w:val="6B794974"/>
    <w:rsid w:val="6B895E7F"/>
    <w:rsid w:val="6B994D96"/>
    <w:rsid w:val="6B9A4795"/>
    <w:rsid w:val="6BB563CD"/>
    <w:rsid w:val="6BB95370"/>
    <w:rsid w:val="6BCB07E7"/>
    <w:rsid w:val="6BD93380"/>
    <w:rsid w:val="6C14445E"/>
    <w:rsid w:val="6C154E66"/>
    <w:rsid w:val="6C1C72EC"/>
    <w:rsid w:val="6C201FE7"/>
    <w:rsid w:val="6C2D2E8D"/>
    <w:rsid w:val="6C4367F5"/>
    <w:rsid w:val="6C56138E"/>
    <w:rsid w:val="6C562F8E"/>
    <w:rsid w:val="6C573BBF"/>
    <w:rsid w:val="6C662BE4"/>
    <w:rsid w:val="6C6D085C"/>
    <w:rsid w:val="6C6F490C"/>
    <w:rsid w:val="6C710955"/>
    <w:rsid w:val="6C7553FD"/>
    <w:rsid w:val="6CC2204A"/>
    <w:rsid w:val="6CC30D7F"/>
    <w:rsid w:val="6CD614C6"/>
    <w:rsid w:val="6CEF5734"/>
    <w:rsid w:val="6CF144B9"/>
    <w:rsid w:val="6CF56FD0"/>
    <w:rsid w:val="6D12495D"/>
    <w:rsid w:val="6D162D88"/>
    <w:rsid w:val="6D1B65FB"/>
    <w:rsid w:val="6D3368F2"/>
    <w:rsid w:val="6D337FCB"/>
    <w:rsid w:val="6D362872"/>
    <w:rsid w:val="6D375C8C"/>
    <w:rsid w:val="6D3D3029"/>
    <w:rsid w:val="6D520182"/>
    <w:rsid w:val="6D60667F"/>
    <w:rsid w:val="6D68150D"/>
    <w:rsid w:val="6D6C31E6"/>
    <w:rsid w:val="6D70219D"/>
    <w:rsid w:val="6D7841DA"/>
    <w:rsid w:val="6D7E41F1"/>
    <w:rsid w:val="6D991CDC"/>
    <w:rsid w:val="6D9A524B"/>
    <w:rsid w:val="6D9C2C61"/>
    <w:rsid w:val="6DA70FF2"/>
    <w:rsid w:val="6DAE0B60"/>
    <w:rsid w:val="6DC36A00"/>
    <w:rsid w:val="6DC8062D"/>
    <w:rsid w:val="6DD97902"/>
    <w:rsid w:val="6DDC1881"/>
    <w:rsid w:val="6DEA4515"/>
    <w:rsid w:val="6DEE4FE9"/>
    <w:rsid w:val="6DF94DFF"/>
    <w:rsid w:val="6E0B7C20"/>
    <w:rsid w:val="6E103B09"/>
    <w:rsid w:val="6E110FAB"/>
    <w:rsid w:val="6E287775"/>
    <w:rsid w:val="6E2C5730"/>
    <w:rsid w:val="6E364213"/>
    <w:rsid w:val="6E3F3AEF"/>
    <w:rsid w:val="6E465678"/>
    <w:rsid w:val="6E4870B7"/>
    <w:rsid w:val="6E5A4795"/>
    <w:rsid w:val="6E631045"/>
    <w:rsid w:val="6E696B31"/>
    <w:rsid w:val="6E725242"/>
    <w:rsid w:val="6E7F6AD7"/>
    <w:rsid w:val="6E911CBD"/>
    <w:rsid w:val="6E9717A9"/>
    <w:rsid w:val="6E992F57"/>
    <w:rsid w:val="6E9B2B83"/>
    <w:rsid w:val="6EB0432E"/>
    <w:rsid w:val="6EB86FDE"/>
    <w:rsid w:val="6EBA5637"/>
    <w:rsid w:val="6EDD466C"/>
    <w:rsid w:val="6F0E50C1"/>
    <w:rsid w:val="6F172B32"/>
    <w:rsid w:val="6F184749"/>
    <w:rsid w:val="6F1B2371"/>
    <w:rsid w:val="6F1F0BDE"/>
    <w:rsid w:val="6F2170FA"/>
    <w:rsid w:val="6F2C3DAF"/>
    <w:rsid w:val="6F3F219C"/>
    <w:rsid w:val="6F466928"/>
    <w:rsid w:val="6F61609D"/>
    <w:rsid w:val="6F656DD1"/>
    <w:rsid w:val="6F690F94"/>
    <w:rsid w:val="6F8127DC"/>
    <w:rsid w:val="6F822E81"/>
    <w:rsid w:val="6F881507"/>
    <w:rsid w:val="6F8F6914"/>
    <w:rsid w:val="6F900EB0"/>
    <w:rsid w:val="6F9B2726"/>
    <w:rsid w:val="6F9D37BB"/>
    <w:rsid w:val="6FA66539"/>
    <w:rsid w:val="6FA87E88"/>
    <w:rsid w:val="6FAD1EDF"/>
    <w:rsid w:val="6FC438EB"/>
    <w:rsid w:val="6FCB0CF7"/>
    <w:rsid w:val="6FCD7A7D"/>
    <w:rsid w:val="6FCF7734"/>
    <w:rsid w:val="6FDD7EDD"/>
    <w:rsid w:val="6FE34A25"/>
    <w:rsid w:val="6FE80C97"/>
    <w:rsid w:val="6FEB231F"/>
    <w:rsid w:val="6FF33A0B"/>
    <w:rsid w:val="701A11C1"/>
    <w:rsid w:val="703E1036"/>
    <w:rsid w:val="703F778A"/>
    <w:rsid w:val="704D384F"/>
    <w:rsid w:val="706D2A7F"/>
    <w:rsid w:val="7072521D"/>
    <w:rsid w:val="70744DA7"/>
    <w:rsid w:val="707C4CA8"/>
    <w:rsid w:val="707D2DEF"/>
    <w:rsid w:val="7091206C"/>
    <w:rsid w:val="70940B53"/>
    <w:rsid w:val="70A42A8F"/>
    <w:rsid w:val="70A94E62"/>
    <w:rsid w:val="70BD0B88"/>
    <w:rsid w:val="70CA6B6E"/>
    <w:rsid w:val="70D005A5"/>
    <w:rsid w:val="70DC13F2"/>
    <w:rsid w:val="70E10F37"/>
    <w:rsid w:val="70E57245"/>
    <w:rsid w:val="70EF55D6"/>
    <w:rsid w:val="70F640AA"/>
    <w:rsid w:val="70FE236E"/>
    <w:rsid w:val="710342FF"/>
    <w:rsid w:val="7105777A"/>
    <w:rsid w:val="71247090"/>
    <w:rsid w:val="71317D54"/>
    <w:rsid w:val="71397DD3"/>
    <w:rsid w:val="713B627A"/>
    <w:rsid w:val="714A3C3D"/>
    <w:rsid w:val="715E1457"/>
    <w:rsid w:val="716A2D22"/>
    <w:rsid w:val="717A49A7"/>
    <w:rsid w:val="718B5FEA"/>
    <w:rsid w:val="719A5A6F"/>
    <w:rsid w:val="71A37ADC"/>
    <w:rsid w:val="71AE756C"/>
    <w:rsid w:val="71B21863"/>
    <w:rsid w:val="71C132A7"/>
    <w:rsid w:val="71C1592F"/>
    <w:rsid w:val="71CA613F"/>
    <w:rsid w:val="71CD4FC5"/>
    <w:rsid w:val="71D73EDF"/>
    <w:rsid w:val="71D8276B"/>
    <w:rsid w:val="71DC3F5A"/>
    <w:rsid w:val="71DE2CE0"/>
    <w:rsid w:val="71E92C2F"/>
    <w:rsid w:val="71EE2679"/>
    <w:rsid w:val="71F5279C"/>
    <w:rsid w:val="720715C3"/>
    <w:rsid w:val="720819F8"/>
    <w:rsid w:val="720D6360"/>
    <w:rsid w:val="721A4464"/>
    <w:rsid w:val="721C0117"/>
    <w:rsid w:val="723053BD"/>
    <w:rsid w:val="72310816"/>
    <w:rsid w:val="72326EE7"/>
    <w:rsid w:val="72372A64"/>
    <w:rsid w:val="723B01C0"/>
    <w:rsid w:val="723C6602"/>
    <w:rsid w:val="724573D2"/>
    <w:rsid w:val="724D0D96"/>
    <w:rsid w:val="726008B7"/>
    <w:rsid w:val="72615771"/>
    <w:rsid w:val="72795C67"/>
    <w:rsid w:val="728359ED"/>
    <w:rsid w:val="728D4737"/>
    <w:rsid w:val="72920205"/>
    <w:rsid w:val="72C721DB"/>
    <w:rsid w:val="72C93C83"/>
    <w:rsid w:val="72D16FB6"/>
    <w:rsid w:val="72D75CD9"/>
    <w:rsid w:val="72D97987"/>
    <w:rsid w:val="72E36D0B"/>
    <w:rsid w:val="72ED672C"/>
    <w:rsid w:val="72F86CA2"/>
    <w:rsid w:val="72FF2DB8"/>
    <w:rsid w:val="72FF663B"/>
    <w:rsid w:val="730D7B4F"/>
    <w:rsid w:val="730E55D1"/>
    <w:rsid w:val="73131A58"/>
    <w:rsid w:val="731474DA"/>
    <w:rsid w:val="731D2CF0"/>
    <w:rsid w:val="731F10EE"/>
    <w:rsid w:val="73265A67"/>
    <w:rsid w:val="732A747F"/>
    <w:rsid w:val="732B7499"/>
    <w:rsid w:val="73372583"/>
    <w:rsid w:val="7339500A"/>
    <w:rsid w:val="73426D24"/>
    <w:rsid w:val="73495099"/>
    <w:rsid w:val="73533E6A"/>
    <w:rsid w:val="735B2D57"/>
    <w:rsid w:val="73601B58"/>
    <w:rsid w:val="737A002A"/>
    <w:rsid w:val="7383558F"/>
    <w:rsid w:val="73881A18"/>
    <w:rsid w:val="739410AD"/>
    <w:rsid w:val="739C06B8"/>
    <w:rsid w:val="73A511D0"/>
    <w:rsid w:val="73A644E5"/>
    <w:rsid w:val="73B236BB"/>
    <w:rsid w:val="73B3145E"/>
    <w:rsid w:val="73C70602"/>
    <w:rsid w:val="73CC7691"/>
    <w:rsid w:val="73DA3F2B"/>
    <w:rsid w:val="73DF2088"/>
    <w:rsid w:val="73ED278A"/>
    <w:rsid w:val="73F23645"/>
    <w:rsid w:val="73F65E5C"/>
    <w:rsid w:val="74025EA3"/>
    <w:rsid w:val="74031361"/>
    <w:rsid w:val="74240631"/>
    <w:rsid w:val="742C5DA8"/>
    <w:rsid w:val="74356B3E"/>
    <w:rsid w:val="74377F90"/>
    <w:rsid w:val="743A4F6A"/>
    <w:rsid w:val="744530CF"/>
    <w:rsid w:val="74464B67"/>
    <w:rsid w:val="74584B3F"/>
    <w:rsid w:val="746B330F"/>
    <w:rsid w:val="746F1D15"/>
    <w:rsid w:val="74773AD2"/>
    <w:rsid w:val="74871E1B"/>
    <w:rsid w:val="748914F4"/>
    <w:rsid w:val="7492574D"/>
    <w:rsid w:val="74A05D3B"/>
    <w:rsid w:val="74AA3C38"/>
    <w:rsid w:val="74AE106E"/>
    <w:rsid w:val="74B64688"/>
    <w:rsid w:val="74CC7AE9"/>
    <w:rsid w:val="74D05231"/>
    <w:rsid w:val="74D80076"/>
    <w:rsid w:val="74DD7523"/>
    <w:rsid w:val="74E82EC6"/>
    <w:rsid w:val="74E833F3"/>
    <w:rsid w:val="74F26A6B"/>
    <w:rsid w:val="74FF02FF"/>
    <w:rsid w:val="74FF3B82"/>
    <w:rsid w:val="750A6F1E"/>
    <w:rsid w:val="751834AF"/>
    <w:rsid w:val="7522622B"/>
    <w:rsid w:val="75327854"/>
    <w:rsid w:val="75381A33"/>
    <w:rsid w:val="753B0164"/>
    <w:rsid w:val="753B21E8"/>
    <w:rsid w:val="7553580B"/>
    <w:rsid w:val="75572514"/>
    <w:rsid w:val="7560584B"/>
    <w:rsid w:val="756722AD"/>
    <w:rsid w:val="756B0CB3"/>
    <w:rsid w:val="75700663"/>
    <w:rsid w:val="7571145B"/>
    <w:rsid w:val="75763DA0"/>
    <w:rsid w:val="75764AC6"/>
    <w:rsid w:val="757F3A75"/>
    <w:rsid w:val="75842576"/>
    <w:rsid w:val="759130F1"/>
    <w:rsid w:val="759F2407"/>
    <w:rsid w:val="75AD2E60"/>
    <w:rsid w:val="75B47B60"/>
    <w:rsid w:val="75BD5332"/>
    <w:rsid w:val="75BE4EBA"/>
    <w:rsid w:val="75BF2F80"/>
    <w:rsid w:val="75C808E2"/>
    <w:rsid w:val="75D411D5"/>
    <w:rsid w:val="75DD70F5"/>
    <w:rsid w:val="75E76FA0"/>
    <w:rsid w:val="75F157CE"/>
    <w:rsid w:val="7603432A"/>
    <w:rsid w:val="7604179F"/>
    <w:rsid w:val="760600F6"/>
    <w:rsid w:val="760807B1"/>
    <w:rsid w:val="76094035"/>
    <w:rsid w:val="761942CF"/>
    <w:rsid w:val="761E6860"/>
    <w:rsid w:val="762D59A1"/>
    <w:rsid w:val="762E4274"/>
    <w:rsid w:val="76365DFD"/>
    <w:rsid w:val="763B4A75"/>
    <w:rsid w:val="763D52CE"/>
    <w:rsid w:val="763E7B76"/>
    <w:rsid w:val="764165DE"/>
    <w:rsid w:val="7649375C"/>
    <w:rsid w:val="764B5DA3"/>
    <w:rsid w:val="765319D7"/>
    <w:rsid w:val="7654213A"/>
    <w:rsid w:val="76547AF8"/>
    <w:rsid w:val="765870A2"/>
    <w:rsid w:val="76611E89"/>
    <w:rsid w:val="767B6735"/>
    <w:rsid w:val="76867D4E"/>
    <w:rsid w:val="768A6E35"/>
    <w:rsid w:val="76912C94"/>
    <w:rsid w:val="76936197"/>
    <w:rsid w:val="76A706E2"/>
    <w:rsid w:val="76B24BBF"/>
    <w:rsid w:val="76BA6056"/>
    <w:rsid w:val="76C0034F"/>
    <w:rsid w:val="76CD5077"/>
    <w:rsid w:val="76D05FFC"/>
    <w:rsid w:val="76D73576"/>
    <w:rsid w:val="76EA6BA6"/>
    <w:rsid w:val="76ED7B2A"/>
    <w:rsid w:val="76F33CDA"/>
    <w:rsid w:val="76F72471"/>
    <w:rsid w:val="76FB2034"/>
    <w:rsid w:val="77035551"/>
    <w:rsid w:val="77190F7B"/>
    <w:rsid w:val="771976F5"/>
    <w:rsid w:val="772D6395"/>
    <w:rsid w:val="772E60A3"/>
    <w:rsid w:val="773C1791"/>
    <w:rsid w:val="774178F3"/>
    <w:rsid w:val="77425036"/>
    <w:rsid w:val="775368EB"/>
    <w:rsid w:val="775F23E8"/>
    <w:rsid w:val="775F3697"/>
    <w:rsid w:val="77756514"/>
    <w:rsid w:val="7776200D"/>
    <w:rsid w:val="777C3735"/>
    <w:rsid w:val="77802581"/>
    <w:rsid w:val="778C36C4"/>
    <w:rsid w:val="77907953"/>
    <w:rsid w:val="77A1504F"/>
    <w:rsid w:val="77A31017"/>
    <w:rsid w:val="77A458E3"/>
    <w:rsid w:val="77B638ED"/>
    <w:rsid w:val="77C36889"/>
    <w:rsid w:val="77C74342"/>
    <w:rsid w:val="77DB3F30"/>
    <w:rsid w:val="77E27E3D"/>
    <w:rsid w:val="77E3726D"/>
    <w:rsid w:val="77F4117B"/>
    <w:rsid w:val="77F74620"/>
    <w:rsid w:val="78045524"/>
    <w:rsid w:val="780A4A62"/>
    <w:rsid w:val="7828483B"/>
    <w:rsid w:val="7842316C"/>
    <w:rsid w:val="78493AF8"/>
    <w:rsid w:val="784A5868"/>
    <w:rsid w:val="784D0ADB"/>
    <w:rsid w:val="785F7F87"/>
    <w:rsid w:val="786C5A1D"/>
    <w:rsid w:val="78707644"/>
    <w:rsid w:val="78755B75"/>
    <w:rsid w:val="78827E3C"/>
    <w:rsid w:val="788605F5"/>
    <w:rsid w:val="788B46CA"/>
    <w:rsid w:val="788C0E48"/>
    <w:rsid w:val="789101DB"/>
    <w:rsid w:val="78952465"/>
    <w:rsid w:val="78972B36"/>
    <w:rsid w:val="789F737E"/>
    <w:rsid w:val="78A14715"/>
    <w:rsid w:val="78AC208A"/>
    <w:rsid w:val="78BF5374"/>
    <w:rsid w:val="78C47AC8"/>
    <w:rsid w:val="78C53540"/>
    <w:rsid w:val="78E17173"/>
    <w:rsid w:val="78EE3B3A"/>
    <w:rsid w:val="78FF6ED8"/>
    <w:rsid w:val="791C07E8"/>
    <w:rsid w:val="79300FDE"/>
    <w:rsid w:val="793018B3"/>
    <w:rsid w:val="79331684"/>
    <w:rsid w:val="794C7131"/>
    <w:rsid w:val="796F1DC8"/>
    <w:rsid w:val="79764D6B"/>
    <w:rsid w:val="798563D4"/>
    <w:rsid w:val="79A25384"/>
    <w:rsid w:val="79B50936"/>
    <w:rsid w:val="79B53A0B"/>
    <w:rsid w:val="79BB2066"/>
    <w:rsid w:val="79BE31CC"/>
    <w:rsid w:val="79C215A8"/>
    <w:rsid w:val="79C630A1"/>
    <w:rsid w:val="79C723D5"/>
    <w:rsid w:val="79D30A23"/>
    <w:rsid w:val="79D67C8B"/>
    <w:rsid w:val="79D97279"/>
    <w:rsid w:val="79DA65D2"/>
    <w:rsid w:val="79DB277C"/>
    <w:rsid w:val="79DF48F0"/>
    <w:rsid w:val="79E1716A"/>
    <w:rsid w:val="79EE2A5F"/>
    <w:rsid w:val="7A1F66E8"/>
    <w:rsid w:val="7A200485"/>
    <w:rsid w:val="7A286FF8"/>
    <w:rsid w:val="7A2E4CE5"/>
    <w:rsid w:val="7A46050B"/>
    <w:rsid w:val="7A52698F"/>
    <w:rsid w:val="7A726172"/>
    <w:rsid w:val="7A773DB3"/>
    <w:rsid w:val="7A786D8D"/>
    <w:rsid w:val="7A7A0C34"/>
    <w:rsid w:val="7A8471D1"/>
    <w:rsid w:val="7A882894"/>
    <w:rsid w:val="7A8B2C4F"/>
    <w:rsid w:val="7A8D650D"/>
    <w:rsid w:val="7A921B40"/>
    <w:rsid w:val="7A952788"/>
    <w:rsid w:val="7A963D40"/>
    <w:rsid w:val="7A982B2F"/>
    <w:rsid w:val="7AA11242"/>
    <w:rsid w:val="7AA443C3"/>
    <w:rsid w:val="7ABF72FD"/>
    <w:rsid w:val="7AC440FD"/>
    <w:rsid w:val="7AC45FF6"/>
    <w:rsid w:val="7AD229F1"/>
    <w:rsid w:val="7AE64E77"/>
    <w:rsid w:val="7AE76131"/>
    <w:rsid w:val="7AF00FBF"/>
    <w:rsid w:val="7AFB13F1"/>
    <w:rsid w:val="7AFF705B"/>
    <w:rsid w:val="7B004ADD"/>
    <w:rsid w:val="7B02475C"/>
    <w:rsid w:val="7B1204FB"/>
    <w:rsid w:val="7B137904"/>
    <w:rsid w:val="7B151070"/>
    <w:rsid w:val="7B1633FD"/>
    <w:rsid w:val="7B180D87"/>
    <w:rsid w:val="7B227210"/>
    <w:rsid w:val="7B276F1B"/>
    <w:rsid w:val="7B29636D"/>
    <w:rsid w:val="7B2C0E24"/>
    <w:rsid w:val="7B301976"/>
    <w:rsid w:val="7B4A4500"/>
    <w:rsid w:val="7B4E6DDA"/>
    <w:rsid w:val="7B513049"/>
    <w:rsid w:val="7B5645C8"/>
    <w:rsid w:val="7B567A6A"/>
    <w:rsid w:val="7B617FF9"/>
    <w:rsid w:val="7B6665EE"/>
    <w:rsid w:val="7B6970BE"/>
    <w:rsid w:val="7B6B418C"/>
    <w:rsid w:val="7B6F730F"/>
    <w:rsid w:val="7B731598"/>
    <w:rsid w:val="7B7664A2"/>
    <w:rsid w:val="7B7B57DD"/>
    <w:rsid w:val="7B7D40A6"/>
    <w:rsid w:val="7B835FAF"/>
    <w:rsid w:val="7B881928"/>
    <w:rsid w:val="7B8F5645"/>
    <w:rsid w:val="7BA72CEC"/>
    <w:rsid w:val="7BB66243"/>
    <w:rsid w:val="7BB75163"/>
    <w:rsid w:val="7BC06274"/>
    <w:rsid w:val="7BC318EF"/>
    <w:rsid w:val="7BD32381"/>
    <w:rsid w:val="7BD45723"/>
    <w:rsid w:val="7BDB15C7"/>
    <w:rsid w:val="7BDE0C48"/>
    <w:rsid w:val="7BE0414B"/>
    <w:rsid w:val="7BE43654"/>
    <w:rsid w:val="7BEC38BF"/>
    <w:rsid w:val="7BF43AE4"/>
    <w:rsid w:val="7BFF6BFE"/>
    <w:rsid w:val="7C0329C1"/>
    <w:rsid w:val="7C18352E"/>
    <w:rsid w:val="7C187E2F"/>
    <w:rsid w:val="7C2535BA"/>
    <w:rsid w:val="7C44164B"/>
    <w:rsid w:val="7C5017B9"/>
    <w:rsid w:val="7C606690"/>
    <w:rsid w:val="7C615A99"/>
    <w:rsid w:val="7C787D49"/>
    <w:rsid w:val="7C792D24"/>
    <w:rsid w:val="7C7A696A"/>
    <w:rsid w:val="7C8023BA"/>
    <w:rsid w:val="7C8313D5"/>
    <w:rsid w:val="7C9219F0"/>
    <w:rsid w:val="7C94044F"/>
    <w:rsid w:val="7C9B6A9B"/>
    <w:rsid w:val="7C9E7A01"/>
    <w:rsid w:val="7C9F0D06"/>
    <w:rsid w:val="7CA23D73"/>
    <w:rsid w:val="7CB22AF0"/>
    <w:rsid w:val="7CB345B1"/>
    <w:rsid w:val="7CB83561"/>
    <w:rsid w:val="7CB9242C"/>
    <w:rsid w:val="7CBA4EDD"/>
    <w:rsid w:val="7CBB4DB2"/>
    <w:rsid w:val="7CC66242"/>
    <w:rsid w:val="7CCF3A53"/>
    <w:rsid w:val="7CE92206"/>
    <w:rsid w:val="7CF5040F"/>
    <w:rsid w:val="7CFB24C4"/>
    <w:rsid w:val="7CFD353F"/>
    <w:rsid w:val="7CFD5A5C"/>
    <w:rsid w:val="7D002967"/>
    <w:rsid w:val="7D011163"/>
    <w:rsid w:val="7D0639A1"/>
    <w:rsid w:val="7D162EBD"/>
    <w:rsid w:val="7D2221D8"/>
    <w:rsid w:val="7D313C5E"/>
    <w:rsid w:val="7D3419F2"/>
    <w:rsid w:val="7D38217E"/>
    <w:rsid w:val="7D417BA4"/>
    <w:rsid w:val="7D44364C"/>
    <w:rsid w:val="7D5E45BC"/>
    <w:rsid w:val="7D5F442A"/>
    <w:rsid w:val="7D640919"/>
    <w:rsid w:val="7D6577CA"/>
    <w:rsid w:val="7D662C4F"/>
    <w:rsid w:val="7D676E06"/>
    <w:rsid w:val="7D7046F8"/>
    <w:rsid w:val="7D72301E"/>
    <w:rsid w:val="7D767764"/>
    <w:rsid w:val="7DAF7CF7"/>
    <w:rsid w:val="7DBB4955"/>
    <w:rsid w:val="7DDC21E2"/>
    <w:rsid w:val="7DDC6B0C"/>
    <w:rsid w:val="7DE144F4"/>
    <w:rsid w:val="7DEB2192"/>
    <w:rsid w:val="7DF20C8E"/>
    <w:rsid w:val="7DFB79CE"/>
    <w:rsid w:val="7DFF08C2"/>
    <w:rsid w:val="7E1717EC"/>
    <w:rsid w:val="7E206272"/>
    <w:rsid w:val="7E25161F"/>
    <w:rsid w:val="7E254608"/>
    <w:rsid w:val="7E263055"/>
    <w:rsid w:val="7E311391"/>
    <w:rsid w:val="7E380B9B"/>
    <w:rsid w:val="7E45420E"/>
    <w:rsid w:val="7E4F12EA"/>
    <w:rsid w:val="7E5512D0"/>
    <w:rsid w:val="7E5637D7"/>
    <w:rsid w:val="7E595AD8"/>
    <w:rsid w:val="7E5B6923"/>
    <w:rsid w:val="7E6B1276"/>
    <w:rsid w:val="7E835EE7"/>
    <w:rsid w:val="7E8417AB"/>
    <w:rsid w:val="7E883350"/>
    <w:rsid w:val="7E885505"/>
    <w:rsid w:val="7E8938E7"/>
    <w:rsid w:val="7E8A4F78"/>
    <w:rsid w:val="7E8A6AB4"/>
    <w:rsid w:val="7E9C6D4C"/>
    <w:rsid w:val="7EA040A7"/>
    <w:rsid w:val="7EA65BD8"/>
    <w:rsid w:val="7ECC3297"/>
    <w:rsid w:val="7ECF0F9A"/>
    <w:rsid w:val="7EDD06BA"/>
    <w:rsid w:val="7EDD5D31"/>
    <w:rsid w:val="7EEF17A3"/>
    <w:rsid w:val="7EFE05D4"/>
    <w:rsid w:val="7F1205AA"/>
    <w:rsid w:val="7F164CA4"/>
    <w:rsid w:val="7F18178C"/>
    <w:rsid w:val="7F300550"/>
    <w:rsid w:val="7F372FBD"/>
    <w:rsid w:val="7F3E188C"/>
    <w:rsid w:val="7F447D42"/>
    <w:rsid w:val="7F5646F6"/>
    <w:rsid w:val="7F5759FB"/>
    <w:rsid w:val="7F5C5821"/>
    <w:rsid w:val="7F654D11"/>
    <w:rsid w:val="7F6E1D9D"/>
    <w:rsid w:val="7F6E68E8"/>
    <w:rsid w:val="7F7865F3"/>
    <w:rsid w:val="7F7A6AFF"/>
    <w:rsid w:val="7F7D4E4C"/>
    <w:rsid w:val="7F8236E6"/>
    <w:rsid w:val="7F843F41"/>
    <w:rsid w:val="7F844D8C"/>
    <w:rsid w:val="7F9709E3"/>
    <w:rsid w:val="7F9E0CF5"/>
    <w:rsid w:val="7FA22DB6"/>
    <w:rsid w:val="7FA67E40"/>
    <w:rsid w:val="7FBB216D"/>
    <w:rsid w:val="7FC21827"/>
    <w:rsid w:val="7FCB5B65"/>
    <w:rsid w:val="7FDC5C54"/>
    <w:rsid w:val="7FDE3AC1"/>
    <w:rsid w:val="7FDF6BD9"/>
    <w:rsid w:val="7FE120DC"/>
    <w:rsid w:val="7FE77447"/>
    <w:rsid w:val="7FEE004B"/>
    <w:rsid w:val="7FEE7368"/>
    <w:rsid w:val="7FEF6E73"/>
    <w:rsid w:val="7FF31FF6"/>
    <w:rsid w:val="7FF81D01"/>
    <w:rsid w:val="7FF86193"/>
    <w:rsid w:val="7FFE5E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0" w:firstLineChars="200"/>
      <w:contextualSpacing/>
      <w:jc w:val="both"/>
    </w:pPr>
    <w:rPr>
      <w:rFonts w:ascii="仿宋_GB2312" w:eastAsia="仿宋_GB2312"/>
      <w:kern w:val="2"/>
      <w:sz w:val="30"/>
      <w:szCs w:val="30"/>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1"/>
    <w:link w:val="26"/>
    <w:qFormat/>
    <w:uiPriority w:val="9"/>
    <w:pPr>
      <w:keepNext/>
      <w:keepLines/>
      <w:spacing w:before="260" w:beforeLines="0" w:after="260" w:afterLines="0" w:line="416" w:lineRule="auto"/>
      <w:outlineLvl w:val="1"/>
    </w:pPr>
    <w:rPr>
      <w:rFonts w:ascii="Cambria" w:hAnsi="Cambria" w:eastAsia="宋体"/>
      <w:b/>
      <w:bCs/>
      <w:kern w:val="0"/>
      <w:sz w:val="32"/>
      <w:szCs w:val="32"/>
    </w:rPr>
  </w:style>
  <w:style w:type="paragraph" w:styleId="4">
    <w:name w:val="heading 3"/>
    <w:basedOn w:val="1"/>
    <w:next w:val="1"/>
    <w:link w:val="25"/>
    <w:qFormat/>
    <w:uiPriority w:val="0"/>
    <w:pPr>
      <w:keepNext/>
      <w:keepLines/>
      <w:spacing w:before="260" w:beforeLines="0" w:after="260" w:afterLines="0" w:line="416" w:lineRule="auto"/>
      <w:ind w:firstLine="0" w:firstLineChars="0"/>
      <w:outlineLvl w:val="2"/>
    </w:pPr>
    <w:rPr>
      <w:rFonts w:ascii="Calibri" w:eastAsia="宋体"/>
      <w:b/>
      <w:bCs/>
      <w:kern w:val="0"/>
      <w:sz w:val="32"/>
      <w:szCs w:val="32"/>
    </w:rPr>
  </w:style>
  <w:style w:type="paragraph" w:styleId="5">
    <w:name w:val="heading 4"/>
    <w:basedOn w:val="1"/>
    <w:next w:val="1"/>
    <w:qFormat/>
    <w:uiPriority w:val="9"/>
    <w:pPr>
      <w:keepNext/>
      <w:keepLines/>
      <w:spacing w:before="280" w:beforeLines="0" w:after="290" w:afterLines="0" w:line="376" w:lineRule="auto"/>
      <w:outlineLvl w:val="3"/>
    </w:pPr>
    <w:rPr>
      <w:rFonts w:ascii="Cambria" w:hAnsi="Cambria" w:eastAsia="宋体"/>
      <w:b/>
      <w:bCs/>
      <w:kern w:val="0"/>
      <w:sz w:val="28"/>
      <w:szCs w:val="28"/>
    </w:rPr>
  </w:style>
  <w:style w:type="character" w:default="1" w:styleId="18">
    <w:name w:val="Default Paragraph Font"/>
    <w:unhideWhenUsed/>
    <w:uiPriority w:val="0"/>
  </w:style>
  <w:style w:type="table" w:default="1" w:styleId="17">
    <w:name w:val="Normal Table"/>
    <w:unhideWhenUsed/>
    <w:uiPriority w:val="99"/>
    <w:tblPr>
      <w:tblStyle w:val="17"/>
      <w:tblCellMar>
        <w:top w:w="0" w:type="dxa"/>
        <w:left w:w="108" w:type="dxa"/>
        <w:bottom w:w="0" w:type="dxa"/>
        <w:right w:w="108" w:type="dxa"/>
      </w:tblCellMar>
    </w:tblPr>
  </w:style>
  <w:style w:type="paragraph" w:styleId="6">
    <w:name w:val="Document Map"/>
    <w:basedOn w:val="1"/>
    <w:semiHidden/>
    <w:uiPriority w:val="0"/>
    <w:pPr>
      <w:shd w:val="clear" w:color="auto" w:fill="000080"/>
    </w:pPr>
  </w:style>
  <w:style w:type="paragraph" w:styleId="7">
    <w:name w:val="annotation text"/>
    <w:basedOn w:val="1"/>
    <w:unhideWhenUsed/>
    <w:uiPriority w:val="99"/>
    <w:pPr>
      <w:jc w:val="left"/>
    </w:pPr>
  </w:style>
  <w:style w:type="paragraph" w:styleId="8">
    <w:name w:val="toc 3"/>
    <w:basedOn w:val="1"/>
    <w:next w:val="1"/>
    <w:unhideWhenUsed/>
    <w:uiPriority w:val="39"/>
    <w:pPr>
      <w:ind w:left="300"/>
      <w:jc w:val="left"/>
    </w:pPr>
    <w:rPr>
      <w:rFonts w:ascii="Calibri" w:hAnsi="Calibri" w:cs="Calibri"/>
      <w:sz w:val="20"/>
      <w:szCs w:val="20"/>
    </w:rPr>
  </w:style>
  <w:style w:type="paragraph" w:styleId="9">
    <w:name w:val="Plain Text"/>
    <w:basedOn w:val="1"/>
    <w:unhideWhenUsed/>
    <w:uiPriority w:val="99"/>
    <w:rPr>
      <w:rFonts w:ascii="宋体" w:hAnsi="Courier New" w:cs="Courier New"/>
      <w:szCs w:val="21"/>
    </w:rPr>
  </w:style>
  <w:style w:type="paragraph" w:styleId="10">
    <w:name w:val="Balloon Text"/>
    <w:basedOn w:val="1"/>
    <w:link w:val="24"/>
    <w:unhideWhenUsed/>
    <w:uiPriority w:val="99"/>
    <w:pPr>
      <w:spacing w:line="240" w:lineRule="auto"/>
    </w:pPr>
    <w:rPr>
      <w:sz w:val="18"/>
      <w:szCs w:val="18"/>
    </w:rPr>
  </w:style>
  <w:style w:type="paragraph" w:styleId="11">
    <w:name w:val="footer"/>
    <w:basedOn w:val="1"/>
    <w:unhideWhenUsed/>
    <w:uiPriority w:val="0"/>
    <w:pPr>
      <w:tabs>
        <w:tab w:val="center" w:pos="4153"/>
        <w:tab w:val="right" w:pos="8306"/>
      </w:tabs>
      <w:snapToGrid w:val="0"/>
      <w:spacing w:line="240" w:lineRule="auto"/>
      <w:jc w:val="left"/>
    </w:pPr>
    <w:rPr>
      <w:kern w:val="0"/>
      <w:sz w:val="18"/>
      <w:szCs w:val="18"/>
    </w:rPr>
  </w:style>
  <w:style w:type="paragraph" w:styleId="12">
    <w:name w:val="header"/>
    <w:basedOn w:val="1"/>
    <w:unhideWhenUsed/>
    <w:uiPriority w:val="0"/>
    <w:pPr>
      <w:pBdr>
        <w:bottom w:val="single" w:color="auto" w:sz="6" w:space="1"/>
      </w:pBdr>
      <w:tabs>
        <w:tab w:val="center" w:pos="4153"/>
        <w:tab w:val="right" w:pos="8306"/>
      </w:tabs>
      <w:snapToGrid w:val="0"/>
      <w:spacing w:line="240" w:lineRule="auto"/>
      <w:jc w:val="center"/>
    </w:pPr>
    <w:rPr>
      <w:kern w:val="0"/>
      <w:sz w:val="18"/>
      <w:szCs w:val="18"/>
    </w:rPr>
  </w:style>
  <w:style w:type="paragraph" w:styleId="13">
    <w:name w:val="toc 1"/>
    <w:basedOn w:val="1"/>
    <w:next w:val="1"/>
    <w:unhideWhenUsed/>
    <w:uiPriority w:val="39"/>
    <w:rPr>
      <w:sz w:val="32"/>
    </w:rPr>
  </w:style>
  <w:style w:type="paragraph" w:styleId="14">
    <w:name w:val="footnote text"/>
    <w:basedOn w:val="1"/>
    <w:unhideWhenUsed/>
    <w:uiPriority w:val="99"/>
    <w:pPr>
      <w:snapToGrid w:val="0"/>
      <w:jc w:val="left"/>
    </w:pPr>
    <w:rPr>
      <w:sz w:val="18"/>
      <w:szCs w:val="18"/>
    </w:rPr>
  </w:style>
  <w:style w:type="paragraph" w:styleId="15">
    <w:name w:val="toc 2"/>
    <w:basedOn w:val="1"/>
    <w:next w:val="1"/>
    <w:unhideWhenUsed/>
    <w:uiPriority w:val="39"/>
    <w:pPr>
      <w:spacing w:before="240" w:beforeLines="0"/>
      <w:jc w:val="left"/>
    </w:pPr>
    <w:rPr>
      <w:rFonts w:ascii="Calibri" w:hAnsi="Calibri" w:cs="Calibri"/>
      <w:b/>
      <w:bCs/>
      <w:sz w:val="20"/>
      <w:szCs w:val="20"/>
    </w:rPr>
  </w:style>
  <w:style w:type="paragraph" w:styleId="16">
    <w:name w:val="Normal (Web)"/>
    <w:basedOn w:val="1"/>
    <w:unhideWhenUsed/>
    <w:uiPriority w:val="99"/>
    <w:pPr>
      <w:spacing w:before="100" w:beforeLines="0" w:beforeAutospacing="1" w:after="100" w:afterLines="0" w:afterAutospacing="1"/>
      <w:ind w:left="0" w:right="0"/>
      <w:jc w:val="left"/>
    </w:pPr>
    <w:rPr>
      <w:kern w:val="0"/>
      <w:sz w:val="24"/>
      <w:lang w:val="en-US" w:eastAsia="zh-CN" w:bidi="ar-SA"/>
    </w:rPr>
  </w:style>
  <w:style w:type="character" w:styleId="19">
    <w:name w:val="Strong"/>
    <w:basedOn w:val="18"/>
    <w:qFormat/>
    <w:uiPriority w:val="22"/>
    <w:rPr>
      <w:b/>
    </w:rPr>
  </w:style>
  <w:style w:type="character" w:styleId="20">
    <w:name w:val="page number"/>
    <w:basedOn w:val="18"/>
    <w:unhideWhenUsed/>
    <w:uiPriority w:val="99"/>
  </w:style>
  <w:style w:type="character" w:styleId="21">
    <w:name w:val="Emphasis"/>
    <w:basedOn w:val="18"/>
    <w:qFormat/>
    <w:uiPriority w:val="20"/>
    <w:rPr>
      <w:i/>
    </w:rPr>
  </w:style>
  <w:style w:type="character" w:styleId="22">
    <w:name w:val="Hyperlink"/>
    <w:unhideWhenUsed/>
    <w:uiPriority w:val="99"/>
    <w:rPr>
      <w:color w:val="0563C1"/>
      <w:u w:val="single"/>
    </w:rPr>
  </w:style>
  <w:style w:type="character" w:styleId="23">
    <w:name w:val="footnote reference"/>
    <w:basedOn w:val="18"/>
    <w:unhideWhenUsed/>
    <w:uiPriority w:val="99"/>
    <w:rPr>
      <w:vertAlign w:val="superscript"/>
    </w:rPr>
  </w:style>
  <w:style w:type="character" w:customStyle="1" w:styleId="24">
    <w:name w:val="批注框文本 Char"/>
    <w:link w:val="10"/>
    <w:semiHidden/>
    <w:uiPriority w:val="99"/>
    <w:rPr>
      <w:rFonts w:ascii="仿宋_GB2312" w:eastAsia="仿宋_GB2312"/>
      <w:kern w:val="2"/>
      <w:sz w:val="18"/>
      <w:szCs w:val="18"/>
    </w:rPr>
  </w:style>
  <w:style w:type="character" w:customStyle="1" w:styleId="25">
    <w:name w:val="标题 3 Char"/>
    <w:link w:val="4"/>
    <w:qFormat/>
    <w:uiPriority w:val="0"/>
    <w:rPr>
      <w:rFonts w:ascii="Calibri" w:eastAsia="宋体"/>
      <w:b/>
      <w:bCs/>
      <w:kern w:val="0"/>
      <w:sz w:val="32"/>
      <w:szCs w:val="32"/>
    </w:rPr>
  </w:style>
  <w:style w:type="character" w:customStyle="1" w:styleId="26">
    <w:name w:val="标题 2 Char"/>
    <w:link w:val="3"/>
    <w:uiPriority w:val="9"/>
    <w:rPr>
      <w:rFonts w:ascii="Cambria" w:hAnsi="Cambria" w:eastAsia="宋体"/>
      <w:b/>
      <w:bCs/>
      <w:kern w:val="0"/>
      <w:sz w:val="32"/>
      <w:szCs w:val="32"/>
    </w:rPr>
  </w:style>
  <w:style w:type="paragraph" w:customStyle="1" w:styleId="27">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28">
    <w:name w:val="正文样式1"/>
    <w:basedOn w:val="1"/>
    <w:qFormat/>
    <w:uiPriority w:val="99"/>
    <w:pPr>
      <w:spacing w:line="360" w:lineRule="auto"/>
      <w:ind w:firstLine="200" w:firstLineChars="200"/>
      <w:jc w:val="left"/>
    </w:pPr>
    <w:rPr>
      <w:rFonts w:eastAsia="仿宋_GB2312"/>
      <w:b/>
      <w:kern w:val="0"/>
      <w:sz w:val="28"/>
      <w:szCs w:val="20"/>
    </w:rPr>
  </w:style>
  <w:style w:type="paragraph" w:customStyle="1" w:styleId="29">
    <w:name w:val="Char Char Char Char Char Char Char Char Char Char Char Char Char Char Char Char Char Char"/>
    <w:basedOn w:val="1"/>
    <w:uiPriority w:val="0"/>
    <w:pPr>
      <w:widowControl/>
      <w:spacing w:line="240" w:lineRule="auto"/>
      <w:ind w:firstLine="0" w:firstLineChars="0"/>
    </w:pPr>
    <w:rPr>
      <w:rFonts w:ascii="Times New Roman" w:eastAsia="宋体"/>
      <w:sz w:val="24"/>
      <w:szCs w:val="20"/>
    </w:rPr>
  </w:style>
  <w:style w:type="paragraph" w:styleId="30">
    <w:name w:val=""/>
    <w:unhideWhenUsed/>
    <w:uiPriority w:val="99"/>
    <w:rPr>
      <w:rFonts w:ascii="仿宋_GB2312" w:eastAsia="仿宋_GB2312"/>
      <w:kern w:val="2"/>
      <w:sz w:val="30"/>
      <w:szCs w:val="30"/>
      <w:lang w:val="en-US" w:eastAsia="zh-CN" w:bidi="ar-SA"/>
    </w:rPr>
  </w:style>
  <w:style w:type="paragraph" w:customStyle="1" w:styleId="31">
    <w:name w:val="TOC Heading"/>
    <w:basedOn w:val="2"/>
    <w:next w:val="1"/>
    <w:unhideWhenUsed/>
    <w:qFormat/>
    <w:uiPriority w:val="39"/>
    <w:pPr>
      <w:widowControl/>
      <w:spacing w:before="240" w:beforeLines="0" w:after="0" w:afterLines="0" w:line="259" w:lineRule="auto"/>
      <w:ind w:firstLine="0" w:firstLineChars="0"/>
      <w:jc w:val="left"/>
      <w:outlineLvl w:val="9"/>
    </w:pPr>
    <w:rPr>
      <w:rFonts w:ascii="Calibri Light" w:hAnsi="Calibri Light" w:eastAsia="宋体" w:cs="Times New Roman"/>
      <w:b w:val="0"/>
      <w:bCs w:val="0"/>
      <w:color w:val="2E74B5"/>
      <w:kern w:val="0"/>
      <w:sz w:val="32"/>
      <w:szCs w:val="32"/>
    </w:rPr>
  </w:style>
  <w:style w:type="paragraph" w:customStyle="1" w:styleId="32">
    <w:name w:val="正文格式"/>
    <w:basedOn w:val="1"/>
    <w:qFormat/>
    <w:uiPriority w:val="99"/>
    <w:pPr>
      <w:spacing w:line="360" w:lineRule="auto"/>
      <w:ind w:firstLine="200" w:firstLineChars="200"/>
    </w:pPr>
    <w:rPr>
      <w:rFonts w:ascii="仿宋_GB2312" w:eastAsia="仿宋_GB2312"/>
      <w:kern w:val="0"/>
      <w:sz w:val="28"/>
      <w:szCs w:val="28"/>
    </w:rPr>
  </w:style>
  <w:style w:type="paragraph" w:customStyle="1" w:styleId="33">
    <w:name w:val="List Paragraph"/>
    <w:basedOn w:val="1"/>
    <w:qFormat/>
    <w:uiPriority w:val="34"/>
    <w:pPr>
      <w:ind w:firstLine="420" w:firstLineChars="200"/>
    </w:pPr>
    <w:rPr>
      <w:rFonts w:ascii="Times New Roman" w:hAnsi="Times New Roman" w:eastAsia="宋体" w:cs="Times New Roman"/>
      <w:sz w:val="21"/>
      <w:szCs w:val="20"/>
    </w:rPr>
  </w:style>
  <w:style w:type="paragraph" w:styleId="34">
    <w:name w:val="List Paragraph"/>
    <w:basedOn w:val="1"/>
    <w:qFormat/>
    <w:uiPriority w:val="34"/>
    <w:pPr>
      <w:ind w:firstLine="420" w:firstLineChars="200"/>
    </w:pPr>
  </w:style>
  <w:style w:type="paragraph" w:customStyle="1" w:styleId="35">
    <w:name w:val=" Char Char Char Char Char Char"/>
    <w:basedOn w:val="1"/>
    <w:uiPriority w:val="0"/>
    <w:pPr>
      <w:widowControl/>
      <w:spacing w:after="160" w:afterLines="0" w:line="240" w:lineRule="exact"/>
      <w:ind w:firstLine="0" w:firstLineChars="0"/>
      <w:jc w:val="left"/>
    </w:pPr>
    <w:rPr>
      <w:rFonts w:ascii="Times New Roman"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128</Pages>
  <Words>10464</Words>
  <Characters>59650</Characters>
  <Lines>497</Lines>
  <Paragraphs>139</Paragraphs>
  <TotalTime>0</TotalTime>
  <ScaleCrop>false</ScaleCrop>
  <LinksUpToDate>false</LinksUpToDate>
  <CharactersWithSpaces>69975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2016-01-06T00:37:00Z</dcterms:created>
  <dc:creator>lenovo</dc:creator>
  <cp:lastModifiedBy>tcrj</cp:lastModifiedBy>
  <cp:lastPrinted>2016-03-25T01:35:00Z</cp:lastPrinted>
  <dcterms:modified xsi:type="dcterms:W3CDTF">2021-06-08T02:56:00Z</dcterms:modified>
  <dc:title>咸阳市国民经济和社会发展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7A62B4515C9E4C3DAC60D2226AF359E2</vt:lpwstr>
  </property>
</Properties>
</file>