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0" w:line="600" w:lineRule="exact"/>
        <w:ind w:firstLine="640" w:firstLineChars="200"/>
        <w:jc w:val="both"/>
        <w:rPr>
          <w:rFonts w:hint="eastAsia" w:ascii="仿宋_GB2312" w:hAnsi="华文中宋" w:eastAsia="仿宋_GB2312"/>
          <w:sz w:val="32"/>
          <w:szCs w:val="32"/>
        </w:rPr>
      </w:pPr>
      <w:bookmarkStart w:id="13" w:name="_GoBack"/>
      <w:bookmarkEnd w:id="13"/>
      <w:r>
        <w:rPr>
          <w:rFonts w:hint="eastAsia" w:ascii="仿宋_GB2312" w:hAnsi="华文中宋" w:eastAsia="仿宋_GB2312"/>
          <w:sz w:val="32"/>
          <w:szCs w:val="32"/>
        </w:rPr>
        <w:t>“十三五”（</w:t>
      </w:r>
      <w:r>
        <w:rPr>
          <w:rFonts w:ascii="仿宋_GB2312" w:hAnsi="华文中宋" w:eastAsia="仿宋_GB2312"/>
          <w:sz w:val="32"/>
          <w:szCs w:val="32"/>
        </w:rPr>
        <w:t>2016-2020</w:t>
      </w:r>
      <w:r>
        <w:rPr>
          <w:rFonts w:hint="eastAsia" w:ascii="仿宋_GB2312" w:hAnsi="华文中宋" w:eastAsia="仿宋_GB2312"/>
          <w:sz w:val="32"/>
          <w:szCs w:val="32"/>
        </w:rPr>
        <w:t>）时期，是宝鸡全面建成小康社会的决胜期、优化结构的攻坚期、追赶超越的关键期，也是宝鸡抢抓“一带一路”建设重大机遇、全面建设关天经济区副中心城市的冲刺期。为明确今后五年全市经济社会发展的总体思路、目标任务、工作重点、改革路径和战略举措，科学部署好这一时期的发展，根据国家和全省第十三个五年规划编制的精神和要求，特编制本规划纲要。</w:t>
      </w:r>
    </w:p>
    <w:p>
      <w:pPr>
        <w:widowControl w:val="0"/>
        <w:spacing w:after="0" w:line="600" w:lineRule="exact"/>
        <w:jc w:val="center"/>
        <w:rPr>
          <w:rFonts w:hint="eastAsia" w:ascii="华文中宋" w:hAnsi="华文中宋" w:eastAsia="华文中宋"/>
          <w:b/>
          <w:spacing w:val="-20"/>
          <w:sz w:val="32"/>
          <w:szCs w:val="32"/>
        </w:rPr>
      </w:pPr>
    </w:p>
    <w:p>
      <w:pPr>
        <w:widowControl w:val="0"/>
        <w:spacing w:after="0" w:line="600" w:lineRule="exact"/>
        <w:jc w:val="center"/>
        <w:rPr>
          <w:rFonts w:hint="eastAsia" w:ascii="华文中宋" w:hAnsi="华文中宋" w:eastAsia="华文中宋"/>
          <w:b/>
          <w:sz w:val="36"/>
          <w:szCs w:val="36"/>
        </w:rPr>
      </w:pPr>
      <w:r>
        <w:rPr>
          <w:rFonts w:hint="eastAsia" w:ascii="华文中宋" w:hAnsi="华文中宋" w:eastAsia="华文中宋"/>
          <w:b/>
          <w:sz w:val="36"/>
          <w:szCs w:val="36"/>
        </w:rPr>
        <w:t>第一篇  发展基础和总体要求</w:t>
      </w:r>
    </w:p>
    <w:p>
      <w:pPr>
        <w:widowControl w:val="0"/>
        <w:spacing w:after="0" w:line="600" w:lineRule="exact"/>
        <w:jc w:val="center"/>
        <w:rPr>
          <w:rFonts w:hint="eastAsia" w:ascii="黑体" w:hAnsi="黑体" w:eastAsia="黑体"/>
          <w:sz w:val="32"/>
          <w:szCs w:val="32"/>
        </w:rPr>
      </w:pPr>
    </w:p>
    <w:p>
      <w:pPr>
        <w:widowControl w:val="0"/>
        <w:spacing w:after="0" w:line="600" w:lineRule="exact"/>
        <w:jc w:val="center"/>
        <w:rPr>
          <w:rFonts w:hint="eastAsia" w:ascii="黑体" w:hAnsi="黑体" w:eastAsia="黑体"/>
          <w:sz w:val="32"/>
          <w:szCs w:val="32"/>
        </w:rPr>
      </w:pPr>
      <w:r>
        <w:rPr>
          <w:rFonts w:hint="eastAsia" w:ascii="黑体" w:hAnsi="黑体" w:eastAsia="黑体"/>
          <w:sz w:val="32"/>
          <w:szCs w:val="32"/>
        </w:rPr>
        <w:t>第一章</w:t>
      </w:r>
      <w:r>
        <w:rPr>
          <w:rFonts w:ascii="黑体" w:hAnsi="黑体" w:eastAsia="黑体"/>
          <w:sz w:val="32"/>
          <w:szCs w:val="32"/>
        </w:rPr>
        <w:t xml:space="preserve">  </w:t>
      </w:r>
      <w:r>
        <w:rPr>
          <w:rFonts w:hint="eastAsia" w:ascii="黑体" w:hAnsi="黑体" w:eastAsia="黑体"/>
          <w:sz w:val="32"/>
          <w:szCs w:val="32"/>
        </w:rPr>
        <w:t>发展基础</w:t>
      </w:r>
    </w:p>
    <w:p>
      <w:pPr>
        <w:widowControl w:val="0"/>
        <w:spacing w:after="0" w:line="600" w:lineRule="exact"/>
        <w:jc w:val="center"/>
        <w:rPr>
          <w:rFonts w:hint="eastAsia" w:ascii="黑体" w:hAnsi="黑体" w:eastAsia="黑体"/>
          <w:sz w:val="32"/>
          <w:szCs w:val="32"/>
        </w:rPr>
      </w:pPr>
    </w:p>
    <w:p>
      <w:pPr>
        <w:widowControl w:val="0"/>
        <w:spacing w:after="0" w:line="600" w:lineRule="exact"/>
        <w:ind w:firstLine="640" w:firstLineChars="200"/>
        <w:jc w:val="both"/>
        <w:rPr>
          <w:rFonts w:ascii="仿宋_GB2312" w:eastAsia="仿宋_GB2312"/>
          <w:sz w:val="32"/>
          <w:szCs w:val="32"/>
        </w:rPr>
      </w:pPr>
      <w:r>
        <w:rPr>
          <w:rFonts w:hint="eastAsia" w:ascii="仿宋_GB2312" w:eastAsia="仿宋_GB2312"/>
          <w:sz w:val="32"/>
          <w:szCs w:val="32"/>
        </w:rPr>
        <w:t>“十二五”时期，全市上下紧紧围绕“打造关天副中心、建设和谐新宝鸡，实现六个走在前列”的奋斗目标，紧扣主题主线，坚持稳中求进，做大总量与做优质量并重，提质与增效并举，全市经济社会快速平稳健康发展，“十二五”规划确定的目标任务基本实现，全市经济社会发展步入新阶段。</w:t>
      </w:r>
    </w:p>
    <w:p>
      <w:pPr>
        <w:widowControl w:val="0"/>
        <w:spacing w:after="0" w:line="600" w:lineRule="exact"/>
        <w:ind w:firstLine="643" w:firstLineChars="200"/>
        <w:jc w:val="both"/>
        <w:rPr>
          <w:rFonts w:ascii="仿宋_GB2312" w:eastAsia="仿宋_GB2312"/>
          <w:color w:val="000000"/>
          <w:sz w:val="32"/>
          <w:szCs w:val="32"/>
        </w:rPr>
      </w:pPr>
      <w:r>
        <w:rPr>
          <w:rFonts w:hint="eastAsia" w:ascii="楷体_GB2312" w:eastAsia="楷体_GB2312"/>
          <w:b/>
          <w:color w:val="000000"/>
          <w:sz w:val="32"/>
          <w:szCs w:val="32"/>
        </w:rPr>
        <w:t>综合实力迈上新台阶。</w:t>
      </w:r>
      <w:r>
        <w:rPr>
          <w:rFonts w:hint="eastAsia" w:ascii="仿宋_GB2312" w:eastAsia="仿宋_GB2312"/>
          <w:color w:val="000000"/>
          <w:sz w:val="32"/>
          <w:szCs w:val="32"/>
        </w:rPr>
        <w:t>地区生产总值达到</w:t>
      </w:r>
      <w:r>
        <w:rPr>
          <w:rFonts w:ascii="仿宋_GB2312" w:eastAsia="仿宋_GB2312"/>
          <w:color w:val="000000"/>
          <w:sz w:val="32"/>
          <w:szCs w:val="32"/>
        </w:rPr>
        <w:t>1788.59</w:t>
      </w:r>
      <w:r>
        <w:rPr>
          <w:rFonts w:hint="eastAsia" w:ascii="仿宋_GB2312" w:eastAsia="仿宋_GB2312"/>
          <w:color w:val="000000"/>
          <w:sz w:val="32"/>
          <w:szCs w:val="32"/>
        </w:rPr>
        <w:t>亿元、年均增长达到</w:t>
      </w:r>
      <w:r>
        <w:rPr>
          <w:rFonts w:ascii="仿宋_GB2312" w:eastAsia="仿宋_GB2312"/>
          <w:color w:val="000000"/>
          <w:sz w:val="32"/>
          <w:szCs w:val="32"/>
        </w:rPr>
        <w:t>12.7%</w:t>
      </w:r>
      <w:r>
        <w:rPr>
          <w:rFonts w:hint="eastAsia" w:ascii="仿宋_GB2312" w:eastAsia="仿宋_GB2312"/>
          <w:color w:val="000000"/>
          <w:sz w:val="32"/>
          <w:szCs w:val="32"/>
        </w:rPr>
        <w:t>，是</w:t>
      </w:r>
      <w:r>
        <w:rPr>
          <w:rFonts w:ascii="仿宋_GB2312" w:eastAsia="仿宋_GB2312"/>
          <w:color w:val="000000"/>
          <w:sz w:val="32"/>
          <w:szCs w:val="32"/>
        </w:rPr>
        <w:t>2010</w:t>
      </w:r>
      <w:r>
        <w:rPr>
          <w:rFonts w:hint="eastAsia" w:ascii="仿宋_GB2312" w:eastAsia="仿宋_GB2312"/>
          <w:color w:val="000000"/>
          <w:sz w:val="32"/>
          <w:szCs w:val="32"/>
        </w:rPr>
        <w:t>年的</w:t>
      </w:r>
      <w:r>
        <w:rPr>
          <w:rFonts w:ascii="仿宋_GB2312" w:eastAsia="仿宋_GB2312"/>
          <w:color w:val="000000"/>
          <w:sz w:val="32"/>
          <w:szCs w:val="32"/>
        </w:rPr>
        <w:t>1.83</w:t>
      </w:r>
      <w:r>
        <w:rPr>
          <w:rFonts w:hint="eastAsia" w:ascii="仿宋_GB2312" w:eastAsia="仿宋_GB2312"/>
          <w:color w:val="000000"/>
          <w:sz w:val="32"/>
          <w:szCs w:val="32"/>
        </w:rPr>
        <w:t>倍，人均生产总值达到</w:t>
      </w:r>
      <w:r>
        <w:rPr>
          <w:rFonts w:ascii="仿宋_GB2312" w:eastAsia="仿宋_GB2312"/>
          <w:color w:val="000000"/>
          <w:sz w:val="32"/>
          <w:szCs w:val="32"/>
        </w:rPr>
        <w:t>7340</w:t>
      </w:r>
      <w:r>
        <w:rPr>
          <w:rFonts w:hint="eastAsia" w:ascii="仿宋_GB2312" w:eastAsia="仿宋_GB2312"/>
          <w:color w:val="000000"/>
          <w:sz w:val="32"/>
          <w:szCs w:val="32"/>
        </w:rPr>
        <w:t>美元左右，是</w:t>
      </w:r>
      <w:r>
        <w:rPr>
          <w:rFonts w:ascii="仿宋_GB2312" w:eastAsia="仿宋_GB2312"/>
          <w:color w:val="000000"/>
          <w:sz w:val="32"/>
          <w:szCs w:val="32"/>
        </w:rPr>
        <w:t>2010</w:t>
      </w:r>
      <w:r>
        <w:rPr>
          <w:rFonts w:hint="eastAsia" w:ascii="仿宋_GB2312" w:eastAsia="仿宋_GB2312"/>
          <w:color w:val="000000"/>
          <w:sz w:val="32"/>
          <w:szCs w:val="32"/>
        </w:rPr>
        <w:t>年的</w:t>
      </w:r>
      <w:r>
        <w:rPr>
          <w:rFonts w:ascii="仿宋_GB2312" w:eastAsia="仿宋_GB2312"/>
          <w:color w:val="000000"/>
          <w:sz w:val="32"/>
          <w:szCs w:val="32"/>
        </w:rPr>
        <w:t>1.86</w:t>
      </w:r>
      <w:r>
        <w:rPr>
          <w:rFonts w:hint="eastAsia" w:ascii="仿宋_GB2312" w:eastAsia="仿宋_GB2312"/>
          <w:color w:val="000000"/>
          <w:sz w:val="32"/>
          <w:szCs w:val="32"/>
        </w:rPr>
        <w:t>倍；全社会固定资产投资五年累计达到</w:t>
      </w:r>
      <w:r>
        <w:rPr>
          <w:rFonts w:ascii="仿宋_GB2312" w:eastAsia="仿宋_GB2312"/>
          <w:color w:val="000000"/>
          <w:sz w:val="32"/>
          <w:szCs w:val="32"/>
        </w:rPr>
        <w:t>8685</w:t>
      </w:r>
      <w:r>
        <w:rPr>
          <w:rFonts w:hint="eastAsia" w:ascii="仿宋_GB2312" w:eastAsia="仿宋_GB2312"/>
          <w:color w:val="000000"/>
          <w:sz w:val="32"/>
          <w:szCs w:val="32"/>
        </w:rPr>
        <w:t>亿元，年均增长</w:t>
      </w:r>
      <w:r>
        <w:rPr>
          <w:rFonts w:ascii="仿宋_GB2312" w:eastAsia="仿宋_GB2312"/>
          <w:color w:val="000000"/>
          <w:sz w:val="32"/>
          <w:szCs w:val="32"/>
        </w:rPr>
        <w:t>27.5%</w:t>
      </w:r>
      <w:r>
        <w:rPr>
          <w:rFonts w:hint="eastAsia" w:ascii="仿宋_GB2312" w:eastAsia="仿宋_GB2312"/>
          <w:color w:val="000000"/>
          <w:sz w:val="32"/>
          <w:szCs w:val="32"/>
        </w:rPr>
        <w:t>，是“十一五”期间的</w:t>
      </w:r>
      <w:r>
        <w:rPr>
          <w:rFonts w:ascii="仿宋_GB2312" w:eastAsia="仿宋_GB2312"/>
          <w:color w:val="000000"/>
          <w:sz w:val="32"/>
          <w:szCs w:val="32"/>
        </w:rPr>
        <w:t>3.52</w:t>
      </w:r>
      <w:r>
        <w:rPr>
          <w:rFonts w:hint="eastAsia" w:ascii="仿宋_GB2312" w:eastAsia="仿宋_GB2312"/>
          <w:color w:val="000000"/>
          <w:sz w:val="32"/>
          <w:szCs w:val="32"/>
        </w:rPr>
        <w:t>倍；完成规模以上工业增加值</w:t>
      </w:r>
      <w:r>
        <w:rPr>
          <w:rFonts w:ascii="仿宋_GB2312" w:eastAsia="仿宋_GB2312"/>
          <w:color w:val="000000"/>
          <w:sz w:val="32"/>
          <w:szCs w:val="32"/>
        </w:rPr>
        <w:t>838.73</w:t>
      </w:r>
      <w:r>
        <w:rPr>
          <w:rFonts w:hint="eastAsia" w:ascii="仿宋_GB2312" w:eastAsia="仿宋_GB2312"/>
          <w:color w:val="000000"/>
          <w:sz w:val="32"/>
          <w:szCs w:val="32"/>
        </w:rPr>
        <w:t>亿元，是</w:t>
      </w:r>
      <w:r>
        <w:rPr>
          <w:rFonts w:ascii="仿宋_GB2312" w:eastAsia="仿宋_GB2312"/>
          <w:color w:val="000000"/>
          <w:sz w:val="32"/>
          <w:szCs w:val="32"/>
        </w:rPr>
        <w:t>2010</w:t>
      </w:r>
      <w:r>
        <w:rPr>
          <w:rFonts w:hint="eastAsia" w:ascii="仿宋_GB2312" w:eastAsia="仿宋_GB2312"/>
          <w:color w:val="000000"/>
          <w:sz w:val="32"/>
          <w:szCs w:val="32"/>
        </w:rPr>
        <w:t>年的</w:t>
      </w:r>
      <w:r>
        <w:rPr>
          <w:rFonts w:ascii="仿宋_GB2312" w:eastAsia="仿宋_GB2312"/>
          <w:color w:val="000000"/>
          <w:sz w:val="32"/>
          <w:szCs w:val="32"/>
        </w:rPr>
        <w:t>1.9</w:t>
      </w:r>
      <w:r>
        <w:rPr>
          <w:rFonts w:hint="eastAsia" w:ascii="仿宋_GB2312" w:eastAsia="仿宋_GB2312"/>
          <w:color w:val="000000"/>
          <w:sz w:val="32"/>
          <w:szCs w:val="32"/>
        </w:rPr>
        <w:t>倍；完成地方财政收入</w:t>
      </w:r>
      <w:r>
        <w:rPr>
          <w:rFonts w:ascii="仿宋_GB2312" w:eastAsia="仿宋_GB2312"/>
          <w:color w:val="000000"/>
          <w:sz w:val="32"/>
          <w:szCs w:val="32"/>
        </w:rPr>
        <w:t>84.47</w:t>
      </w:r>
      <w:r>
        <w:rPr>
          <w:rFonts w:hint="eastAsia" w:ascii="仿宋_GB2312" w:eastAsia="仿宋_GB2312"/>
          <w:color w:val="000000"/>
          <w:sz w:val="32"/>
          <w:szCs w:val="32"/>
        </w:rPr>
        <w:t>亿元，年均增长</w:t>
      </w:r>
      <w:r>
        <w:rPr>
          <w:rFonts w:ascii="仿宋_GB2312" w:eastAsia="仿宋_GB2312"/>
          <w:color w:val="000000"/>
          <w:sz w:val="32"/>
          <w:szCs w:val="32"/>
        </w:rPr>
        <w:t>16.9%</w:t>
      </w:r>
      <w:r>
        <w:rPr>
          <w:rFonts w:hint="eastAsia" w:ascii="仿宋_GB2312" w:eastAsia="仿宋_GB2312"/>
          <w:color w:val="000000"/>
          <w:sz w:val="32"/>
          <w:szCs w:val="32"/>
        </w:rPr>
        <w:t>，是</w:t>
      </w:r>
      <w:r>
        <w:rPr>
          <w:rFonts w:ascii="仿宋_GB2312" w:eastAsia="仿宋_GB2312"/>
          <w:color w:val="000000"/>
          <w:sz w:val="32"/>
          <w:szCs w:val="32"/>
        </w:rPr>
        <w:t>2010</w:t>
      </w:r>
      <w:r>
        <w:rPr>
          <w:rFonts w:hint="eastAsia" w:ascii="仿宋_GB2312" w:eastAsia="仿宋_GB2312"/>
          <w:color w:val="000000"/>
          <w:sz w:val="32"/>
          <w:szCs w:val="32"/>
        </w:rPr>
        <w:t>年</w:t>
      </w:r>
      <w:r>
        <w:rPr>
          <w:rFonts w:ascii="仿宋_GB2312" w:eastAsia="仿宋_GB2312"/>
          <w:color w:val="000000"/>
          <w:sz w:val="32"/>
          <w:szCs w:val="32"/>
        </w:rPr>
        <w:t>2.18</w:t>
      </w:r>
      <w:r>
        <w:rPr>
          <w:rFonts w:hint="eastAsia" w:ascii="仿宋_GB2312" w:eastAsia="仿宋_GB2312"/>
          <w:color w:val="000000"/>
          <w:sz w:val="32"/>
          <w:szCs w:val="32"/>
        </w:rPr>
        <w:t>倍，外贸进出口总额五年累计达到</w:t>
      </w:r>
      <w:r>
        <w:rPr>
          <w:rFonts w:ascii="仿宋_GB2312" w:eastAsia="仿宋_GB2312"/>
          <w:color w:val="000000"/>
          <w:sz w:val="32"/>
          <w:szCs w:val="32"/>
        </w:rPr>
        <w:t>42</w:t>
      </w:r>
      <w:r>
        <w:rPr>
          <w:rFonts w:hint="eastAsia" w:ascii="仿宋_GB2312" w:eastAsia="仿宋_GB2312"/>
          <w:color w:val="000000"/>
          <w:sz w:val="32"/>
          <w:szCs w:val="32"/>
        </w:rPr>
        <w:t>亿美元，是“十一五”期间的1.5倍；全市小康指数达到</w:t>
      </w:r>
      <w:r>
        <w:rPr>
          <w:rFonts w:ascii="仿宋_GB2312" w:eastAsia="仿宋_GB2312"/>
          <w:color w:val="000000"/>
          <w:sz w:val="32"/>
          <w:szCs w:val="32"/>
        </w:rPr>
        <w:t>85%</w:t>
      </w:r>
      <w:r>
        <w:rPr>
          <w:rFonts w:hint="eastAsia" w:ascii="仿宋_GB2312" w:eastAsia="仿宋_GB2312"/>
          <w:color w:val="000000"/>
          <w:sz w:val="32"/>
          <w:szCs w:val="32"/>
        </w:rPr>
        <w:t>，较</w:t>
      </w:r>
      <w:r>
        <w:rPr>
          <w:rFonts w:ascii="仿宋_GB2312" w:eastAsia="仿宋_GB2312"/>
          <w:color w:val="000000"/>
          <w:sz w:val="32"/>
          <w:szCs w:val="32"/>
        </w:rPr>
        <w:t>2010</w:t>
      </w:r>
      <w:r>
        <w:rPr>
          <w:rFonts w:hint="eastAsia" w:ascii="仿宋_GB2312" w:eastAsia="仿宋_GB2312"/>
          <w:color w:val="000000"/>
          <w:sz w:val="32"/>
          <w:szCs w:val="32"/>
        </w:rPr>
        <w:t>年提高了</w:t>
      </w:r>
      <w:r>
        <w:rPr>
          <w:rFonts w:ascii="仿宋_GB2312" w:eastAsia="仿宋_GB2312"/>
          <w:color w:val="000000"/>
          <w:sz w:val="32"/>
          <w:szCs w:val="32"/>
        </w:rPr>
        <w:t>16.4</w:t>
      </w:r>
      <w:r>
        <w:rPr>
          <w:rFonts w:hint="eastAsia" w:ascii="仿宋_GB2312" w:eastAsia="仿宋_GB2312"/>
          <w:color w:val="000000"/>
          <w:sz w:val="32"/>
          <w:szCs w:val="32"/>
        </w:rPr>
        <w:t>个百分点；引进</w:t>
      </w:r>
      <w:r>
        <w:rPr>
          <w:rFonts w:ascii="仿宋_GB2312" w:eastAsia="仿宋_GB2312"/>
          <w:color w:val="000000"/>
          <w:sz w:val="32"/>
          <w:szCs w:val="32"/>
        </w:rPr>
        <w:t>亿元以上</w:t>
      </w:r>
      <w:r>
        <w:rPr>
          <w:rFonts w:hint="eastAsia" w:ascii="仿宋_GB2312" w:eastAsia="仿宋_GB2312"/>
          <w:color w:val="000000"/>
          <w:sz w:val="32"/>
          <w:szCs w:val="32"/>
        </w:rPr>
        <w:t>招商引资项目</w:t>
      </w:r>
      <w:r>
        <w:rPr>
          <w:rFonts w:ascii="仿宋_GB2312" w:eastAsia="仿宋_GB2312"/>
          <w:color w:val="000000"/>
          <w:sz w:val="32"/>
          <w:szCs w:val="32"/>
        </w:rPr>
        <w:t>872</w:t>
      </w:r>
      <w:r>
        <w:rPr>
          <w:rFonts w:hint="eastAsia" w:ascii="仿宋_GB2312" w:eastAsia="仿宋_GB2312"/>
          <w:color w:val="000000"/>
          <w:sz w:val="32"/>
          <w:szCs w:val="32"/>
        </w:rPr>
        <w:t>个，累计实现到位资金</w:t>
      </w:r>
      <w:r>
        <w:rPr>
          <w:rFonts w:ascii="仿宋_GB2312" w:eastAsia="仿宋_GB2312"/>
          <w:color w:val="000000"/>
          <w:sz w:val="32"/>
          <w:szCs w:val="32"/>
        </w:rPr>
        <w:t>2417.87</w:t>
      </w:r>
      <w:r>
        <w:rPr>
          <w:rFonts w:hint="eastAsia" w:ascii="仿宋_GB2312" w:eastAsia="仿宋_GB2312"/>
          <w:color w:val="000000"/>
          <w:sz w:val="32"/>
          <w:szCs w:val="32"/>
        </w:rPr>
        <w:t>亿元，引进吉利汽车、农夫山泉、青岛啤酒等一批国内知名企业，建成宝平高速、西宝客专、宝麟铁路等重大工程，开工建设宝兰客专，以高速公路、重大铁路、支线机场等为支撑的综合交通网络体系加快形成。</w:t>
      </w:r>
    </w:p>
    <w:p>
      <w:pPr>
        <w:widowControl w:val="0"/>
        <w:spacing w:after="0" w:line="600" w:lineRule="exact"/>
        <w:ind w:firstLine="643" w:firstLineChars="200"/>
        <w:jc w:val="both"/>
        <w:rPr>
          <w:rFonts w:ascii="仿宋_GB2312" w:eastAsia="仿宋_GB2312"/>
          <w:sz w:val="32"/>
          <w:szCs w:val="32"/>
        </w:rPr>
      </w:pPr>
      <w:r>
        <w:rPr>
          <w:rFonts w:hint="eastAsia" w:ascii="楷体_GB2312" w:eastAsia="楷体_GB2312"/>
          <w:b/>
          <w:color w:val="000000"/>
          <w:sz w:val="32"/>
          <w:szCs w:val="32"/>
        </w:rPr>
        <w:t>经济结构出现新变化。</w:t>
      </w:r>
      <w:r>
        <w:rPr>
          <w:rFonts w:hint="eastAsia" w:ascii="仿宋_GB2312" w:eastAsia="仿宋_GB2312"/>
          <w:color w:val="000000"/>
          <w:sz w:val="32"/>
          <w:szCs w:val="32"/>
        </w:rPr>
        <w:t>三次产业比例由“十一五”末的</w:t>
      </w:r>
      <w:r>
        <w:rPr>
          <w:rFonts w:ascii="仿宋_GB2312" w:eastAsia="仿宋_GB2312"/>
          <w:color w:val="000000"/>
          <w:sz w:val="32"/>
          <w:szCs w:val="32"/>
        </w:rPr>
        <w:t>10.7</w:t>
      </w:r>
      <w:r>
        <w:rPr>
          <w:rFonts w:hint="eastAsia" w:ascii="仿宋_GB2312" w:eastAsia="仿宋_GB2312"/>
          <w:color w:val="000000"/>
          <w:sz w:val="32"/>
          <w:szCs w:val="32"/>
        </w:rPr>
        <w:t>：</w:t>
      </w:r>
      <w:r>
        <w:rPr>
          <w:rFonts w:ascii="仿宋_GB2312" w:eastAsia="仿宋_GB2312"/>
          <w:color w:val="000000"/>
          <w:sz w:val="32"/>
          <w:szCs w:val="32"/>
        </w:rPr>
        <w:t>62.9:26.4</w:t>
      </w:r>
      <w:r>
        <w:rPr>
          <w:rFonts w:hint="eastAsia" w:ascii="仿宋_GB2312" w:eastAsia="仿宋_GB2312"/>
          <w:color w:val="000000"/>
          <w:sz w:val="32"/>
          <w:szCs w:val="32"/>
        </w:rPr>
        <w:t>调整为</w:t>
      </w:r>
      <w:r>
        <w:rPr>
          <w:rFonts w:ascii="仿宋_GB2312" w:eastAsia="仿宋_GB2312"/>
          <w:color w:val="000000"/>
          <w:sz w:val="32"/>
          <w:szCs w:val="32"/>
        </w:rPr>
        <w:t>9.2</w:t>
      </w:r>
      <w:r>
        <w:rPr>
          <w:rFonts w:hint="eastAsia" w:ascii="仿宋_GB2312" w:eastAsia="仿宋_GB2312"/>
          <w:color w:val="000000"/>
          <w:sz w:val="32"/>
          <w:szCs w:val="32"/>
        </w:rPr>
        <w:t>：</w:t>
      </w:r>
      <w:r>
        <w:rPr>
          <w:rFonts w:ascii="仿宋_GB2312" w:eastAsia="仿宋_GB2312"/>
          <w:color w:val="000000"/>
          <w:sz w:val="32"/>
          <w:szCs w:val="32"/>
        </w:rPr>
        <w:t>64.4:26.4</w:t>
      </w:r>
      <w:r>
        <w:rPr>
          <w:rFonts w:hint="eastAsia" w:ascii="仿宋_GB2312" w:eastAsia="仿宋_GB2312"/>
          <w:color w:val="000000"/>
          <w:sz w:val="32"/>
          <w:szCs w:val="32"/>
        </w:rPr>
        <w:t>。新增</w:t>
      </w:r>
      <w:r>
        <w:rPr>
          <w:rFonts w:ascii="仿宋_GB2312" w:eastAsia="仿宋_GB2312"/>
          <w:color w:val="000000"/>
          <w:sz w:val="32"/>
          <w:szCs w:val="32"/>
        </w:rPr>
        <w:t>4</w:t>
      </w:r>
      <w:r>
        <w:rPr>
          <w:rFonts w:hint="eastAsia" w:ascii="仿宋_GB2312" w:eastAsia="仿宋_GB2312"/>
          <w:color w:val="000000"/>
          <w:sz w:val="32"/>
          <w:szCs w:val="32"/>
        </w:rPr>
        <w:t>个国家级现代农业示范区、40个</w:t>
      </w:r>
      <w:r>
        <w:rPr>
          <w:rFonts w:ascii="仿宋_GB2312" w:eastAsia="仿宋_GB2312"/>
          <w:color w:val="000000"/>
          <w:sz w:val="32"/>
          <w:szCs w:val="32"/>
        </w:rPr>
        <w:t>省级现代农业</w:t>
      </w:r>
      <w:r>
        <w:rPr>
          <w:rFonts w:hint="eastAsia" w:ascii="仿宋_GB2312" w:eastAsia="仿宋_GB2312"/>
          <w:color w:val="000000"/>
          <w:sz w:val="32"/>
          <w:szCs w:val="32"/>
        </w:rPr>
        <w:t>园区，猕猴桃、矮砧苹果、莎能奶山羊等特色农产品的规模化、影响力不断扩大</w:t>
      </w:r>
      <w:r>
        <w:rPr>
          <w:rFonts w:hint="eastAsia" w:ascii="仿宋_GB2312" w:eastAsia="仿宋_GB2312"/>
          <w:sz w:val="32"/>
          <w:szCs w:val="32"/>
        </w:rPr>
        <w:t>。永陇矿区资源开发实现历史突破，能源化工产业产值占工业总产值的比重提高到</w:t>
      </w:r>
      <w:r>
        <w:rPr>
          <w:rFonts w:ascii="仿宋_GB2312" w:eastAsia="仿宋_GB2312"/>
          <w:sz w:val="32"/>
          <w:szCs w:val="32"/>
        </w:rPr>
        <w:t>15%</w:t>
      </w:r>
      <w:r>
        <w:rPr>
          <w:rFonts w:hint="eastAsia" w:ascii="仿宋_GB2312" w:eastAsia="仿宋_GB2312"/>
          <w:sz w:val="32"/>
          <w:szCs w:val="32"/>
        </w:rPr>
        <w:t>，新材料、高端装备制造、风电、太阳能发电等新动能加快形成，战略性新兴产业增加值占地区生产总值的比重达到</w:t>
      </w:r>
      <w:r>
        <w:rPr>
          <w:rFonts w:ascii="仿宋_GB2312" w:eastAsia="仿宋_GB2312"/>
          <w:sz w:val="32"/>
          <w:szCs w:val="32"/>
        </w:rPr>
        <w:t>12.4%</w:t>
      </w:r>
      <w:r>
        <w:rPr>
          <w:rFonts w:hint="eastAsia" w:ascii="仿宋_GB2312" w:eastAsia="仿宋_GB2312"/>
          <w:sz w:val="32"/>
          <w:szCs w:val="32"/>
        </w:rPr>
        <w:t>；信息化指数达到</w:t>
      </w:r>
      <w:r>
        <w:rPr>
          <w:rFonts w:ascii="仿宋_GB2312" w:eastAsia="仿宋_GB2312"/>
          <w:sz w:val="32"/>
          <w:szCs w:val="32"/>
        </w:rPr>
        <w:t>75%</w:t>
      </w:r>
      <w:r>
        <w:rPr>
          <w:rFonts w:hint="eastAsia" w:ascii="仿宋_GB2312" w:eastAsia="仿宋_GB2312"/>
          <w:sz w:val="32"/>
          <w:szCs w:val="32"/>
        </w:rPr>
        <w:t>；非公经济、县域经济占地区生产总值的比重分别达到</w:t>
      </w:r>
      <w:r>
        <w:rPr>
          <w:rFonts w:ascii="仿宋_GB2312" w:eastAsia="仿宋_GB2312"/>
          <w:sz w:val="32"/>
          <w:szCs w:val="32"/>
        </w:rPr>
        <w:t>50.1%</w:t>
      </w:r>
      <w:r>
        <w:rPr>
          <w:rFonts w:hint="eastAsia" w:ascii="仿宋_GB2312" w:eastAsia="仿宋_GB2312"/>
          <w:sz w:val="32"/>
          <w:szCs w:val="32"/>
        </w:rPr>
        <w:t>、</w:t>
      </w:r>
      <w:r>
        <w:rPr>
          <w:rFonts w:ascii="仿宋_GB2312" w:eastAsia="仿宋_GB2312"/>
          <w:sz w:val="32"/>
          <w:szCs w:val="32"/>
        </w:rPr>
        <w:t>48.5%</w:t>
      </w:r>
      <w:r>
        <w:rPr>
          <w:rFonts w:hint="eastAsia" w:ascii="仿宋_GB2312" w:eastAsia="仿宋_GB2312"/>
          <w:sz w:val="32"/>
          <w:szCs w:val="32"/>
        </w:rPr>
        <w:t>，占到全市经济总量的半壁江山。</w:t>
      </w:r>
    </w:p>
    <w:p>
      <w:pPr>
        <w:widowControl w:val="0"/>
        <w:spacing w:after="0" w:line="600" w:lineRule="exact"/>
        <w:ind w:firstLine="643" w:firstLineChars="200"/>
        <w:jc w:val="both"/>
        <w:rPr>
          <w:rFonts w:ascii="仿宋_GB2312" w:eastAsia="仿宋_GB2312"/>
          <w:sz w:val="32"/>
          <w:szCs w:val="32"/>
        </w:rPr>
      </w:pPr>
      <w:r>
        <w:rPr>
          <w:rFonts w:hint="eastAsia" w:ascii="楷体_GB2312" w:eastAsia="楷体_GB2312"/>
          <w:b/>
          <w:sz w:val="32"/>
          <w:szCs w:val="32"/>
        </w:rPr>
        <w:t>改革创新呈现新亮点。</w:t>
      </w:r>
      <w:r>
        <w:rPr>
          <w:rFonts w:hint="eastAsia" w:ascii="仿宋_GB2312" w:eastAsia="仿宋_GB2312"/>
          <w:sz w:val="32"/>
          <w:szCs w:val="32"/>
        </w:rPr>
        <w:t>下放取消行政审批事项</w:t>
      </w:r>
      <w:r>
        <w:rPr>
          <w:rFonts w:ascii="仿宋_GB2312" w:eastAsia="仿宋_GB2312"/>
          <w:sz w:val="32"/>
          <w:szCs w:val="32"/>
        </w:rPr>
        <w:t>195</w:t>
      </w:r>
      <w:r>
        <w:rPr>
          <w:rFonts w:hint="eastAsia" w:ascii="仿宋_GB2312" w:eastAsia="仿宋_GB2312"/>
          <w:sz w:val="32"/>
          <w:szCs w:val="32"/>
        </w:rPr>
        <w:t>项，市级行政审批事项总数减少</w:t>
      </w:r>
      <w:r>
        <w:rPr>
          <w:rFonts w:ascii="仿宋_GB2312" w:eastAsia="仿宋_GB2312"/>
          <w:sz w:val="32"/>
          <w:szCs w:val="32"/>
        </w:rPr>
        <w:t>35.6%</w:t>
      </w:r>
      <w:r>
        <w:rPr>
          <w:rFonts w:hint="eastAsia" w:ascii="仿宋_GB2312" w:eastAsia="仿宋_GB2312"/>
          <w:sz w:val="32"/>
          <w:szCs w:val="32"/>
        </w:rPr>
        <w:t>，工商登记制度改革、户籍制度改革、农村土地流转等重大改革红利持续释放，市县机构改革、农村土地确权登记全面完成，在全省率先推行“百姓问政”。研究与试验发展经费占比达到</w:t>
      </w:r>
      <w:r>
        <w:rPr>
          <w:rFonts w:ascii="仿宋_GB2312" w:eastAsia="仿宋_GB2312"/>
          <w:sz w:val="32"/>
          <w:szCs w:val="32"/>
        </w:rPr>
        <w:t>2.8%</w:t>
      </w:r>
      <w:r>
        <w:rPr>
          <w:rFonts w:hint="eastAsia" w:ascii="仿宋_GB2312" w:eastAsia="仿宋_GB2312"/>
          <w:sz w:val="32"/>
          <w:szCs w:val="32"/>
        </w:rPr>
        <w:t>，科技进步贡献率达到</w:t>
      </w:r>
      <w:r>
        <w:rPr>
          <w:rFonts w:ascii="仿宋_GB2312" w:eastAsia="仿宋_GB2312"/>
          <w:sz w:val="32"/>
          <w:szCs w:val="32"/>
        </w:rPr>
        <w:t>58%</w:t>
      </w:r>
      <w:r>
        <w:rPr>
          <w:rFonts w:hint="eastAsia" w:ascii="仿宋_GB2312" w:eastAsia="仿宋_GB2312"/>
          <w:sz w:val="32"/>
          <w:szCs w:val="32"/>
        </w:rPr>
        <w:t>，建成国家创新型试点城市和国家知识产权示范城市，建成石油天然气管材、石油钻采装备等</w:t>
      </w:r>
      <w:r>
        <w:rPr>
          <w:rFonts w:ascii="仿宋_GB2312" w:eastAsia="仿宋_GB2312"/>
          <w:sz w:val="32"/>
          <w:szCs w:val="32"/>
        </w:rPr>
        <w:t>2</w:t>
      </w:r>
      <w:r>
        <w:rPr>
          <w:rFonts w:hint="eastAsia" w:ascii="仿宋_GB2312" w:eastAsia="仿宋_GB2312"/>
          <w:sz w:val="32"/>
          <w:szCs w:val="32"/>
        </w:rPr>
        <w:t>个国家级技术研究中心，全市攻克重大关键技术</w:t>
      </w:r>
      <w:r>
        <w:rPr>
          <w:rFonts w:ascii="仿宋_GB2312" w:eastAsia="仿宋_GB2312"/>
          <w:sz w:val="32"/>
          <w:szCs w:val="32"/>
        </w:rPr>
        <w:t>130</w:t>
      </w:r>
      <w:r>
        <w:rPr>
          <w:rFonts w:hint="eastAsia" w:ascii="仿宋_GB2312" w:eastAsia="仿宋_GB2312"/>
          <w:sz w:val="32"/>
          <w:szCs w:val="32"/>
        </w:rPr>
        <w:t>项。新增</w:t>
      </w:r>
      <w:r>
        <w:rPr>
          <w:rFonts w:ascii="仿宋_GB2312" w:eastAsia="仿宋_GB2312"/>
          <w:sz w:val="32"/>
          <w:szCs w:val="32"/>
        </w:rPr>
        <w:t>56</w:t>
      </w:r>
      <w:r>
        <w:rPr>
          <w:rFonts w:hint="eastAsia" w:ascii="仿宋_GB2312" w:eastAsia="仿宋_GB2312"/>
          <w:sz w:val="32"/>
          <w:szCs w:val="32"/>
        </w:rPr>
        <w:t>家金融机构，期货营业部、“新三板”挂牌企业、创业投资基金实现了从无到有。</w:t>
      </w:r>
    </w:p>
    <w:p>
      <w:pPr>
        <w:widowControl w:val="0"/>
        <w:spacing w:after="0" w:line="600" w:lineRule="exact"/>
        <w:ind w:firstLine="643" w:firstLineChars="200"/>
        <w:jc w:val="both"/>
        <w:rPr>
          <w:rFonts w:ascii="仿宋_GB2312" w:eastAsia="仿宋_GB2312"/>
          <w:sz w:val="32"/>
          <w:szCs w:val="32"/>
        </w:rPr>
      </w:pPr>
      <w:r>
        <w:rPr>
          <w:rFonts w:hint="eastAsia" w:ascii="楷体_GB2312" w:eastAsia="楷体_GB2312"/>
          <w:b/>
          <w:sz w:val="32"/>
          <w:szCs w:val="32"/>
        </w:rPr>
        <w:t>文化影响实现新突破。</w:t>
      </w:r>
      <w:r>
        <w:rPr>
          <w:rFonts w:hint="eastAsia" w:ascii="仿宋_GB2312" w:eastAsia="仿宋_GB2312"/>
          <w:sz w:val="32"/>
          <w:szCs w:val="32"/>
        </w:rPr>
        <w:t>建成全国文明城市，成功举办第</w:t>
      </w:r>
      <w:r>
        <w:rPr>
          <w:rFonts w:ascii="仿宋_GB2312" w:eastAsia="仿宋_GB2312"/>
          <w:sz w:val="32"/>
          <w:szCs w:val="32"/>
        </w:rPr>
        <w:t>27</w:t>
      </w:r>
      <w:r>
        <w:rPr>
          <w:rFonts w:hint="eastAsia" w:ascii="仿宋_GB2312" w:eastAsia="仿宋_GB2312"/>
          <w:sz w:val="32"/>
          <w:szCs w:val="32"/>
        </w:rPr>
        <w:t>届世界佛教徒联谊大会、省第十五届运动会，西交会和全球华人省亲祭祖大会等重大节庆活动。文化体制改革基本完成，文化资源优势逐步向产业优势转变，建成文化产业示范基地</w:t>
      </w:r>
      <w:r>
        <w:rPr>
          <w:rFonts w:ascii="仿宋_GB2312" w:eastAsia="仿宋_GB2312"/>
          <w:sz w:val="32"/>
          <w:szCs w:val="32"/>
        </w:rPr>
        <w:t>14</w:t>
      </w:r>
      <w:r>
        <w:rPr>
          <w:rFonts w:hint="eastAsia" w:ascii="仿宋_GB2312" w:eastAsia="仿宋_GB2312"/>
          <w:sz w:val="32"/>
          <w:szCs w:val="32"/>
        </w:rPr>
        <w:t>个，其中国家级文化产业示范基地</w:t>
      </w:r>
      <w:r>
        <w:rPr>
          <w:rFonts w:ascii="仿宋_GB2312" w:eastAsia="仿宋_GB2312"/>
          <w:sz w:val="32"/>
          <w:szCs w:val="32"/>
        </w:rPr>
        <w:t>2</w:t>
      </w:r>
      <w:r>
        <w:rPr>
          <w:rFonts w:hint="eastAsia" w:ascii="仿宋_GB2312" w:eastAsia="仿宋_GB2312"/>
          <w:sz w:val="32"/>
          <w:szCs w:val="32"/>
        </w:rPr>
        <w:t>个。成为全省首家国家公共文化服务体系示范区。法门寺佛文化景区创建成国家</w:t>
      </w:r>
      <w:r>
        <w:rPr>
          <w:rFonts w:ascii="仿宋_GB2312" w:eastAsia="仿宋_GB2312"/>
          <w:sz w:val="32"/>
          <w:szCs w:val="32"/>
        </w:rPr>
        <w:t>5A</w:t>
      </w:r>
      <w:r>
        <w:rPr>
          <w:rFonts w:hint="eastAsia" w:ascii="仿宋_GB2312" w:eastAsia="仿宋_GB2312"/>
          <w:sz w:val="32"/>
          <w:szCs w:val="32"/>
        </w:rPr>
        <w:t>级旅游景区，全市</w:t>
      </w:r>
      <w:r>
        <w:rPr>
          <w:rFonts w:ascii="仿宋_GB2312" w:eastAsia="仿宋_GB2312"/>
          <w:sz w:val="32"/>
          <w:szCs w:val="32"/>
        </w:rPr>
        <w:t>A</w:t>
      </w:r>
      <w:r>
        <w:rPr>
          <w:rFonts w:hint="eastAsia" w:ascii="仿宋_GB2312" w:eastAsia="仿宋_GB2312"/>
          <w:sz w:val="32"/>
          <w:szCs w:val="32"/>
        </w:rPr>
        <w:t>级景区达到</w:t>
      </w:r>
      <w:r>
        <w:rPr>
          <w:rFonts w:ascii="仿宋_GB2312" w:eastAsia="仿宋_GB2312"/>
          <w:sz w:val="32"/>
          <w:szCs w:val="32"/>
        </w:rPr>
        <w:t>38</w:t>
      </w:r>
      <w:r>
        <w:rPr>
          <w:rFonts w:hint="eastAsia" w:ascii="仿宋_GB2312" w:eastAsia="仿宋_GB2312"/>
          <w:sz w:val="32"/>
          <w:szCs w:val="32"/>
        </w:rPr>
        <w:t>个，非物质文化遗产保护中心达到</w:t>
      </w:r>
      <w:r>
        <w:rPr>
          <w:rFonts w:ascii="仿宋_GB2312" w:eastAsia="仿宋_GB2312"/>
          <w:sz w:val="32"/>
          <w:szCs w:val="32"/>
        </w:rPr>
        <w:t>13</w:t>
      </w:r>
      <w:r>
        <w:rPr>
          <w:rFonts w:hint="eastAsia" w:ascii="仿宋_GB2312" w:eastAsia="仿宋_GB2312"/>
          <w:sz w:val="32"/>
          <w:szCs w:val="32"/>
        </w:rPr>
        <w:t>个，全市旅游业综合收入占地区生产总值比重提高到</w:t>
      </w:r>
      <w:r>
        <w:rPr>
          <w:rFonts w:ascii="仿宋_GB2312" w:eastAsia="仿宋_GB2312"/>
          <w:sz w:val="32"/>
          <w:szCs w:val="32"/>
        </w:rPr>
        <w:t>20.3%</w:t>
      </w:r>
      <w:r>
        <w:rPr>
          <w:rFonts w:hint="eastAsia" w:ascii="仿宋_GB2312" w:eastAsia="仿宋_GB2312"/>
          <w:sz w:val="32"/>
          <w:szCs w:val="32"/>
        </w:rPr>
        <w:t>，比</w:t>
      </w:r>
      <w:r>
        <w:rPr>
          <w:rFonts w:ascii="仿宋_GB2312" w:eastAsia="仿宋_GB2312"/>
          <w:sz w:val="32"/>
          <w:szCs w:val="32"/>
        </w:rPr>
        <w:t>2010</w:t>
      </w:r>
      <w:r>
        <w:rPr>
          <w:rFonts w:hint="eastAsia" w:ascii="仿宋_GB2312" w:eastAsia="仿宋_GB2312"/>
          <w:sz w:val="32"/>
          <w:szCs w:val="32"/>
        </w:rPr>
        <w:t>年提高</w:t>
      </w:r>
      <w:r>
        <w:rPr>
          <w:rFonts w:ascii="仿宋_GB2312" w:eastAsia="仿宋_GB2312"/>
          <w:sz w:val="32"/>
          <w:szCs w:val="32"/>
        </w:rPr>
        <w:t>10</w:t>
      </w:r>
      <w:r>
        <w:rPr>
          <w:rFonts w:hint="eastAsia" w:ascii="仿宋_GB2312" w:eastAsia="仿宋_GB2312"/>
          <w:sz w:val="32"/>
          <w:szCs w:val="32"/>
        </w:rPr>
        <w:t>个百分点。</w:t>
      </w:r>
    </w:p>
    <w:p>
      <w:pPr>
        <w:widowControl w:val="0"/>
        <w:spacing w:after="0" w:line="600" w:lineRule="exact"/>
        <w:ind w:firstLine="643" w:firstLineChars="200"/>
        <w:jc w:val="both"/>
        <w:rPr>
          <w:rFonts w:ascii="仿宋_GB2312" w:eastAsia="仿宋_GB2312"/>
          <w:sz w:val="32"/>
          <w:szCs w:val="32"/>
        </w:rPr>
      </w:pPr>
      <w:r>
        <w:rPr>
          <w:rFonts w:hint="eastAsia" w:ascii="楷体_GB2312" w:eastAsia="楷体_GB2312"/>
          <w:b/>
          <w:sz w:val="32"/>
          <w:szCs w:val="32"/>
        </w:rPr>
        <w:t>发展环境集聚新优势。</w:t>
      </w:r>
      <w:r>
        <w:rPr>
          <w:rFonts w:hint="eastAsia" w:ascii="仿宋_GB2312" w:eastAsia="仿宋_GB2312"/>
          <w:sz w:val="32"/>
          <w:szCs w:val="32"/>
        </w:rPr>
        <w:t>节能减排主要任务提前一年完成，单位地区生产总值能耗和二氧化碳排放分别下降</w:t>
      </w:r>
      <w:r>
        <w:rPr>
          <w:rFonts w:ascii="仿宋_GB2312" w:eastAsia="仿宋_GB2312"/>
          <w:sz w:val="32"/>
          <w:szCs w:val="32"/>
        </w:rPr>
        <w:t>16%</w:t>
      </w:r>
      <w:r>
        <w:rPr>
          <w:rFonts w:hint="eastAsia" w:ascii="仿宋_GB2312" w:eastAsia="仿宋_GB2312"/>
          <w:sz w:val="32"/>
          <w:szCs w:val="32"/>
        </w:rPr>
        <w:t>和</w:t>
      </w:r>
      <w:r>
        <w:rPr>
          <w:rFonts w:ascii="仿宋_GB2312" w:eastAsia="仿宋_GB2312"/>
          <w:sz w:val="32"/>
          <w:szCs w:val="32"/>
        </w:rPr>
        <w:t>19%</w:t>
      </w:r>
      <w:r>
        <w:rPr>
          <w:rFonts w:hint="eastAsia" w:ascii="仿宋_GB2312" w:eastAsia="仿宋_GB2312"/>
          <w:sz w:val="32"/>
          <w:szCs w:val="32"/>
        </w:rPr>
        <w:t>，市区空气质量位列关中前茅。渭河流域水污染防治和“治污降霾·保卫蓝天”行动成效显著，渭河新增水面</w:t>
      </w:r>
      <w:r>
        <w:rPr>
          <w:rFonts w:ascii="仿宋_GB2312" w:eastAsia="仿宋_GB2312"/>
          <w:sz w:val="32"/>
          <w:szCs w:val="32"/>
        </w:rPr>
        <w:t>100</w:t>
      </w:r>
      <w:r>
        <w:rPr>
          <w:rFonts w:hint="eastAsia" w:ascii="仿宋_GB2312" w:eastAsia="仿宋_GB2312"/>
          <w:sz w:val="32"/>
          <w:szCs w:val="32"/>
        </w:rPr>
        <w:t>多万平方米。推进关中大地园林化、农村综合环境整治，城市建成区绿化绿地率达到</w:t>
      </w:r>
      <w:r>
        <w:rPr>
          <w:rFonts w:ascii="仿宋_GB2312" w:eastAsia="仿宋_GB2312"/>
          <w:sz w:val="32"/>
          <w:szCs w:val="32"/>
        </w:rPr>
        <w:t>37.62%</w:t>
      </w:r>
      <w:r>
        <w:rPr>
          <w:rFonts w:hint="eastAsia" w:ascii="仿宋_GB2312" w:eastAsia="仿宋_GB2312"/>
          <w:sz w:val="32"/>
          <w:szCs w:val="32"/>
        </w:rPr>
        <w:t>，森林覆盖率</w:t>
      </w:r>
      <w:r>
        <w:rPr>
          <w:rFonts w:ascii="仿宋_GB2312" w:eastAsia="仿宋_GB2312"/>
          <w:sz w:val="32"/>
          <w:szCs w:val="32"/>
        </w:rPr>
        <w:t>55.26%</w:t>
      </w:r>
      <w:r>
        <w:rPr>
          <w:rFonts w:hint="eastAsia" w:ascii="仿宋_GB2312" w:eastAsia="仿宋_GB2312"/>
          <w:sz w:val="32"/>
          <w:szCs w:val="32"/>
        </w:rPr>
        <w:t>，荣获中国人居环境奖、国家森林城市、国家生态园林城市等多项殊荣。中心城区建成区面积达到</w:t>
      </w:r>
      <w:r>
        <w:rPr>
          <w:rFonts w:ascii="仿宋_GB2312" w:eastAsia="仿宋_GB2312"/>
          <w:sz w:val="32"/>
          <w:szCs w:val="32"/>
        </w:rPr>
        <w:t>106</w:t>
      </w:r>
      <w:r>
        <w:rPr>
          <w:rFonts w:hint="eastAsia" w:ascii="仿宋_GB2312" w:eastAsia="仿宋_GB2312"/>
          <w:sz w:val="32"/>
          <w:szCs w:val="32"/>
        </w:rPr>
        <w:t>平方公里，增加15平方</w:t>
      </w:r>
      <w:r>
        <w:rPr>
          <w:rFonts w:ascii="仿宋_GB2312" w:eastAsia="仿宋_GB2312"/>
          <w:sz w:val="32"/>
          <w:szCs w:val="32"/>
        </w:rPr>
        <w:t>公里，</w:t>
      </w:r>
      <w:r>
        <w:rPr>
          <w:rFonts w:hint="eastAsia" w:ascii="仿宋_GB2312" w:eastAsia="仿宋_GB2312"/>
          <w:sz w:val="32"/>
          <w:szCs w:val="32"/>
        </w:rPr>
        <w:t>人口</w:t>
      </w:r>
      <w:r>
        <w:rPr>
          <w:rFonts w:ascii="仿宋_GB2312" w:eastAsia="仿宋_GB2312"/>
          <w:sz w:val="32"/>
          <w:szCs w:val="32"/>
        </w:rPr>
        <w:t>97</w:t>
      </w:r>
      <w:r>
        <w:rPr>
          <w:rFonts w:hint="eastAsia" w:ascii="仿宋_GB2312" w:eastAsia="仿宋_GB2312"/>
          <w:sz w:val="32"/>
          <w:szCs w:val="32"/>
        </w:rPr>
        <w:t>万，一主三副七县城重点镇和一般镇的五级城镇体系基本形成，常住</w:t>
      </w:r>
      <w:r>
        <w:rPr>
          <w:rFonts w:ascii="仿宋_GB2312" w:eastAsia="仿宋_GB2312"/>
          <w:sz w:val="32"/>
          <w:szCs w:val="32"/>
        </w:rPr>
        <w:t>人口</w:t>
      </w:r>
      <w:r>
        <w:rPr>
          <w:rFonts w:hint="eastAsia" w:ascii="仿宋_GB2312" w:eastAsia="仿宋_GB2312"/>
          <w:sz w:val="32"/>
          <w:szCs w:val="32"/>
        </w:rPr>
        <w:t>城镇化率达到</w:t>
      </w:r>
      <w:r>
        <w:rPr>
          <w:rFonts w:ascii="仿宋_GB2312" w:eastAsia="仿宋_GB2312"/>
          <w:sz w:val="32"/>
          <w:szCs w:val="32"/>
        </w:rPr>
        <w:t>49%</w:t>
      </w:r>
      <w:r>
        <w:rPr>
          <w:rFonts w:hint="eastAsia" w:ascii="仿宋_GB2312" w:eastAsia="仿宋_GB2312"/>
          <w:sz w:val="32"/>
          <w:szCs w:val="32"/>
        </w:rPr>
        <w:t>，比</w:t>
      </w:r>
      <w:r>
        <w:rPr>
          <w:rFonts w:ascii="仿宋_GB2312" w:eastAsia="仿宋_GB2312"/>
          <w:sz w:val="32"/>
          <w:szCs w:val="32"/>
        </w:rPr>
        <w:t>2010</w:t>
      </w:r>
      <w:r>
        <w:rPr>
          <w:rFonts w:hint="eastAsia" w:ascii="仿宋_GB2312" w:eastAsia="仿宋_GB2312"/>
          <w:sz w:val="32"/>
          <w:szCs w:val="32"/>
        </w:rPr>
        <w:t>年提高</w:t>
      </w:r>
      <w:r>
        <w:rPr>
          <w:rFonts w:ascii="仿宋_GB2312" w:eastAsia="仿宋_GB2312"/>
          <w:sz w:val="32"/>
          <w:szCs w:val="32"/>
        </w:rPr>
        <w:t>7.61</w:t>
      </w:r>
      <w:r>
        <w:rPr>
          <w:rFonts w:hint="eastAsia" w:ascii="仿宋_GB2312" w:eastAsia="仿宋_GB2312"/>
          <w:sz w:val="32"/>
          <w:szCs w:val="32"/>
        </w:rPr>
        <w:t>个百分点。</w:t>
      </w:r>
    </w:p>
    <w:p>
      <w:pPr>
        <w:widowControl w:val="0"/>
        <w:spacing w:after="0" w:line="600" w:lineRule="exact"/>
        <w:ind w:firstLine="643" w:firstLineChars="200"/>
        <w:jc w:val="both"/>
        <w:rPr>
          <w:rFonts w:ascii="仿宋_GB2312" w:eastAsia="仿宋_GB2312"/>
          <w:sz w:val="32"/>
          <w:szCs w:val="32"/>
        </w:rPr>
      </w:pPr>
      <w:r>
        <w:rPr>
          <w:rFonts w:hint="eastAsia" w:ascii="楷体_GB2312" w:eastAsia="楷体_GB2312"/>
          <w:b/>
          <w:sz w:val="32"/>
          <w:szCs w:val="32"/>
        </w:rPr>
        <w:t>社会民生取得新成就。</w:t>
      </w:r>
      <w:r>
        <w:rPr>
          <w:rFonts w:hint="eastAsia" w:ascii="仿宋_GB2312" w:eastAsia="仿宋_GB2312"/>
          <w:sz w:val="32"/>
          <w:szCs w:val="32"/>
        </w:rPr>
        <w:t>大社保“宝鸡模式”影响力和认可度持续提高，城乡居民</w:t>
      </w:r>
      <w:r>
        <w:rPr>
          <w:rFonts w:hint="eastAsia" w:ascii="仿宋_GB2312" w:eastAsia="仿宋_GB2312"/>
          <w:color w:val="000000"/>
          <w:sz w:val="32"/>
          <w:szCs w:val="32"/>
        </w:rPr>
        <w:t>基本养老保险经验在全国推广，城乡居民养老保险并轨走在西部前列，累计实现城镇新增就业27.5万人，荣获全国创业先进城市。成为首批国家公立医院改革试点城市，在西部地区率先实现“国家卫生县城全覆盖”；</w:t>
      </w:r>
      <w:r>
        <w:rPr>
          <w:rFonts w:ascii="仿宋_GB2312" w:eastAsia="仿宋_GB2312"/>
          <w:color w:val="000000"/>
          <w:sz w:val="32"/>
          <w:szCs w:val="32"/>
        </w:rPr>
        <w:t>8</w:t>
      </w:r>
      <w:r>
        <w:rPr>
          <w:rFonts w:hint="eastAsia" w:ascii="仿宋_GB2312" w:eastAsia="仿宋_GB2312"/>
          <w:color w:val="000000"/>
          <w:sz w:val="32"/>
          <w:szCs w:val="32"/>
        </w:rPr>
        <w:t>个县区建成全国义务教育发展基本均衡县区，</w:t>
      </w:r>
      <w:r>
        <w:rPr>
          <w:rFonts w:ascii="仿宋_GB2312" w:eastAsia="仿宋_GB2312"/>
          <w:color w:val="000000"/>
          <w:sz w:val="32"/>
          <w:szCs w:val="32"/>
        </w:rPr>
        <w:t>6</w:t>
      </w:r>
      <w:r>
        <w:rPr>
          <w:rFonts w:hint="eastAsia" w:ascii="仿宋_GB2312" w:eastAsia="仿宋_GB2312"/>
          <w:color w:val="000000"/>
          <w:sz w:val="32"/>
          <w:szCs w:val="32"/>
        </w:rPr>
        <w:t>个县区建成省级教育强县（区），学前教育毛入学率实现翻番；</w:t>
      </w:r>
      <w:r>
        <w:rPr>
          <w:rFonts w:ascii="仿宋_GB2312" w:eastAsia="仿宋_GB2312"/>
          <w:color w:val="000000"/>
          <w:sz w:val="32"/>
          <w:szCs w:val="32"/>
        </w:rPr>
        <w:t>50.6</w:t>
      </w:r>
      <w:r>
        <w:rPr>
          <w:rFonts w:hint="eastAsia" w:ascii="仿宋_GB2312" w:eastAsia="仿宋_GB2312"/>
          <w:color w:val="000000"/>
          <w:sz w:val="32"/>
          <w:szCs w:val="32"/>
        </w:rPr>
        <w:t>万农村贫困人口实现脱贫，在</w:t>
      </w:r>
      <w:r>
        <w:rPr>
          <w:rFonts w:ascii="仿宋_GB2312" w:eastAsia="仿宋_GB2312"/>
          <w:color w:val="000000"/>
          <w:sz w:val="32"/>
          <w:szCs w:val="32"/>
        </w:rPr>
        <w:t>全省率先完成三</w:t>
      </w:r>
      <w:r>
        <w:rPr>
          <w:rFonts w:hint="eastAsia" w:ascii="仿宋_GB2312" w:eastAsia="仿宋_GB2312"/>
          <w:color w:val="000000"/>
          <w:sz w:val="32"/>
          <w:szCs w:val="32"/>
        </w:rPr>
        <w:t>无</w:t>
      </w:r>
      <w:r>
        <w:rPr>
          <w:rFonts w:ascii="仿宋_GB2312" w:eastAsia="仿宋_GB2312"/>
          <w:color w:val="000000"/>
          <w:sz w:val="32"/>
          <w:szCs w:val="32"/>
        </w:rPr>
        <w:t>户村民搬迁</w:t>
      </w:r>
      <w:r>
        <w:rPr>
          <w:rFonts w:hint="eastAsia" w:ascii="仿宋_GB2312" w:eastAsia="仿宋_GB2312"/>
          <w:color w:val="000000"/>
          <w:sz w:val="32"/>
          <w:szCs w:val="32"/>
        </w:rPr>
        <w:t>；城乡居民收</w:t>
      </w:r>
      <w:r>
        <w:rPr>
          <w:rFonts w:hint="eastAsia" w:ascii="仿宋_GB2312" w:eastAsia="仿宋_GB2312"/>
          <w:sz w:val="32"/>
          <w:szCs w:val="32"/>
        </w:rPr>
        <w:t>入分别达到</w:t>
      </w:r>
      <w:r>
        <w:rPr>
          <w:rFonts w:ascii="仿宋_GB2312" w:eastAsia="仿宋_GB2312"/>
          <w:sz w:val="32"/>
          <w:szCs w:val="32"/>
        </w:rPr>
        <w:t>34249</w:t>
      </w:r>
      <w:r>
        <w:rPr>
          <w:rFonts w:hint="eastAsia" w:ascii="仿宋_GB2312" w:eastAsia="仿宋_GB2312"/>
          <w:sz w:val="32"/>
          <w:szCs w:val="32"/>
        </w:rPr>
        <w:t>元和</w:t>
      </w:r>
      <w:r>
        <w:rPr>
          <w:rFonts w:ascii="仿宋_GB2312" w:eastAsia="仿宋_GB2312"/>
          <w:sz w:val="32"/>
          <w:szCs w:val="32"/>
        </w:rPr>
        <w:t>10316</w:t>
      </w:r>
      <w:r>
        <w:rPr>
          <w:rFonts w:hint="eastAsia" w:ascii="仿宋_GB2312" w:eastAsia="仿宋_GB2312"/>
          <w:sz w:val="32"/>
          <w:szCs w:val="32"/>
        </w:rPr>
        <w:t>元（老口径</w:t>
      </w:r>
      <w:r>
        <w:rPr>
          <w:rFonts w:ascii="仿宋_GB2312" w:eastAsia="仿宋_GB2312"/>
          <w:sz w:val="32"/>
          <w:szCs w:val="32"/>
        </w:rPr>
        <w:t>统计）</w:t>
      </w:r>
      <w:r>
        <w:rPr>
          <w:rFonts w:hint="eastAsia" w:ascii="仿宋_GB2312" w:eastAsia="仿宋_GB2312"/>
          <w:sz w:val="32"/>
          <w:szCs w:val="32"/>
        </w:rPr>
        <w:t>，是</w:t>
      </w:r>
      <w:r>
        <w:rPr>
          <w:rFonts w:ascii="仿宋_GB2312" w:eastAsia="仿宋_GB2312"/>
          <w:sz w:val="32"/>
          <w:szCs w:val="32"/>
        </w:rPr>
        <w:t>2010</w:t>
      </w:r>
      <w:r>
        <w:rPr>
          <w:rFonts w:hint="eastAsia" w:ascii="仿宋_GB2312" w:eastAsia="仿宋_GB2312"/>
          <w:sz w:val="32"/>
          <w:szCs w:val="32"/>
        </w:rPr>
        <w:t>年</w:t>
      </w:r>
      <w:r>
        <w:rPr>
          <w:rFonts w:ascii="仿宋_GB2312" w:eastAsia="仿宋_GB2312"/>
          <w:sz w:val="32"/>
          <w:szCs w:val="32"/>
        </w:rPr>
        <w:t>1.8</w:t>
      </w:r>
      <w:r>
        <w:rPr>
          <w:rFonts w:hint="eastAsia" w:ascii="仿宋_GB2312" w:eastAsia="仿宋_GB2312"/>
          <w:sz w:val="32"/>
          <w:szCs w:val="32"/>
        </w:rPr>
        <w:t>和</w:t>
      </w:r>
      <w:r>
        <w:rPr>
          <w:rFonts w:ascii="仿宋_GB2312" w:eastAsia="仿宋_GB2312"/>
          <w:sz w:val="32"/>
          <w:szCs w:val="32"/>
        </w:rPr>
        <w:t>2.04</w:t>
      </w:r>
      <w:r>
        <w:rPr>
          <w:rFonts w:hint="eastAsia" w:ascii="仿宋_GB2312" w:eastAsia="仿宋_GB2312"/>
          <w:sz w:val="32"/>
          <w:szCs w:val="32"/>
        </w:rPr>
        <w:t>倍，收入比从</w:t>
      </w:r>
      <w:r>
        <w:rPr>
          <w:rFonts w:ascii="仿宋_GB2312" w:eastAsia="仿宋_GB2312"/>
          <w:sz w:val="32"/>
          <w:szCs w:val="32"/>
        </w:rPr>
        <w:t>3.75:1</w:t>
      </w:r>
      <w:r>
        <w:rPr>
          <w:rFonts w:hint="eastAsia" w:ascii="仿宋_GB2312" w:eastAsia="仿宋_GB2312"/>
          <w:sz w:val="32"/>
          <w:szCs w:val="32"/>
        </w:rPr>
        <w:t>下降到</w:t>
      </w:r>
      <w:r>
        <w:rPr>
          <w:rFonts w:ascii="仿宋_GB2312" w:eastAsia="仿宋_GB2312"/>
          <w:sz w:val="32"/>
          <w:szCs w:val="32"/>
        </w:rPr>
        <w:t>3:1</w:t>
      </w:r>
      <w:r>
        <w:rPr>
          <w:rFonts w:hint="eastAsia" w:ascii="仿宋_GB2312" w:eastAsia="仿宋_GB2312"/>
          <w:sz w:val="32"/>
          <w:szCs w:val="32"/>
        </w:rPr>
        <w:t>，群众的幸福指数显著提升。</w:t>
      </w:r>
    </w:p>
    <w:p>
      <w:pPr>
        <w:widowControl w:val="0"/>
        <w:spacing w:after="0" w:line="600" w:lineRule="exact"/>
        <w:ind w:firstLine="640" w:firstLineChars="200"/>
        <w:jc w:val="both"/>
        <w:rPr>
          <w:rFonts w:ascii="仿宋_GB2312" w:eastAsia="仿宋_GB2312"/>
          <w:sz w:val="32"/>
          <w:szCs w:val="32"/>
        </w:rPr>
      </w:pPr>
      <w:r>
        <w:rPr>
          <w:rFonts w:hint="eastAsia" w:ascii="仿宋_GB2312" w:eastAsia="仿宋_GB2312"/>
          <w:sz w:val="32"/>
          <w:szCs w:val="32"/>
        </w:rPr>
        <w:t>“十二五”时期是改革开放以来宝鸡经济社会发展最好最快的时期之一。成绩的取得</w:t>
      </w:r>
      <w:r>
        <w:rPr>
          <w:rFonts w:hint="eastAsia" w:ascii="仿宋_GB2312" w:eastAsia="仿宋_GB2312"/>
          <w:b/>
          <w:sz w:val="32"/>
          <w:szCs w:val="32"/>
        </w:rPr>
        <w:t>得益于</w:t>
      </w:r>
      <w:r>
        <w:rPr>
          <w:rFonts w:hint="eastAsia" w:ascii="仿宋_GB2312" w:eastAsia="仿宋_GB2312"/>
          <w:sz w:val="32"/>
          <w:szCs w:val="32"/>
        </w:rPr>
        <w:t>市委市政府的坚强领导和全市人民的不懈努力；</w:t>
      </w:r>
      <w:r>
        <w:rPr>
          <w:rFonts w:hint="eastAsia" w:ascii="仿宋_GB2312" w:eastAsia="仿宋_GB2312"/>
          <w:b/>
          <w:sz w:val="32"/>
          <w:szCs w:val="32"/>
        </w:rPr>
        <w:t>得益于</w:t>
      </w:r>
      <w:r>
        <w:rPr>
          <w:rFonts w:hint="eastAsia" w:ascii="仿宋_GB2312" w:eastAsia="仿宋_GB2312"/>
          <w:sz w:val="32"/>
          <w:szCs w:val="32"/>
        </w:rPr>
        <w:t>强化招商引资，狠抓项目建设，持续提升投资拉动作用；</w:t>
      </w:r>
      <w:r>
        <w:rPr>
          <w:rFonts w:hint="eastAsia" w:ascii="仿宋_GB2312" w:eastAsia="仿宋_GB2312"/>
          <w:b/>
          <w:sz w:val="32"/>
          <w:szCs w:val="32"/>
        </w:rPr>
        <w:t>得益于</w:t>
      </w:r>
      <w:r>
        <w:rPr>
          <w:rFonts w:hint="eastAsia" w:ascii="仿宋_GB2312" w:eastAsia="仿宋_GB2312"/>
          <w:sz w:val="32"/>
          <w:szCs w:val="32"/>
        </w:rPr>
        <w:t>聚力工业发展，打造产业集群，坚持走新型工业化道路；</w:t>
      </w:r>
      <w:r>
        <w:rPr>
          <w:rFonts w:hint="eastAsia" w:ascii="仿宋_GB2312" w:eastAsia="仿宋_GB2312"/>
          <w:b/>
          <w:sz w:val="32"/>
          <w:szCs w:val="32"/>
        </w:rPr>
        <w:t>得益于</w:t>
      </w:r>
      <w:r>
        <w:rPr>
          <w:rFonts w:hint="eastAsia" w:ascii="仿宋_GB2312" w:eastAsia="仿宋_GB2312"/>
          <w:sz w:val="32"/>
          <w:szCs w:val="32"/>
        </w:rPr>
        <w:t>拉大城市骨架，提高城市品位，加速大城市建设步伐；</w:t>
      </w:r>
      <w:r>
        <w:rPr>
          <w:rFonts w:hint="eastAsia" w:ascii="仿宋_GB2312" w:eastAsia="仿宋_GB2312"/>
          <w:b/>
          <w:sz w:val="32"/>
          <w:szCs w:val="32"/>
        </w:rPr>
        <w:t>得益于</w:t>
      </w:r>
      <w:r>
        <w:rPr>
          <w:rFonts w:hint="eastAsia" w:ascii="仿宋_GB2312" w:eastAsia="仿宋_GB2312"/>
          <w:sz w:val="32"/>
          <w:szCs w:val="32"/>
        </w:rPr>
        <w:t>突出生态品牌，狠抓环境建设，极力提升发展承载能力；</w:t>
      </w:r>
      <w:r>
        <w:rPr>
          <w:rFonts w:hint="eastAsia" w:ascii="仿宋_GB2312" w:eastAsia="仿宋_GB2312"/>
          <w:b/>
          <w:sz w:val="32"/>
          <w:szCs w:val="32"/>
        </w:rPr>
        <w:t>得益于</w:t>
      </w:r>
      <w:r>
        <w:rPr>
          <w:rFonts w:hint="eastAsia" w:ascii="仿宋_GB2312" w:eastAsia="仿宋_GB2312"/>
          <w:sz w:val="32"/>
          <w:szCs w:val="32"/>
        </w:rPr>
        <w:t>完善社会保障，持续改善民生，努力提高人民幸福指数。五年发展的经验弥足珍贵，为“十三五”发展奠定了坚实基础。</w:t>
      </w:r>
    </w:p>
    <w:p>
      <w:pPr>
        <w:widowControl w:val="0"/>
        <w:spacing w:after="0" w:line="540" w:lineRule="exact"/>
        <w:ind w:firstLine="640" w:firstLineChars="200"/>
        <w:jc w:val="both"/>
        <w:rPr>
          <w:rFonts w:hint="eastAsia" w:ascii="仿宋_GB2312" w:eastAsia="仿宋_GB2312"/>
          <w:sz w:val="32"/>
          <w:szCs w:val="32"/>
        </w:rPr>
      </w:pPr>
      <w:r>
        <w:rPr>
          <w:rFonts w:hint="eastAsia" w:ascii="仿宋_GB2312" w:eastAsia="仿宋_GB2312"/>
          <w:sz w:val="32"/>
          <w:szCs w:val="32"/>
        </w:rPr>
        <w:t>同时，我市的发展还存在着亟待解决的突出问题，主要是：投资保持高速增长的动力不足，以市场化为手段的投融资模式尚未形成；产业结构不优、内生动力不强，第三产业滞后和中小企业体量不大、活力不足；城乡结构还不均衡不协调，基础设施不完善、市强县弱的区域结构没有根本转变；贫困人口规模较大、贫困发生率较高，扶贫攻坚的任务十分艰巨；对外开放水平不高、军民融合程度较低、资源环境约束趋紧等发展短板不少。加快发展任重而道远。</w:t>
      </w:r>
    </w:p>
    <w:p>
      <w:pPr>
        <w:spacing w:after="0" w:line="560" w:lineRule="exact"/>
        <w:jc w:val="center"/>
        <w:textAlignment w:val="center"/>
        <w:rPr>
          <w:rFonts w:ascii="楷体_GB2312" w:hAnsi="宋体" w:eastAsia="楷体_GB2312"/>
          <w:sz w:val="28"/>
          <w:szCs w:val="28"/>
        </w:rPr>
      </w:pPr>
      <w:r>
        <w:rPr>
          <w:rFonts w:hint="eastAsia" w:ascii="楷体_GB2312" w:hAnsi="宋体" w:eastAsia="楷体_GB2312"/>
          <w:b/>
          <w:sz w:val="28"/>
          <w:szCs w:val="28"/>
        </w:rPr>
        <w:t>表</w:t>
      </w:r>
      <w:r>
        <w:rPr>
          <w:rFonts w:ascii="楷体_GB2312" w:hAnsi="宋体" w:eastAsia="楷体_GB2312"/>
          <w:b/>
          <w:sz w:val="28"/>
          <w:szCs w:val="28"/>
        </w:rPr>
        <w:t>1</w:t>
      </w:r>
      <w:r>
        <w:rPr>
          <w:rFonts w:hint="eastAsia" w:ascii="楷体_GB2312" w:hAnsi="宋体" w:eastAsia="楷体_GB2312"/>
          <w:b/>
          <w:sz w:val="28"/>
          <w:szCs w:val="28"/>
        </w:rPr>
        <w:t>：</w:t>
      </w:r>
      <w:r>
        <w:rPr>
          <w:rFonts w:ascii="楷体_GB2312" w:hAnsi="宋体" w:eastAsia="楷体_GB2312"/>
          <w:b/>
          <w:sz w:val="28"/>
          <w:szCs w:val="28"/>
        </w:rPr>
        <w:t xml:space="preserve"> </w:t>
      </w:r>
      <w:r>
        <w:rPr>
          <w:rFonts w:hint="eastAsia" w:ascii="楷体_GB2312" w:hAnsi="宋体" w:eastAsia="楷体_GB2312"/>
          <w:b/>
          <w:sz w:val="28"/>
          <w:szCs w:val="28"/>
        </w:rPr>
        <w:t>宝鸡市“十二五”规划目标预期完成情况</w:t>
      </w:r>
    </w:p>
    <w:tbl>
      <w:tblPr>
        <w:tblStyle w:val="6"/>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813"/>
        <w:gridCol w:w="3240"/>
        <w:gridCol w:w="1082"/>
        <w:gridCol w:w="1080"/>
        <w:gridCol w:w="1080"/>
        <w:gridCol w:w="126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574" w:hRule="exact"/>
          <w:tblHeader/>
          <w:jc w:val="center"/>
        </w:trPr>
        <w:tc>
          <w:tcPr>
            <w:tcW w:w="813" w:type="dxa"/>
            <w:tcBorders>
              <w:top w:val="single" w:color="auto" w:sz="2" w:space="0"/>
            </w:tcBorders>
            <w:noWrap w:val="0"/>
            <w:vAlign w:val="center"/>
          </w:tcPr>
          <w:p>
            <w:pPr>
              <w:spacing w:after="0" w:line="240" w:lineRule="exact"/>
              <w:jc w:val="center"/>
              <w:rPr>
                <w:rFonts w:ascii="宋体" w:hAnsi="宋体" w:eastAsia="宋体" w:cs="宋体"/>
                <w:b/>
                <w:bCs/>
                <w:color w:val="000000"/>
                <w:sz w:val="21"/>
                <w:szCs w:val="21"/>
              </w:rPr>
            </w:pPr>
            <w:r>
              <w:rPr>
                <w:rFonts w:hint="eastAsia" w:ascii="黑体" w:hAnsi="宋体" w:eastAsia="黑体" w:cs="宋体"/>
                <w:color w:val="000000"/>
                <w:sz w:val="21"/>
                <w:szCs w:val="21"/>
              </w:rPr>
              <w:t>类别</w:t>
            </w:r>
          </w:p>
        </w:tc>
        <w:tc>
          <w:tcPr>
            <w:tcW w:w="3240"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hint="eastAsia" w:ascii="黑体" w:hAnsi="宋体" w:eastAsia="黑体" w:cs="宋体"/>
                <w:color w:val="000000"/>
                <w:sz w:val="21"/>
                <w:szCs w:val="21"/>
              </w:rPr>
              <w:t>指标名称</w:t>
            </w:r>
          </w:p>
        </w:tc>
        <w:tc>
          <w:tcPr>
            <w:tcW w:w="1082"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hint="eastAsia" w:ascii="黑体" w:hAnsi="宋体" w:eastAsia="黑体" w:cs="宋体"/>
                <w:color w:val="000000"/>
                <w:sz w:val="21"/>
                <w:szCs w:val="21"/>
              </w:rPr>
              <w:t>单</w:t>
            </w:r>
            <w:r>
              <w:rPr>
                <w:rFonts w:ascii="黑体" w:hAnsi="宋体" w:eastAsia="黑体" w:cs="宋体"/>
                <w:color w:val="000000"/>
                <w:sz w:val="21"/>
                <w:szCs w:val="21"/>
              </w:rPr>
              <w:t xml:space="preserve"> </w:t>
            </w:r>
            <w:r>
              <w:rPr>
                <w:rFonts w:hint="eastAsia" w:ascii="黑体" w:hAnsi="宋体" w:eastAsia="黑体" w:cs="宋体"/>
                <w:color w:val="000000"/>
                <w:sz w:val="21"/>
                <w:szCs w:val="21"/>
              </w:rPr>
              <w:t>位</w:t>
            </w:r>
          </w:p>
        </w:tc>
        <w:tc>
          <w:tcPr>
            <w:tcW w:w="1080"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hint="eastAsia" w:ascii="黑体" w:hAnsi="宋体" w:eastAsia="黑体" w:cs="宋体"/>
                <w:color w:val="000000"/>
                <w:sz w:val="21"/>
                <w:szCs w:val="21"/>
              </w:rPr>
              <w:t>规划目标</w:t>
            </w:r>
          </w:p>
        </w:tc>
        <w:tc>
          <w:tcPr>
            <w:tcW w:w="1080"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hint="eastAsia" w:ascii="黑体" w:hAnsi="宋体" w:eastAsia="黑体" w:cs="宋体"/>
                <w:color w:val="000000"/>
                <w:sz w:val="21"/>
                <w:szCs w:val="21"/>
              </w:rPr>
              <w:t>实际完成</w:t>
            </w:r>
          </w:p>
        </w:tc>
        <w:tc>
          <w:tcPr>
            <w:tcW w:w="1260" w:type="dxa"/>
            <w:tcBorders>
              <w:top w:val="single" w:color="auto" w:sz="2" w:space="0"/>
            </w:tcBorders>
            <w:noWrap w:val="0"/>
            <w:vAlign w:val="center"/>
          </w:tcPr>
          <w:p>
            <w:pPr>
              <w:spacing w:after="0" w:line="240" w:lineRule="exact"/>
              <w:jc w:val="center"/>
              <w:rPr>
                <w:rFonts w:ascii="宋体" w:hAnsi="宋体" w:eastAsia="宋体" w:cs="宋体"/>
                <w:color w:val="000000"/>
                <w:sz w:val="18"/>
                <w:szCs w:val="18"/>
              </w:rPr>
            </w:pPr>
            <w:r>
              <w:rPr>
                <w:rFonts w:hint="eastAsia" w:ascii="黑体" w:hAnsi="宋体" w:eastAsia="黑体" w:cs="宋体"/>
                <w:color w:val="000000"/>
                <w:sz w:val="18"/>
                <w:szCs w:val="18"/>
              </w:rPr>
              <w:t>是否能如期完成目标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restart"/>
            <w:tcBorders>
              <w:top w:val="single" w:color="auto" w:sz="2" w:space="0"/>
            </w:tcBorders>
            <w:noWrap w:val="0"/>
            <w:vAlign w:val="center"/>
          </w:tcPr>
          <w:p>
            <w:pPr>
              <w:spacing w:after="0" w:line="240" w:lineRule="exact"/>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经济发展</w:t>
            </w:r>
          </w:p>
        </w:tc>
        <w:tc>
          <w:tcPr>
            <w:tcW w:w="3240" w:type="dxa"/>
            <w:tcBorders>
              <w:top w:val="single" w:color="auto" w:sz="2" w:space="0"/>
            </w:tcBorders>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地区生产总值</w:t>
            </w:r>
          </w:p>
        </w:tc>
        <w:tc>
          <w:tcPr>
            <w:tcW w:w="1082"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亿元</w:t>
            </w:r>
          </w:p>
        </w:tc>
        <w:tc>
          <w:tcPr>
            <w:tcW w:w="1080"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2000</w:t>
            </w:r>
          </w:p>
        </w:tc>
        <w:tc>
          <w:tcPr>
            <w:tcW w:w="1080"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1788.59</w:t>
            </w:r>
          </w:p>
        </w:tc>
        <w:tc>
          <w:tcPr>
            <w:tcW w:w="1260" w:type="dxa"/>
            <w:tcBorders>
              <w:top w:val="single" w:color="auto" w:sz="2"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否</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hint="eastAsia" w:ascii="黑体" w:hAnsi="宋体" w:eastAsia="黑体" w:cs="宋体"/>
                <w:color w:val="000000"/>
                <w:sz w:val="21"/>
                <w:szCs w:val="21"/>
              </w:rPr>
            </w:pPr>
          </w:p>
        </w:tc>
        <w:tc>
          <w:tcPr>
            <w:tcW w:w="3240" w:type="dxa"/>
            <w:tcBorders>
              <w:top w:val="single" w:color="auto" w:sz="2" w:space="0"/>
            </w:tcBorders>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居民消费率</w:t>
            </w:r>
          </w:p>
        </w:tc>
        <w:tc>
          <w:tcPr>
            <w:tcW w:w="1082"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37</w:t>
            </w:r>
          </w:p>
        </w:tc>
        <w:tc>
          <w:tcPr>
            <w:tcW w:w="1080"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39</w:t>
            </w:r>
          </w:p>
        </w:tc>
        <w:tc>
          <w:tcPr>
            <w:tcW w:w="1260" w:type="dxa"/>
            <w:tcBorders>
              <w:top w:val="single" w:color="auto" w:sz="2"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hint="eastAsia" w:ascii="黑体" w:hAnsi="宋体" w:eastAsia="黑体" w:cs="宋体"/>
                <w:color w:val="000000"/>
                <w:sz w:val="21"/>
                <w:szCs w:val="21"/>
              </w:rPr>
            </w:pPr>
          </w:p>
        </w:tc>
        <w:tc>
          <w:tcPr>
            <w:tcW w:w="3240" w:type="dxa"/>
            <w:tcBorders>
              <w:top w:val="single" w:color="auto" w:sz="2" w:space="0"/>
            </w:tcBorders>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地方财政收入</w:t>
            </w:r>
          </w:p>
        </w:tc>
        <w:tc>
          <w:tcPr>
            <w:tcW w:w="1082"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亿元</w:t>
            </w:r>
          </w:p>
        </w:tc>
        <w:tc>
          <w:tcPr>
            <w:tcW w:w="1080"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75</w:t>
            </w:r>
          </w:p>
        </w:tc>
        <w:tc>
          <w:tcPr>
            <w:tcW w:w="1080"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84.47</w:t>
            </w:r>
          </w:p>
        </w:tc>
        <w:tc>
          <w:tcPr>
            <w:tcW w:w="1260" w:type="dxa"/>
            <w:tcBorders>
              <w:top w:val="single" w:color="auto" w:sz="2"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hint="eastAsia" w:ascii="黑体" w:hAnsi="宋体" w:eastAsia="黑体" w:cs="宋体"/>
                <w:color w:val="000000"/>
                <w:sz w:val="21"/>
                <w:szCs w:val="21"/>
              </w:rPr>
            </w:pPr>
          </w:p>
        </w:tc>
        <w:tc>
          <w:tcPr>
            <w:tcW w:w="3240" w:type="dxa"/>
            <w:tcBorders>
              <w:top w:val="single" w:color="auto" w:sz="2" w:space="0"/>
            </w:tcBorders>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全社会固定资产投资</w:t>
            </w:r>
          </w:p>
        </w:tc>
        <w:tc>
          <w:tcPr>
            <w:tcW w:w="1082"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亿元</w:t>
            </w:r>
          </w:p>
        </w:tc>
        <w:tc>
          <w:tcPr>
            <w:tcW w:w="1080" w:type="dxa"/>
            <w:tcBorders>
              <w:top w:val="single" w:color="auto" w:sz="2" w:space="0"/>
            </w:tcBorders>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8500</w:t>
            </w:r>
            <w:r>
              <w:rPr>
                <w:rFonts w:hint="eastAsia" w:ascii="宋体" w:hAnsi="宋体" w:eastAsia="宋体" w:cs="宋体"/>
                <w:color w:val="000000"/>
                <w:sz w:val="18"/>
                <w:szCs w:val="18"/>
              </w:rPr>
              <w:t>】</w:t>
            </w:r>
          </w:p>
        </w:tc>
        <w:tc>
          <w:tcPr>
            <w:tcW w:w="1080" w:type="dxa"/>
            <w:tcBorders>
              <w:top w:val="single" w:color="auto" w:sz="2" w:space="0"/>
            </w:tcBorders>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8685</w:t>
            </w:r>
            <w:r>
              <w:rPr>
                <w:rFonts w:hint="eastAsia" w:ascii="宋体" w:hAnsi="宋体" w:eastAsia="宋体" w:cs="宋体"/>
                <w:color w:val="000000"/>
                <w:sz w:val="18"/>
                <w:szCs w:val="18"/>
              </w:rPr>
              <w:t>】</w:t>
            </w:r>
          </w:p>
        </w:tc>
        <w:tc>
          <w:tcPr>
            <w:tcW w:w="1260" w:type="dxa"/>
            <w:tcBorders>
              <w:top w:val="single" w:color="auto" w:sz="2"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tcBorders>
              <w:top w:val="single" w:color="auto" w:sz="2" w:space="0"/>
            </w:tcBorders>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进出口贸易总额</w:t>
            </w:r>
          </w:p>
        </w:tc>
        <w:tc>
          <w:tcPr>
            <w:tcW w:w="1082"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亿美元</w:t>
            </w:r>
          </w:p>
        </w:tc>
        <w:tc>
          <w:tcPr>
            <w:tcW w:w="1080" w:type="dxa"/>
            <w:tcBorders>
              <w:top w:val="single" w:color="auto" w:sz="2" w:space="0"/>
            </w:tcBorders>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45</w:t>
            </w:r>
            <w:r>
              <w:rPr>
                <w:rFonts w:hint="eastAsia" w:ascii="宋体" w:hAnsi="宋体" w:eastAsia="宋体" w:cs="宋体"/>
                <w:color w:val="000000"/>
                <w:sz w:val="18"/>
                <w:szCs w:val="18"/>
              </w:rPr>
              <w:t>】</w:t>
            </w:r>
          </w:p>
        </w:tc>
        <w:tc>
          <w:tcPr>
            <w:tcW w:w="1080" w:type="dxa"/>
            <w:tcBorders>
              <w:top w:val="single" w:color="auto" w:sz="2" w:space="0"/>
            </w:tcBorders>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42</w:t>
            </w:r>
            <w:r>
              <w:rPr>
                <w:rFonts w:hint="eastAsia" w:ascii="宋体" w:hAnsi="宋体" w:eastAsia="宋体" w:cs="宋体"/>
                <w:color w:val="000000"/>
                <w:sz w:val="18"/>
                <w:szCs w:val="18"/>
              </w:rPr>
              <w:t>】</w:t>
            </w:r>
          </w:p>
        </w:tc>
        <w:tc>
          <w:tcPr>
            <w:tcW w:w="1260" w:type="dxa"/>
            <w:tcBorders>
              <w:top w:val="single" w:color="auto" w:sz="2"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否</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hint="eastAsia" w:ascii="黑体" w:hAnsi="宋体" w:eastAsia="黑体" w:cs="宋体"/>
                <w:color w:val="000000"/>
                <w:sz w:val="21"/>
                <w:szCs w:val="21"/>
              </w:rPr>
            </w:pPr>
          </w:p>
        </w:tc>
        <w:tc>
          <w:tcPr>
            <w:tcW w:w="3240" w:type="dxa"/>
            <w:tcBorders>
              <w:top w:val="single" w:color="auto" w:sz="2" w:space="0"/>
            </w:tcBorders>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实际利用外资</w:t>
            </w:r>
          </w:p>
        </w:tc>
        <w:tc>
          <w:tcPr>
            <w:tcW w:w="1082" w:type="dxa"/>
            <w:tcBorders>
              <w:top w:val="single" w:color="auto" w:sz="2" w:space="0"/>
            </w:tcBorders>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亿美元</w:t>
            </w:r>
          </w:p>
        </w:tc>
        <w:tc>
          <w:tcPr>
            <w:tcW w:w="1080" w:type="dxa"/>
            <w:tcBorders>
              <w:top w:val="single" w:color="auto" w:sz="2" w:space="0"/>
            </w:tcBorders>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3.38</w:t>
            </w:r>
            <w:r>
              <w:rPr>
                <w:rFonts w:hint="eastAsia" w:ascii="宋体" w:hAnsi="宋体" w:eastAsia="宋体" w:cs="宋体"/>
                <w:color w:val="000000"/>
                <w:sz w:val="18"/>
                <w:szCs w:val="18"/>
              </w:rPr>
              <w:t>】</w:t>
            </w:r>
          </w:p>
        </w:tc>
        <w:tc>
          <w:tcPr>
            <w:tcW w:w="1080" w:type="dxa"/>
            <w:tcBorders>
              <w:top w:val="single" w:color="auto" w:sz="2" w:space="0"/>
            </w:tcBorders>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3.45</w:t>
            </w:r>
            <w:r>
              <w:rPr>
                <w:rFonts w:hint="eastAsia" w:ascii="宋体" w:hAnsi="宋体" w:eastAsia="宋体" w:cs="宋体"/>
                <w:color w:val="000000"/>
                <w:sz w:val="18"/>
                <w:szCs w:val="18"/>
              </w:rPr>
              <w:t>】</w:t>
            </w:r>
          </w:p>
        </w:tc>
        <w:tc>
          <w:tcPr>
            <w:tcW w:w="1260" w:type="dxa"/>
            <w:tcBorders>
              <w:top w:val="single" w:color="auto" w:sz="2"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restart"/>
            <w:noWrap w:val="0"/>
            <w:vAlign w:val="center"/>
          </w:tcPr>
          <w:p>
            <w:pPr>
              <w:spacing w:after="0" w:line="240" w:lineRule="exact"/>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经济结构</w:t>
            </w: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服务业增加值比重</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36</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26.4</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否</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服务业就业比重</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60</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45</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否</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非公有制经济比重</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55</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50.1</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否</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城镇化率</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53</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49</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否</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restart"/>
            <w:noWrap w:val="0"/>
            <w:vAlign w:val="center"/>
          </w:tcPr>
          <w:p>
            <w:pPr>
              <w:spacing w:after="0" w:line="240" w:lineRule="exact"/>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科技教育</w:t>
            </w: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pacing w:val="-20"/>
                <w:sz w:val="18"/>
                <w:szCs w:val="18"/>
              </w:rPr>
              <w:t>研究与试验发展经费占生产总值比</w:t>
            </w:r>
            <w:r>
              <w:rPr>
                <w:rFonts w:hint="eastAsia" w:ascii="宋体" w:hAnsi="宋体" w:eastAsia="宋体" w:cs="宋体"/>
                <w:color w:val="000000"/>
                <w:sz w:val="18"/>
                <w:szCs w:val="18"/>
              </w:rPr>
              <w:t>重</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3</w:t>
            </w:r>
          </w:p>
        </w:tc>
        <w:tc>
          <w:tcPr>
            <w:tcW w:w="1080" w:type="dxa"/>
            <w:noWrap/>
            <w:vAlign w:val="center"/>
          </w:tcPr>
          <w:p>
            <w:pPr>
              <w:spacing w:after="0" w:line="240" w:lineRule="exact"/>
              <w:jc w:val="center"/>
              <w:rPr>
                <w:rFonts w:hint="eastAsia" w:ascii="宋体" w:hAnsi="宋体" w:eastAsia="宋体" w:cs="宋体"/>
                <w:color w:val="000000"/>
                <w:sz w:val="18"/>
                <w:szCs w:val="18"/>
              </w:rPr>
            </w:pPr>
            <w:r>
              <w:rPr>
                <w:rFonts w:ascii="宋体" w:hAnsi="宋体" w:eastAsia="宋体" w:cs="宋体"/>
                <w:color w:val="000000"/>
                <w:sz w:val="18"/>
                <w:szCs w:val="18"/>
              </w:rPr>
              <w:t>2.8</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否</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每万人口发明专利授权数</w:t>
            </w:r>
          </w:p>
        </w:tc>
        <w:tc>
          <w:tcPr>
            <w:tcW w:w="1082"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件</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0.8</w:t>
            </w:r>
          </w:p>
        </w:tc>
        <w:tc>
          <w:tcPr>
            <w:tcW w:w="1080" w:type="dxa"/>
            <w:noWrap/>
            <w:vAlign w:val="center"/>
          </w:tcPr>
          <w:p>
            <w:pPr>
              <w:spacing w:after="0" w:line="240" w:lineRule="exact"/>
              <w:jc w:val="center"/>
              <w:rPr>
                <w:rFonts w:hint="eastAsia" w:ascii="宋体" w:hAnsi="宋体" w:eastAsia="宋体" w:cs="宋体"/>
                <w:color w:val="000000"/>
                <w:sz w:val="18"/>
                <w:szCs w:val="18"/>
                <w:shd w:val="pct10" w:color="auto" w:fill="FFFFFF"/>
              </w:rPr>
            </w:pPr>
            <w:r>
              <w:rPr>
                <w:rFonts w:hint="eastAsia" w:ascii="宋体" w:hAnsi="宋体" w:eastAsia="宋体" w:cs="宋体"/>
                <w:color w:val="000000"/>
                <w:sz w:val="18"/>
                <w:szCs w:val="18"/>
              </w:rPr>
              <w:t>1.74</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高中阶段教育毛入学率</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98</w:t>
            </w:r>
          </w:p>
        </w:tc>
        <w:tc>
          <w:tcPr>
            <w:tcW w:w="1080" w:type="dxa"/>
            <w:noWrap/>
            <w:vAlign w:val="center"/>
          </w:tcPr>
          <w:p>
            <w:pPr>
              <w:spacing w:after="0" w:line="240" w:lineRule="exact"/>
              <w:jc w:val="center"/>
              <w:rPr>
                <w:rFonts w:ascii="宋体" w:hAnsi="宋体" w:eastAsia="宋体" w:cs="宋体"/>
                <w:color w:val="000000"/>
                <w:sz w:val="18"/>
                <w:szCs w:val="18"/>
                <w:shd w:val="pct10" w:color="auto" w:fill="FFFFFF"/>
              </w:rPr>
            </w:pPr>
            <w:r>
              <w:rPr>
                <w:rFonts w:ascii="宋体" w:hAnsi="宋体" w:eastAsia="宋体" w:cs="宋体"/>
                <w:color w:val="000000"/>
                <w:sz w:val="18"/>
                <w:szCs w:val="18"/>
              </w:rPr>
              <w:t>98</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主要劳动力平均受教育年限</w:t>
            </w:r>
          </w:p>
        </w:tc>
        <w:tc>
          <w:tcPr>
            <w:tcW w:w="1082"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年</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13.3</w:t>
            </w:r>
          </w:p>
        </w:tc>
        <w:tc>
          <w:tcPr>
            <w:tcW w:w="1080" w:type="dxa"/>
            <w:noWrap/>
            <w:vAlign w:val="center"/>
          </w:tcPr>
          <w:p>
            <w:pPr>
              <w:spacing w:after="0" w:line="240" w:lineRule="exact"/>
              <w:jc w:val="center"/>
              <w:rPr>
                <w:rFonts w:ascii="宋体" w:hAnsi="宋体" w:eastAsia="宋体" w:cs="宋体"/>
                <w:color w:val="000000"/>
                <w:sz w:val="18"/>
                <w:szCs w:val="18"/>
                <w:shd w:val="pct10" w:color="auto" w:fill="FFFFFF"/>
              </w:rPr>
            </w:pPr>
            <w:r>
              <w:rPr>
                <w:rFonts w:ascii="宋体" w:hAnsi="宋体" w:eastAsia="宋体" w:cs="宋体"/>
                <w:color w:val="000000"/>
                <w:sz w:val="18"/>
                <w:szCs w:val="18"/>
              </w:rPr>
              <w:t>14</w:t>
            </w:r>
            <w:r>
              <w:rPr>
                <w:rFonts w:hint="eastAsia" w:ascii="宋体" w:hAnsi="宋体" w:eastAsia="宋体" w:cs="宋体"/>
                <w:color w:val="000000"/>
                <w:sz w:val="18"/>
                <w:szCs w:val="18"/>
              </w:rPr>
              <w:t>.</w:t>
            </w:r>
            <w:r>
              <w:rPr>
                <w:rFonts w:ascii="宋体" w:hAnsi="宋体" w:eastAsia="宋体" w:cs="宋体"/>
                <w:color w:val="000000"/>
                <w:sz w:val="18"/>
                <w:szCs w:val="18"/>
              </w:rPr>
              <w:t>4</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restart"/>
            <w:noWrap w:val="0"/>
            <w:vAlign w:val="center"/>
          </w:tcPr>
          <w:p>
            <w:pPr>
              <w:spacing w:after="0" w:line="240" w:lineRule="exact"/>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资源环境</w:t>
            </w: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耕地保有量</w:t>
            </w:r>
          </w:p>
        </w:tc>
        <w:tc>
          <w:tcPr>
            <w:tcW w:w="1082"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万亩</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530.1</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542.48</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单位生产总值能耗降低</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16</w:t>
            </w:r>
            <w:r>
              <w:rPr>
                <w:rFonts w:hint="eastAsia" w:ascii="宋体" w:hAnsi="宋体" w:eastAsia="宋体" w:cs="宋体"/>
                <w:color w:val="000000"/>
                <w:sz w:val="18"/>
                <w:szCs w:val="18"/>
              </w:rPr>
              <w:t>】</w:t>
            </w:r>
          </w:p>
        </w:tc>
        <w:tc>
          <w:tcPr>
            <w:tcW w:w="1080" w:type="dxa"/>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16.58</w:t>
            </w:r>
            <w:r>
              <w:rPr>
                <w:rFonts w:hint="eastAsia" w:ascii="宋体" w:hAnsi="宋体" w:eastAsia="宋体" w:cs="宋体"/>
                <w:color w:val="000000"/>
                <w:sz w:val="18"/>
                <w:szCs w:val="18"/>
              </w:rPr>
              <w:t>】</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单位生产总值二氧化碳排放降低</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10</w:t>
            </w:r>
            <w:r>
              <w:rPr>
                <w:rFonts w:hint="eastAsia" w:ascii="宋体" w:hAnsi="宋体" w:eastAsia="宋体" w:cs="宋体"/>
                <w:color w:val="000000"/>
                <w:sz w:val="18"/>
                <w:szCs w:val="18"/>
              </w:rPr>
              <w:t>】</w:t>
            </w:r>
          </w:p>
        </w:tc>
        <w:tc>
          <w:tcPr>
            <w:tcW w:w="1080" w:type="dxa"/>
            <w:noWrap/>
            <w:vAlign w:val="center"/>
          </w:tcPr>
          <w:p>
            <w:pPr>
              <w:spacing w:after="0" w:line="240" w:lineRule="exact"/>
              <w:jc w:val="center"/>
              <w:rPr>
                <w:rFonts w:hint="eastAsia" w:ascii="宋体" w:hAnsi="宋体" w:eastAsia="宋体" w:cs="宋体"/>
                <w:color w:val="000000"/>
                <w:sz w:val="18"/>
                <w:szCs w:val="18"/>
                <w:shd w:val="pct10" w:color="auto" w:fill="FFFFFF"/>
              </w:rPr>
            </w:pPr>
            <w:r>
              <w:rPr>
                <w:rFonts w:hint="eastAsia" w:ascii="宋体" w:hAnsi="宋体" w:eastAsia="宋体" w:cs="宋体"/>
                <w:color w:val="000000"/>
                <w:sz w:val="18"/>
                <w:szCs w:val="18"/>
              </w:rPr>
              <w:t>【</w:t>
            </w:r>
            <w:r>
              <w:rPr>
                <w:rFonts w:ascii="宋体" w:hAnsi="宋体" w:eastAsia="宋体" w:cs="宋体"/>
                <w:color w:val="000000"/>
                <w:sz w:val="18"/>
                <w:szCs w:val="18"/>
              </w:rPr>
              <w:t>19</w:t>
            </w:r>
            <w:r>
              <w:rPr>
                <w:rFonts w:hint="eastAsia" w:ascii="宋体" w:hAnsi="宋体" w:eastAsia="宋体" w:cs="宋体"/>
                <w:color w:val="000000"/>
                <w:sz w:val="18"/>
                <w:szCs w:val="18"/>
              </w:rPr>
              <w:t>】</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主要污染物排放减少</w:t>
            </w:r>
          </w:p>
        </w:tc>
        <w:tc>
          <w:tcPr>
            <w:tcW w:w="1082" w:type="dxa"/>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p>
        </w:tc>
        <w:tc>
          <w:tcPr>
            <w:tcW w:w="1080" w:type="dxa"/>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p>
        </w:tc>
        <w:tc>
          <w:tcPr>
            <w:tcW w:w="1080" w:type="dxa"/>
            <w:noWrap/>
            <w:vAlign w:val="center"/>
          </w:tcPr>
          <w:p>
            <w:pPr>
              <w:spacing w:after="0" w:line="240" w:lineRule="exact"/>
              <w:jc w:val="center"/>
              <w:rPr>
                <w:rFonts w:hint="eastAsia" w:ascii="宋体" w:hAnsi="宋体" w:eastAsia="宋体" w:cs="宋体"/>
                <w:color w:val="000000"/>
                <w:sz w:val="18"/>
                <w:szCs w:val="18"/>
                <w:shd w:val="pct10" w:color="auto" w:fill="FFFFFF"/>
              </w:rPr>
            </w:pPr>
            <w:r>
              <w:rPr>
                <w:rFonts w:hint="eastAsia" w:ascii="宋体" w:hAnsi="宋体" w:eastAsia="宋体" w:cs="宋体"/>
                <w:color w:val="000000"/>
                <w:sz w:val="18"/>
                <w:szCs w:val="18"/>
              </w:rPr>
              <w:t>-</w:t>
            </w:r>
          </w:p>
        </w:tc>
        <w:tc>
          <w:tcPr>
            <w:tcW w:w="1260" w:type="dxa"/>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numPr>
                <w:ilvl w:val="0"/>
                <w:numId w:val="1"/>
              </w:num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化学需氧量</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8.2</w:t>
            </w:r>
            <w:r>
              <w:rPr>
                <w:rFonts w:hint="eastAsia"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shd w:val="pct10" w:color="auto" w:fill="FFFFFF"/>
              </w:rPr>
            </w:pPr>
            <w:r>
              <w:rPr>
                <w:rFonts w:hint="eastAsia" w:ascii="宋体" w:hAnsi="宋体" w:eastAsia="宋体" w:cs="宋体"/>
                <w:color w:val="000000"/>
                <w:sz w:val="18"/>
                <w:szCs w:val="18"/>
              </w:rPr>
              <w:t>【9.74】</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numPr>
                <w:ilvl w:val="0"/>
                <w:numId w:val="1"/>
              </w:num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氨氮下降</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11.2</w:t>
            </w:r>
            <w:r>
              <w:rPr>
                <w:rFonts w:hint="eastAsia"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shd w:val="pct10" w:color="auto" w:fill="FFFFFF"/>
              </w:rPr>
            </w:pPr>
            <w:r>
              <w:rPr>
                <w:rFonts w:hint="eastAsia" w:ascii="宋体" w:hAnsi="宋体" w:eastAsia="宋体" w:cs="宋体"/>
                <w:color w:val="000000"/>
                <w:sz w:val="18"/>
                <w:szCs w:val="18"/>
              </w:rPr>
              <w:t>【11.67】</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numPr>
                <w:ilvl w:val="0"/>
                <w:numId w:val="1"/>
              </w:num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二氧化硫</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7.9</w:t>
            </w:r>
            <w:r>
              <w:rPr>
                <w:rFonts w:hint="eastAsia"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shd w:val="pct10" w:color="auto" w:fill="FFFFFF"/>
              </w:rPr>
            </w:pPr>
            <w:r>
              <w:rPr>
                <w:rFonts w:hint="eastAsia" w:ascii="宋体" w:hAnsi="宋体" w:eastAsia="宋体" w:cs="宋体"/>
                <w:color w:val="000000"/>
                <w:sz w:val="18"/>
                <w:szCs w:val="18"/>
              </w:rPr>
              <w:t>【2</w:t>
            </w:r>
            <w:r>
              <w:rPr>
                <w:rFonts w:ascii="宋体" w:hAnsi="宋体" w:eastAsia="宋体" w:cs="宋体"/>
                <w:color w:val="000000"/>
                <w:sz w:val="18"/>
                <w:szCs w:val="18"/>
              </w:rPr>
              <w:t>6</w:t>
            </w:r>
            <w:r>
              <w:rPr>
                <w:rFonts w:hint="eastAsia" w:ascii="宋体" w:hAnsi="宋体" w:eastAsia="宋体" w:cs="宋体"/>
                <w:color w:val="000000"/>
                <w:sz w:val="18"/>
                <w:szCs w:val="18"/>
              </w:rPr>
              <w:t>.88】</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单位工业增加值用水量降低</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25</w:t>
            </w:r>
            <w:r>
              <w:rPr>
                <w:rFonts w:hint="eastAsia"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shd w:val="pct10" w:color="auto" w:fill="FFFFFF"/>
              </w:rPr>
            </w:pPr>
            <w:r>
              <w:rPr>
                <w:rFonts w:hint="eastAsia" w:ascii="宋体" w:hAnsi="宋体" w:eastAsia="宋体" w:cs="宋体"/>
                <w:color w:val="000000"/>
                <w:sz w:val="18"/>
                <w:szCs w:val="18"/>
              </w:rPr>
              <w:t>【29.5】</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非化石能源占一次能源消费比重</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8.9</w:t>
            </w:r>
          </w:p>
        </w:tc>
        <w:tc>
          <w:tcPr>
            <w:tcW w:w="1080" w:type="dxa"/>
            <w:noWrap/>
            <w:vAlign w:val="center"/>
          </w:tcPr>
          <w:p>
            <w:pPr>
              <w:spacing w:after="0" w:line="240" w:lineRule="exact"/>
              <w:jc w:val="center"/>
              <w:rPr>
                <w:rFonts w:ascii="宋体" w:hAnsi="宋体" w:eastAsia="宋体" w:cs="宋体"/>
                <w:color w:val="000000"/>
                <w:sz w:val="18"/>
                <w:szCs w:val="18"/>
                <w:shd w:val="pct10" w:color="auto" w:fill="FFFFFF"/>
              </w:rPr>
            </w:pPr>
            <w:r>
              <w:rPr>
                <w:rFonts w:ascii="宋体" w:hAnsi="宋体" w:eastAsia="宋体" w:cs="宋体"/>
                <w:color w:val="000000"/>
                <w:sz w:val="18"/>
                <w:szCs w:val="18"/>
              </w:rPr>
              <w:t>5</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否</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农业灌溉用水有效利用系数</w:t>
            </w:r>
          </w:p>
        </w:tc>
        <w:tc>
          <w:tcPr>
            <w:tcW w:w="1082" w:type="dxa"/>
            <w:noWrap/>
            <w:vAlign w:val="center"/>
          </w:tcPr>
          <w:p>
            <w:pPr>
              <w:spacing w:after="0" w:line="240" w:lineRule="exact"/>
              <w:jc w:val="center"/>
              <w:rPr>
                <w:rFonts w:ascii="宋体" w:hAnsi="宋体" w:eastAsia="宋体" w:cs="宋体"/>
                <w:color w:val="000000"/>
                <w:sz w:val="18"/>
                <w:szCs w:val="18"/>
              </w:rPr>
            </w:pP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0.55</w:t>
            </w:r>
          </w:p>
        </w:tc>
        <w:tc>
          <w:tcPr>
            <w:tcW w:w="1080" w:type="dxa"/>
            <w:noWrap/>
            <w:vAlign w:val="center"/>
          </w:tcPr>
          <w:p>
            <w:pPr>
              <w:spacing w:after="0" w:line="240" w:lineRule="exact"/>
              <w:jc w:val="center"/>
              <w:rPr>
                <w:rFonts w:ascii="宋体" w:hAnsi="宋体" w:eastAsia="宋体" w:cs="宋体"/>
                <w:color w:val="000000"/>
                <w:sz w:val="18"/>
                <w:szCs w:val="18"/>
                <w:shd w:val="pct10" w:color="auto" w:fill="FFFFFF"/>
              </w:rPr>
            </w:pPr>
            <w:r>
              <w:rPr>
                <w:rFonts w:ascii="宋体" w:hAnsi="宋体" w:eastAsia="宋体" w:cs="宋体"/>
                <w:color w:val="000000"/>
                <w:sz w:val="18"/>
                <w:szCs w:val="18"/>
              </w:rPr>
              <w:t>0.57</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城市和县城污水处理率</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90</w:t>
            </w:r>
          </w:p>
        </w:tc>
        <w:tc>
          <w:tcPr>
            <w:tcW w:w="1080" w:type="dxa"/>
            <w:noWrap/>
            <w:vAlign w:val="center"/>
          </w:tcPr>
          <w:p>
            <w:pPr>
              <w:spacing w:after="0" w:line="240" w:lineRule="exact"/>
              <w:jc w:val="center"/>
              <w:rPr>
                <w:rFonts w:ascii="宋体" w:hAnsi="宋体" w:eastAsia="宋体" w:cs="宋体"/>
                <w:color w:val="000000"/>
                <w:sz w:val="18"/>
                <w:szCs w:val="18"/>
                <w:shd w:val="pct10" w:color="auto" w:fill="FFFFFF"/>
              </w:rPr>
            </w:pPr>
            <w:r>
              <w:rPr>
                <w:rFonts w:ascii="宋体" w:hAnsi="宋体" w:eastAsia="宋体" w:cs="宋体"/>
                <w:color w:val="000000"/>
                <w:sz w:val="18"/>
                <w:szCs w:val="18"/>
              </w:rPr>
              <w:t>95.6</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城市和县城生活垃圾无公害化处理率</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90</w:t>
            </w:r>
          </w:p>
        </w:tc>
        <w:tc>
          <w:tcPr>
            <w:tcW w:w="1080" w:type="dxa"/>
            <w:noWrap/>
            <w:vAlign w:val="center"/>
          </w:tcPr>
          <w:p>
            <w:pPr>
              <w:spacing w:after="0" w:line="240" w:lineRule="exact"/>
              <w:jc w:val="center"/>
              <w:rPr>
                <w:rFonts w:ascii="宋体" w:hAnsi="宋体" w:eastAsia="宋体" w:cs="宋体"/>
                <w:color w:val="000000"/>
                <w:sz w:val="18"/>
                <w:szCs w:val="18"/>
                <w:shd w:val="pct10" w:color="auto" w:fill="FFFFFF"/>
              </w:rPr>
            </w:pPr>
            <w:r>
              <w:rPr>
                <w:rFonts w:ascii="宋体" w:hAnsi="宋体" w:eastAsia="宋体" w:cs="宋体"/>
                <w:color w:val="000000"/>
                <w:sz w:val="18"/>
                <w:szCs w:val="18"/>
              </w:rPr>
              <w:t>100</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森林蓄积量</w:t>
            </w:r>
          </w:p>
        </w:tc>
        <w:tc>
          <w:tcPr>
            <w:tcW w:w="1082"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万立方米</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6500</w:t>
            </w:r>
          </w:p>
        </w:tc>
        <w:tc>
          <w:tcPr>
            <w:tcW w:w="1080" w:type="dxa"/>
            <w:noWrap/>
            <w:vAlign w:val="center"/>
          </w:tcPr>
          <w:p>
            <w:pPr>
              <w:spacing w:after="0" w:line="240" w:lineRule="exact"/>
              <w:jc w:val="center"/>
              <w:rPr>
                <w:rFonts w:ascii="宋体" w:hAnsi="宋体" w:eastAsia="宋体" w:cs="宋体"/>
                <w:color w:val="000000"/>
                <w:sz w:val="18"/>
                <w:szCs w:val="18"/>
                <w:shd w:val="pct10" w:color="auto" w:fill="FFFFFF"/>
              </w:rPr>
            </w:pPr>
            <w:r>
              <w:rPr>
                <w:rFonts w:ascii="宋体" w:hAnsi="宋体" w:eastAsia="宋体" w:cs="宋体"/>
                <w:color w:val="000000"/>
                <w:sz w:val="18"/>
                <w:szCs w:val="18"/>
              </w:rPr>
              <w:t>6900</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9"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21"/>
                <w:szCs w:val="21"/>
              </w:rPr>
            </w:pPr>
          </w:p>
        </w:tc>
        <w:tc>
          <w:tcPr>
            <w:tcW w:w="3240" w:type="dxa"/>
            <w:noWrap/>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森林覆盖率</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55</w:t>
            </w:r>
          </w:p>
        </w:tc>
        <w:tc>
          <w:tcPr>
            <w:tcW w:w="1080" w:type="dxa"/>
            <w:noWrap/>
            <w:vAlign w:val="center"/>
          </w:tcPr>
          <w:p>
            <w:pPr>
              <w:spacing w:after="0" w:line="240" w:lineRule="exact"/>
              <w:jc w:val="center"/>
              <w:rPr>
                <w:rFonts w:ascii="宋体" w:hAnsi="宋体" w:eastAsia="宋体" w:cs="宋体"/>
                <w:color w:val="000000"/>
                <w:sz w:val="18"/>
                <w:szCs w:val="18"/>
                <w:shd w:val="pct10" w:color="auto" w:fill="FFFFFF"/>
              </w:rPr>
            </w:pPr>
            <w:r>
              <w:rPr>
                <w:rFonts w:ascii="宋体" w:hAnsi="宋体" w:eastAsia="宋体" w:cs="宋体"/>
                <w:color w:val="000000"/>
                <w:sz w:val="18"/>
                <w:szCs w:val="18"/>
              </w:rPr>
              <w:t>55.26</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blHeader/>
          <w:jc w:val="center"/>
        </w:trPr>
        <w:tc>
          <w:tcPr>
            <w:tcW w:w="813" w:type="dxa"/>
            <w:vMerge w:val="restart"/>
            <w:noWrap w:val="0"/>
            <w:vAlign w:val="center"/>
          </w:tcPr>
          <w:p>
            <w:pPr>
              <w:spacing w:after="0" w:line="240" w:lineRule="exact"/>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人民生活</w:t>
            </w:r>
          </w:p>
        </w:tc>
        <w:tc>
          <w:tcPr>
            <w:tcW w:w="3240" w:type="dxa"/>
            <w:noWrap w:val="0"/>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总人口</w:t>
            </w:r>
          </w:p>
        </w:tc>
        <w:tc>
          <w:tcPr>
            <w:tcW w:w="1082"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万人</w:t>
            </w:r>
          </w:p>
        </w:tc>
        <w:tc>
          <w:tcPr>
            <w:tcW w:w="108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390</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377</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18"/>
                <w:szCs w:val="18"/>
              </w:rPr>
            </w:pPr>
          </w:p>
        </w:tc>
        <w:tc>
          <w:tcPr>
            <w:tcW w:w="3240" w:type="dxa"/>
            <w:noWrap w:val="0"/>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城镇登记失业率</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4</w:t>
            </w:r>
          </w:p>
        </w:tc>
        <w:tc>
          <w:tcPr>
            <w:tcW w:w="1080" w:type="dxa"/>
            <w:noWrap/>
            <w:vAlign w:val="center"/>
          </w:tcPr>
          <w:p>
            <w:pPr>
              <w:spacing w:after="0" w:line="240" w:lineRule="exact"/>
              <w:jc w:val="center"/>
              <w:rPr>
                <w:rFonts w:ascii="宋体" w:hAnsi="宋体" w:eastAsia="宋体" w:cs="宋体"/>
                <w:color w:val="000000"/>
                <w:sz w:val="18"/>
                <w:szCs w:val="18"/>
                <w:shd w:val="pct10" w:color="auto" w:fill="FFFFFF"/>
              </w:rPr>
            </w:pPr>
            <w:r>
              <w:rPr>
                <w:rFonts w:ascii="宋体" w:hAnsi="宋体" w:eastAsia="宋体" w:cs="宋体"/>
                <w:color w:val="000000"/>
                <w:sz w:val="18"/>
                <w:szCs w:val="18"/>
              </w:rPr>
              <w:t>&lt;3.3</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18"/>
                <w:szCs w:val="18"/>
              </w:rPr>
            </w:pPr>
          </w:p>
        </w:tc>
        <w:tc>
          <w:tcPr>
            <w:tcW w:w="3240" w:type="dxa"/>
            <w:noWrap w:val="0"/>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新增就业人数</w:t>
            </w:r>
          </w:p>
        </w:tc>
        <w:tc>
          <w:tcPr>
            <w:tcW w:w="1082"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万人</w:t>
            </w:r>
          </w:p>
        </w:tc>
        <w:tc>
          <w:tcPr>
            <w:tcW w:w="1080" w:type="dxa"/>
            <w:noWrap/>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27.5</w:t>
            </w:r>
            <w:r>
              <w:rPr>
                <w:rFonts w:hint="eastAsia" w:ascii="宋体" w:hAnsi="宋体" w:eastAsia="宋体" w:cs="宋体"/>
                <w:color w:val="000000"/>
                <w:sz w:val="18"/>
                <w:szCs w:val="18"/>
              </w:rPr>
              <w:t>】</w:t>
            </w:r>
          </w:p>
        </w:tc>
        <w:tc>
          <w:tcPr>
            <w:tcW w:w="1080" w:type="dxa"/>
            <w:noWrap/>
            <w:vAlign w:val="center"/>
          </w:tcPr>
          <w:p>
            <w:pPr>
              <w:spacing w:after="0" w:line="240" w:lineRule="exact"/>
              <w:jc w:val="center"/>
              <w:rPr>
                <w:rFonts w:hint="eastAsia" w:ascii="宋体" w:hAnsi="宋体" w:eastAsia="宋体" w:cs="宋体"/>
                <w:color w:val="000000"/>
                <w:sz w:val="18"/>
                <w:szCs w:val="18"/>
                <w:shd w:val="pct10" w:color="auto" w:fill="FFFFFF"/>
              </w:rPr>
            </w:pPr>
            <w:r>
              <w:rPr>
                <w:rFonts w:hint="eastAsia" w:ascii="宋体" w:hAnsi="宋体" w:eastAsia="宋体" w:cs="宋体"/>
                <w:color w:val="000000"/>
                <w:sz w:val="18"/>
                <w:szCs w:val="18"/>
              </w:rPr>
              <w:t>【</w:t>
            </w:r>
            <w:r>
              <w:rPr>
                <w:rFonts w:ascii="宋体" w:hAnsi="宋体" w:eastAsia="宋体" w:cs="宋体"/>
                <w:color w:val="000000"/>
                <w:sz w:val="18"/>
                <w:szCs w:val="18"/>
              </w:rPr>
              <w:t>28.9</w:t>
            </w:r>
            <w:r>
              <w:rPr>
                <w:rFonts w:hint="eastAsia" w:ascii="宋体" w:hAnsi="宋体" w:eastAsia="宋体" w:cs="宋体"/>
                <w:color w:val="000000"/>
                <w:sz w:val="18"/>
                <w:szCs w:val="18"/>
              </w:rPr>
              <w:t>】</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18"/>
                <w:szCs w:val="18"/>
              </w:rPr>
            </w:pPr>
          </w:p>
        </w:tc>
        <w:tc>
          <w:tcPr>
            <w:tcW w:w="3240" w:type="dxa"/>
            <w:noWrap w:val="0"/>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城乡居民基本养老保险参保率</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95</w:t>
            </w:r>
          </w:p>
        </w:tc>
        <w:tc>
          <w:tcPr>
            <w:tcW w:w="1080" w:type="dxa"/>
            <w:noWrap/>
            <w:vAlign w:val="center"/>
          </w:tcPr>
          <w:p>
            <w:pPr>
              <w:spacing w:after="0" w:line="240" w:lineRule="exact"/>
              <w:jc w:val="center"/>
              <w:rPr>
                <w:rFonts w:ascii="宋体" w:hAnsi="宋体" w:eastAsia="宋体" w:cs="宋体"/>
                <w:color w:val="000000"/>
                <w:sz w:val="18"/>
                <w:szCs w:val="18"/>
                <w:shd w:val="pct10" w:color="auto" w:fill="FFFFFF"/>
              </w:rPr>
            </w:pPr>
            <w:r>
              <w:rPr>
                <w:rFonts w:ascii="宋体" w:hAnsi="宋体" w:eastAsia="宋体" w:cs="宋体"/>
                <w:color w:val="000000"/>
                <w:sz w:val="18"/>
                <w:szCs w:val="18"/>
              </w:rPr>
              <w:t>99.8</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18"/>
                <w:szCs w:val="18"/>
              </w:rPr>
            </w:pPr>
          </w:p>
        </w:tc>
        <w:tc>
          <w:tcPr>
            <w:tcW w:w="3240" w:type="dxa"/>
            <w:noWrap w:val="0"/>
            <w:vAlign w:val="center"/>
          </w:tcPr>
          <w:p>
            <w:pPr>
              <w:spacing w:after="0" w:line="240" w:lineRule="exact"/>
              <w:rPr>
                <w:rFonts w:ascii="宋体" w:hAnsi="宋体" w:eastAsia="宋体" w:cs="宋体"/>
                <w:color w:val="000000"/>
                <w:sz w:val="18"/>
                <w:szCs w:val="18"/>
              </w:rPr>
            </w:pPr>
            <w:r>
              <w:rPr>
                <w:rFonts w:hint="eastAsia" w:ascii="宋体" w:hAnsi="宋体" w:eastAsia="宋体" w:cs="宋体"/>
                <w:color w:val="000000"/>
                <w:sz w:val="18"/>
                <w:szCs w:val="18"/>
              </w:rPr>
              <w:t>城乡三项医疗保险参保率</w:t>
            </w:r>
          </w:p>
        </w:tc>
        <w:tc>
          <w:tcPr>
            <w:tcW w:w="1082"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96</w:t>
            </w:r>
          </w:p>
        </w:tc>
        <w:tc>
          <w:tcPr>
            <w:tcW w:w="1080" w:type="dxa"/>
            <w:noWrap/>
            <w:vAlign w:val="center"/>
          </w:tcPr>
          <w:p>
            <w:pPr>
              <w:spacing w:after="0" w:line="240" w:lineRule="exact"/>
              <w:jc w:val="center"/>
              <w:rPr>
                <w:rFonts w:ascii="宋体" w:hAnsi="宋体" w:eastAsia="宋体" w:cs="宋体"/>
                <w:color w:val="000000"/>
                <w:sz w:val="18"/>
                <w:szCs w:val="18"/>
                <w:shd w:val="pct10" w:color="auto" w:fill="FFFFFF"/>
              </w:rPr>
            </w:pPr>
            <w:r>
              <w:rPr>
                <w:rFonts w:ascii="宋体" w:hAnsi="宋体" w:eastAsia="宋体" w:cs="宋体"/>
                <w:color w:val="000000"/>
                <w:sz w:val="18"/>
                <w:szCs w:val="18"/>
              </w:rPr>
              <w:t>99</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blHeader/>
          <w:jc w:val="center"/>
        </w:trPr>
        <w:tc>
          <w:tcPr>
            <w:tcW w:w="813" w:type="dxa"/>
            <w:vMerge w:val="continue"/>
            <w:noWrap w:val="0"/>
            <w:vAlign w:val="center"/>
          </w:tcPr>
          <w:p>
            <w:pPr>
              <w:spacing w:after="0" w:line="240" w:lineRule="exact"/>
              <w:jc w:val="center"/>
              <w:rPr>
                <w:rFonts w:ascii="宋体" w:hAnsi="宋体" w:eastAsia="宋体" w:cs="宋体"/>
                <w:b/>
                <w:bCs/>
                <w:color w:val="000000"/>
                <w:sz w:val="18"/>
                <w:szCs w:val="18"/>
              </w:rPr>
            </w:pPr>
          </w:p>
        </w:tc>
        <w:tc>
          <w:tcPr>
            <w:tcW w:w="3240" w:type="dxa"/>
            <w:noWrap/>
            <w:vAlign w:val="center"/>
          </w:tcPr>
          <w:p>
            <w:pPr>
              <w:spacing w:after="0" w:line="240" w:lineRule="exact"/>
              <w:rPr>
                <w:rFonts w:hint="eastAsia" w:ascii="宋体" w:hAnsi="宋体" w:eastAsia="宋体" w:cs="宋体"/>
                <w:color w:val="000000"/>
                <w:sz w:val="18"/>
                <w:szCs w:val="18"/>
              </w:rPr>
            </w:pPr>
            <w:r>
              <w:rPr>
                <w:rFonts w:hint="eastAsia" w:ascii="宋体" w:hAnsi="宋体" w:eastAsia="宋体" w:cs="宋体"/>
                <w:color w:val="000000"/>
                <w:sz w:val="18"/>
                <w:szCs w:val="18"/>
              </w:rPr>
              <w:t>城镇居民人均可支配收入</w:t>
            </w:r>
            <w:r>
              <w:rPr>
                <w:rFonts w:hint="eastAsia" w:ascii="宋体" w:hAnsi="宋体" w:eastAsia="宋体" w:cs="宋体"/>
                <w:color w:val="000000"/>
                <w:sz w:val="15"/>
                <w:szCs w:val="15"/>
              </w:rPr>
              <w:t>（老口径统计</w:t>
            </w:r>
            <w:r>
              <w:rPr>
                <w:rFonts w:ascii="宋体" w:hAnsi="宋体" w:eastAsia="宋体" w:cs="宋体"/>
                <w:color w:val="000000"/>
                <w:sz w:val="15"/>
                <w:szCs w:val="15"/>
              </w:rPr>
              <w:t>）</w:t>
            </w:r>
          </w:p>
        </w:tc>
        <w:tc>
          <w:tcPr>
            <w:tcW w:w="1082"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元</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36500</w:t>
            </w:r>
          </w:p>
        </w:tc>
        <w:tc>
          <w:tcPr>
            <w:tcW w:w="1080" w:type="dxa"/>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34249</w:t>
            </w:r>
          </w:p>
        </w:tc>
        <w:tc>
          <w:tcPr>
            <w:tcW w:w="1260" w:type="dxa"/>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否</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97" w:hRule="exact"/>
          <w:tblHeader/>
          <w:jc w:val="center"/>
        </w:trPr>
        <w:tc>
          <w:tcPr>
            <w:tcW w:w="813" w:type="dxa"/>
            <w:vMerge w:val="continue"/>
            <w:tcBorders>
              <w:bottom w:val="single" w:color="auto" w:sz="2" w:space="0"/>
            </w:tcBorders>
            <w:noWrap w:val="0"/>
            <w:vAlign w:val="center"/>
          </w:tcPr>
          <w:p>
            <w:pPr>
              <w:spacing w:after="0" w:line="240" w:lineRule="exact"/>
              <w:jc w:val="center"/>
              <w:rPr>
                <w:rFonts w:ascii="宋体" w:hAnsi="宋体" w:eastAsia="宋体" w:cs="宋体"/>
                <w:b/>
                <w:bCs/>
                <w:color w:val="000000"/>
                <w:sz w:val="18"/>
                <w:szCs w:val="18"/>
              </w:rPr>
            </w:pPr>
          </w:p>
        </w:tc>
        <w:tc>
          <w:tcPr>
            <w:tcW w:w="3240" w:type="dxa"/>
            <w:tcBorders>
              <w:bottom w:val="single" w:color="auto" w:sz="2" w:space="0"/>
            </w:tcBorders>
            <w:noWrap/>
            <w:vAlign w:val="center"/>
          </w:tcPr>
          <w:p>
            <w:pPr>
              <w:spacing w:after="0" w:line="240" w:lineRule="exact"/>
              <w:rPr>
                <w:rFonts w:hint="eastAsia" w:ascii="宋体" w:hAnsi="宋体" w:eastAsia="宋体" w:cs="宋体"/>
                <w:color w:val="000000"/>
                <w:sz w:val="18"/>
                <w:szCs w:val="18"/>
              </w:rPr>
            </w:pPr>
            <w:r>
              <w:rPr>
                <w:rFonts w:hint="eastAsia" w:ascii="宋体" w:hAnsi="宋体" w:eastAsia="宋体" w:cs="宋体"/>
                <w:color w:val="000000"/>
                <w:sz w:val="18"/>
                <w:szCs w:val="18"/>
              </w:rPr>
              <w:t>农村居民人均纯收入</w:t>
            </w:r>
            <w:r>
              <w:rPr>
                <w:rFonts w:hint="eastAsia" w:ascii="宋体" w:hAnsi="宋体" w:eastAsia="宋体" w:cs="宋体"/>
                <w:color w:val="000000"/>
                <w:sz w:val="15"/>
                <w:szCs w:val="15"/>
              </w:rPr>
              <w:t>（老口径统计</w:t>
            </w:r>
            <w:r>
              <w:rPr>
                <w:rFonts w:ascii="宋体" w:hAnsi="宋体" w:eastAsia="宋体" w:cs="宋体"/>
                <w:color w:val="000000"/>
                <w:sz w:val="15"/>
                <w:szCs w:val="15"/>
              </w:rPr>
              <w:t>）</w:t>
            </w:r>
          </w:p>
        </w:tc>
        <w:tc>
          <w:tcPr>
            <w:tcW w:w="1082" w:type="dxa"/>
            <w:tcBorders>
              <w:bottom w:val="single" w:color="auto" w:sz="2" w:space="0"/>
            </w:tcBorders>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元</w:t>
            </w:r>
          </w:p>
        </w:tc>
        <w:tc>
          <w:tcPr>
            <w:tcW w:w="1080" w:type="dxa"/>
            <w:tcBorders>
              <w:bottom w:val="single" w:color="auto" w:sz="2" w:space="0"/>
            </w:tcBorders>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10000</w:t>
            </w:r>
          </w:p>
        </w:tc>
        <w:tc>
          <w:tcPr>
            <w:tcW w:w="1080" w:type="dxa"/>
            <w:tcBorders>
              <w:bottom w:val="single" w:color="auto" w:sz="2" w:space="0"/>
            </w:tcBorders>
            <w:noWrap/>
            <w:vAlign w:val="center"/>
          </w:tcPr>
          <w:p>
            <w:pPr>
              <w:spacing w:after="0" w:line="240" w:lineRule="exact"/>
              <w:jc w:val="center"/>
              <w:rPr>
                <w:rFonts w:ascii="宋体" w:hAnsi="宋体" w:eastAsia="宋体" w:cs="宋体"/>
                <w:color w:val="000000"/>
                <w:sz w:val="18"/>
                <w:szCs w:val="18"/>
              </w:rPr>
            </w:pPr>
            <w:r>
              <w:rPr>
                <w:rFonts w:ascii="宋体" w:hAnsi="宋体" w:eastAsia="宋体" w:cs="宋体"/>
                <w:color w:val="000000"/>
                <w:sz w:val="18"/>
                <w:szCs w:val="18"/>
              </w:rPr>
              <w:t>10316</w:t>
            </w:r>
          </w:p>
        </w:tc>
        <w:tc>
          <w:tcPr>
            <w:tcW w:w="1260" w:type="dxa"/>
            <w:tcBorders>
              <w:bottom w:val="single" w:color="auto" w:sz="2" w:space="0"/>
            </w:tcBorders>
            <w:noWrap/>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是</w:t>
            </w:r>
          </w:p>
        </w:tc>
      </w:tr>
    </w:tbl>
    <w:p>
      <w:pPr>
        <w:spacing w:after="0" w:line="280" w:lineRule="exact"/>
        <w:ind w:firstLine="440" w:firstLineChars="200"/>
        <w:rPr>
          <w:rFonts w:ascii="宋体" w:hAnsi="宋体" w:eastAsia="宋体" w:cs="宋体"/>
          <w:sz w:val="18"/>
          <w:szCs w:val="18"/>
        </w:rPr>
        <w:sectPr>
          <w:footerReference r:id="rId4" w:type="default"/>
          <w:footerReference r:id="rId5" w:type="even"/>
          <w:type w:val="continuous"/>
          <w:pgSz w:w="11906" w:h="16838"/>
          <w:pgMar w:top="1418" w:right="1588" w:bottom="1418" w:left="1588" w:header="851" w:footer="397" w:gutter="0"/>
          <w:pgNumType w:fmt="numberInDash"/>
          <w:cols w:space="425" w:num="1"/>
          <w:docGrid w:type="lines" w:linePitch="312" w:charSpace="0"/>
        </w:sectPr>
      </w:pPr>
      <w:r>
        <w:rPr>
          <w:lang/>
        </w:rPr>
        <w:drawing>
          <wp:anchor distT="0" distB="0" distL="114300" distR="114300" simplePos="0" relativeHeight="251728896" behindDoc="0" locked="0" layoutInCell="1" allowOverlap="1">
            <wp:simplePos x="0" y="0"/>
            <wp:positionH relativeFrom="column">
              <wp:posOffset>57785</wp:posOffset>
            </wp:positionH>
            <wp:positionV relativeFrom="paragraph">
              <wp:posOffset>530860</wp:posOffset>
            </wp:positionV>
            <wp:extent cx="5423535" cy="2932430"/>
            <wp:effectExtent l="57150" t="57150" r="62865" b="58420"/>
            <wp:wrapSquare wrapText="bothSides"/>
            <wp:docPr id="69" name="图片 17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4" descr="111"/>
                    <pic:cNvPicPr>
                      <a:picLocks noChangeAspect="1"/>
                    </pic:cNvPicPr>
                  </pic:nvPicPr>
                  <pic:blipFill>
                    <a:blip r:embed="rId7"/>
                    <a:stretch>
                      <a:fillRect/>
                    </a:stretch>
                  </pic:blipFill>
                  <pic:spPr>
                    <a:xfrm>
                      <a:off x="0" y="0"/>
                      <a:ext cx="5423535" cy="2932430"/>
                    </a:xfrm>
                    <a:prstGeom prst="rect">
                      <a:avLst/>
                    </a:prstGeom>
                    <a:noFill/>
                    <a:ln w="57150" cap="flat" cmpd="thickThin">
                      <a:solidFill>
                        <a:srgbClr val="7F7F7F"/>
                      </a:solidFill>
                      <a:prstDash val="solid"/>
                      <a:miter/>
                      <a:headEnd type="none" w="med" len="med"/>
                      <a:tailEnd type="none" w="med" len="med"/>
                    </a:ln>
                  </pic:spPr>
                </pic:pic>
              </a:graphicData>
            </a:graphic>
          </wp:anchor>
        </w:drawing>
      </w:r>
      <w:r>
        <w:rPr>
          <w:lang/>
        </w:rPr>
        <w:drawing>
          <wp:anchor distT="0" distB="0" distL="114300" distR="114300" simplePos="0" relativeHeight="251727872" behindDoc="0" locked="0" layoutInCell="1" allowOverlap="1">
            <wp:simplePos x="0" y="0"/>
            <wp:positionH relativeFrom="column">
              <wp:posOffset>57785</wp:posOffset>
            </wp:positionH>
            <wp:positionV relativeFrom="paragraph">
              <wp:posOffset>3856355</wp:posOffset>
            </wp:positionV>
            <wp:extent cx="5423535" cy="3060700"/>
            <wp:effectExtent l="57150" t="57150" r="62865" b="63500"/>
            <wp:wrapSquare wrapText="bothSides"/>
            <wp:docPr id="68" name="图片 173" descr="2"/>
            <wp:cNvGraphicFramePr/>
            <a:graphic xmlns:a="http://schemas.openxmlformats.org/drawingml/2006/main">
              <a:graphicData uri="http://schemas.openxmlformats.org/drawingml/2006/picture">
                <pic:pic xmlns:pic="http://schemas.openxmlformats.org/drawingml/2006/picture">
                  <pic:nvPicPr>
                    <pic:cNvPr id="68" name="图片 173" descr="2"/>
                    <pic:cNvPicPr preferRelativeResize="0"/>
                  </pic:nvPicPr>
                  <pic:blipFill>
                    <a:blip r:embed="rId8"/>
                    <a:stretch>
                      <a:fillRect/>
                    </a:stretch>
                  </pic:blipFill>
                  <pic:spPr>
                    <a:xfrm>
                      <a:off x="0" y="0"/>
                      <a:ext cx="5423535" cy="3060700"/>
                    </a:xfrm>
                    <a:prstGeom prst="rect">
                      <a:avLst/>
                    </a:prstGeom>
                    <a:noFill/>
                    <a:ln w="57150" cap="flat" cmpd="thickThin">
                      <a:solidFill>
                        <a:srgbClr val="7F7F7F"/>
                      </a:solidFill>
                      <a:prstDash val="solid"/>
                      <a:miter/>
                      <a:headEnd type="none" w="med" len="med"/>
                      <a:tailEnd type="none" w="med" len="med"/>
                    </a:ln>
                  </pic:spPr>
                </pic:pic>
              </a:graphicData>
            </a:graphic>
          </wp:anchor>
        </w:drawing>
      </w:r>
      <w:r>
        <w:rPr>
          <w:rFonts w:hint="eastAsia" w:ascii="宋体" w:hAnsi="宋体" w:eastAsia="宋体" w:cs="宋体"/>
          <w:sz w:val="18"/>
          <w:szCs w:val="18"/>
        </w:rPr>
        <w:t>注：生产总值绝对数按当年价格计算，增长速度按可比价格计算。</w:t>
      </w:r>
      <w:r>
        <w:rPr>
          <w:rFonts w:hint="eastAsia" w:ascii="宋体" w:hAnsi="宋体" w:eastAsia="宋体"/>
          <w:sz w:val="18"/>
          <w:szCs w:val="18"/>
        </w:rPr>
        <w:t>“【</w:t>
      </w:r>
      <w:r>
        <w:rPr>
          <w:rFonts w:ascii="宋体" w:hAnsi="宋体" w:eastAsia="宋体"/>
          <w:sz w:val="18"/>
          <w:szCs w:val="18"/>
        </w:rPr>
        <w:t xml:space="preserve">  </w:t>
      </w:r>
      <w:r>
        <w:rPr>
          <w:rFonts w:hint="eastAsia" w:ascii="宋体" w:hAnsi="宋体" w:eastAsia="宋体"/>
          <w:sz w:val="18"/>
          <w:szCs w:val="18"/>
        </w:rPr>
        <w:t>】”所列内容为五年累计数字</w:t>
      </w:r>
      <w:r>
        <w:rPr>
          <w:rFonts w:hint="eastAsia" w:ascii="宋体" w:hAnsi="宋体" w:eastAsia="宋体" w:cs="宋体"/>
          <w:sz w:val="18"/>
          <w:szCs w:val="18"/>
        </w:rPr>
        <w:t>。</w:t>
      </w:r>
      <w:bookmarkStart w:id="0" w:name="_GoBack"/>
      <w:bookmarkEnd w:id="0"/>
    </w:p>
    <w:p>
      <w:pPr>
        <w:spacing w:after="0" w:line="280" w:lineRule="exact"/>
        <w:ind w:firstLine="440" w:firstLineChars="200"/>
        <w:rPr>
          <w:bdr w:val="thinThickSmallGap" w:color="808080" w:sz="24" w:space="0"/>
        </w:rPr>
      </w:pPr>
      <w:r>
        <w:rPr>
          <w:lang/>
        </w:rPr>
        <w:drawing>
          <wp:anchor distT="0" distB="0" distL="114300" distR="114300" simplePos="0" relativeHeight="251662336" behindDoc="0" locked="0" layoutInCell="1" allowOverlap="1">
            <wp:simplePos x="0" y="0"/>
            <wp:positionH relativeFrom="column">
              <wp:posOffset>55245</wp:posOffset>
            </wp:positionH>
            <wp:positionV relativeFrom="paragraph">
              <wp:posOffset>6064250</wp:posOffset>
            </wp:positionV>
            <wp:extent cx="5429250" cy="2782570"/>
            <wp:effectExtent l="57150" t="57150" r="57150" b="74930"/>
            <wp:wrapSquare wrapText="bothSides"/>
            <wp:docPr id="4" name="图片 35" descr="C:\Users\Administrator\Desktop\十三五规划附图（最新）\4\大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descr="C:\Users\Administrator\Desktop\十三五规划附图（最新）\4\大图\5.jpg"/>
                    <pic:cNvPicPr>
                      <a:picLocks noChangeAspect="1"/>
                    </pic:cNvPicPr>
                  </pic:nvPicPr>
                  <pic:blipFill>
                    <a:blip r:embed="rId9"/>
                    <a:stretch>
                      <a:fillRect/>
                    </a:stretch>
                  </pic:blipFill>
                  <pic:spPr>
                    <a:xfrm>
                      <a:off x="0" y="0"/>
                      <a:ext cx="5429250" cy="2782570"/>
                    </a:xfrm>
                    <a:prstGeom prst="rect">
                      <a:avLst/>
                    </a:prstGeom>
                    <a:noFill/>
                    <a:ln w="57150" cap="flat" cmpd="thickThin">
                      <a:solidFill>
                        <a:srgbClr val="808080"/>
                      </a:solidFill>
                      <a:prstDash val="solid"/>
                      <a:miter/>
                      <a:headEnd type="none" w="med" len="med"/>
                      <a:tailEnd type="none" w="med" len="med"/>
                    </a:ln>
                  </pic:spPr>
                </pic:pic>
              </a:graphicData>
            </a:graphic>
          </wp:anchor>
        </w:drawing>
      </w:r>
      <w:r>
        <w:rPr>
          <w:lang/>
        </w:rPr>
        <w:drawing>
          <wp:anchor distT="0" distB="0" distL="114300" distR="114300" simplePos="0" relativeHeight="251725824" behindDoc="0" locked="0" layoutInCell="1" allowOverlap="1">
            <wp:simplePos x="0" y="0"/>
            <wp:positionH relativeFrom="column">
              <wp:posOffset>60960</wp:posOffset>
            </wp:positionH>
            <wp:positionV relativeFrom="paragraph">
              <wp:posOffset>2952115</wp:posOffset>
            </wp:positionV>
            <wp:extent cx="5423535" cy="2938780"/>
            <wp:effectExtent l="57150" t="57150" r="62865" b="71120"/>
            <wp:wrapSquare wrapText="bothSides"/>
            <wp:docPr id="66" name="图片 17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1" descr="4"/>
                    <pic:cNvPicPr>
                      <a:picLocks noChangeAspect="1"/>
                    </pic:cNvPicPr>
                  </pic:nvPicPr>
                  <pic:blipFill>
                    <a:blip r:embed="rId10"/>
                    <a:stretch>
                      <a:fillRect/>
                    </a:stretch>
                  </pic:blipFill>
                  <pic:spPr>
                    <a:xfrm>
                      <a:off x="0" y="0"/>
                      <a:ext cx="5423535" cy="2938780"/>
                    </a:xfrm>
                    <a:prstGeom prst="rect">
                      <a:avLst/>
                    </a:prstGeom>
                    <a:noFill/>
                    <a:ln w="57150" cap="flat" cmpd="thickThin">
                      <a:solidFill>
                        <a:srgbClr val="808080"/>
                      </a:solidFill>
                      <a:prstDash val="solid"/>
                      <a:miter/>
                      <a:headEnd type="none" w="med" len="med"/>
                      <a:tailEnd type="none" w="med" len="med"/>
                    </a:ln>
                  </pic:spPr>
                </pic:pic>
              </a:graphicData>
            </a:graphic>
          </wp:anchor>
        </w:drawing>
      </w:r>
      <w:r>
        <w:rPr>
          <w:lang/>
        </w:rPr>
        <w:drawing>
          <wp:anchor distT="0" distB="0" distL="114300" distR="114300" simplePos="0" relativeHeight="251724800" behindDoc="0" locked="0" layoutInCell="1" allowOverlap="1">
            <wp:simplePos x="0" y="0"/>
            <wp:positionH relativeFrom="column">
              <wp:posOffset>60960</wp:posOffset>
            </wp:positionH>
            <wp:positionV relativeFrom="paragraph">
              <wp:posOffset>6985</wp:posOffset>
            </wp:positionV>
            <wp:extent cx="5423535" cy="2778125"/>
            <wp:effectExtent l="57150" t="57150" r="62865" b="60325"/>
            <wp:wrapSquare wrapText="bothSides"/>
            <wp:docPr id="65" name="图片 170" descr="3"/>
            <wp:cNvGraphicFramePr/>
            <a:graphic xmlns:a="http://schemas.openxmlformats.org/drawingml/2006/main">
              <a:graphicData uri="http://schemas.openxmlformats.org/drawingml/2006/picture">
                <pic:pic xmlns:pic="http://schemas.openxmlformats.org/drawingml/2006/picture">
                  <pic:nvPicPr>
                    <pic:cNvPr id="65" name="图片 170" descr="3"/>
                    <pic:cNvPicPr preferRelativeResize="0"/>
                  </pic:nvPicPr>
                  <pic:blipFill>
                    <a:blip r:embed="rId11"/>
                    <a:stretch>
                      <a:fillRect/>
                    </a:stretch>
                  </pic:blipFill>
                  <pic:spPr>
                    <a:xfrm>
                      <a:off x="0" y="0"/>
                      <a:ext cx="5423535" cy="2778125"/>
                    </a:xfrm>
                    <a:prstGeom prst="rect">
                      <a:avLst/>
                    </a:prstGeom>
                    <a:noFill/>
                    <a:ln w="57150" cap="flat" cmpd="thickThin">
                      <a:solidFill>
                        <a:srgbClr val="7F7F7F"/>
                      </a:solidFill>
                      <a:prstDash val="solid"/>
                      <a:miter/>
                      <a:headEnd type="none" w="med" len="med"/>
                      <a:tailEnd type="none" w="med" len="med"/>
                    </a:ln>
                  </pic:spPr>
                </pic:pic>
              </a:graphicData>
            </a:graphic>
          </wp:anchor>
        </w:drawing>
      </w:r>
    </w:p>
    <w:p>
      <w:pPr>
        <w:rPr>
          <w:rFonts w:ascii="黑体" w:hAnsi="黑体" w:eastAsia="黑体"/>
          <w:spacing w:val="-20"/>
          <w:sz w:val="32"/>
          <w:szCs w:val="32"/>
        </w:rPr>
      </w:pPr>
      <w:r>
        <w:rPr>
          <w:lang/>
        </w:rPr>
        <w:drawing>
          <wp:anchor distT="0" distB="0" distL="114300" distR="114300" simplePos="0" relativeHeight="251726848" behindDoc="0" locked="0" layoutInCell="1" allowOverlap="1">
            <wp:simplePos x="0" y="0"/>
            <wp:positionH relativeFrom="column">
              <wp:posOffset>0</wp:posOffset>
            </wp:positionH>
            <wp:positionV relativeFrom="paragraph">
              <wp:posOffset>6062980</wp:posOffset>
            </wp:positionV>
            <wp:extent cx="5540375" cy="2805430"/>
            <wp:effectExtent l="57150" t="57150" r="60325" b="71120"/>
            <wp:wrapSquare wrapText="bothSides"/>
            <wp:docPr id="67" name="图片 172" descr="8"/>
            <wp:cNvGraphicFramePr/>
            <a:graphic xmlns:a="http://schemas.openxmlformats.org/drawingml/2006/main">
              <a:graphicData uri="http://schemas.openxmlformats.org/drawingml/2006/picture">
                <pic:pic xmlns:pic="http://schemas.openxmlformats.org/drawingml/2006/picture">
                  <pic:nvPicPr>
                    <pic:cNvPr id="67" name="图片 172" descr="8"/>
                    <pic:cNvPicPr preferRelativeResize="0"/>
                  </pic:nvPicPr>
                  <pic:blipFill>
                    <a:blip r:embed="rId12"/>
                    <a:stretch>
                      <a:fillRect/>
                    </a:stretch>
                  </pic:blipFill>
                  <pic:spPr>
                    <a:xfrm>
                      <a:off x="0" y="0"/>
                      <a:ext cx="5540375" cy="2805430"/>
                    </a:xfrm>
                    <a:prstGeom prst="rect">
                      <a:avLst/>
                    </a:prstGeom>
                    <a:noFill/>
                    <a:ln w="57150" cap="flat" cmpd="thickThin">
                      <a:solidFill>
                        <a:srgbClr val="7F7F7F"/>
                      </a:solidFill>
                      <a:prstDash val="solid"/>
                      <a:miter/>
                      <a:headEnd type="none" w="med" len="med"/>
                      <a:tailEnd type="none" w="med" len="med"/>
                    </a:ln>
                  </pic:spPr>
                </pic:pic>
              </a:graphicData>
            </a:graphic>
          </wp:anchor>
        </w:drawing>
      </w:r>
      <w:r>
        <w:rPr>
          <w:lang/>
        </w:rPr>
        <mc:AlternateContent>
          <mc:Choice Requires="wps">
            <w:drawing>
              <wp:anchor distT="45720" distB="45720" distL="114300" distR="114300" simplePos="0" relativeHeight="251661312" behindDoc="0" locked="0" layoutInCell="1" allowOverlap="1">
                <wp:simplePos x="0" y="0"/>
                <wp:positionH relativeFrom="column">
                  <wp:posOffset>4272280</wp:posOffset>
                </wp:positionH>
                <wp:positionV relativeFrom="paragraph">
                  <wp:posOffset>-2599055</wp:posOffset>
                </wp:positionV>
                <wp:extent cx="593090" cy="252730"/>
                <wp:effectExtent l="0" t="0" r="16510" b="13970"/>
                <wp:wrapNone/>
                <wp:docPr id="3" name="文本框 2"/>
                <wp:cNvGraphicFramePr/>
                <a:graphic xmlns:a="http://schemas.openxmlformats.org/drawingml/2006/main">
                  <a:graphicData uri="http://schemas.microsoft.com/office/word/2010/wordprocessingShape">
                    <wps:wsp>
                      <wps:cNvSpPr txBox="1"/>
                      <wps:spPr>
                        <a:xfrm>
                          <a:off x="0" y="0"/>
                          <a:ext cx="593090" cy="252730"/>
                        </a:xfrm>
                        <a:prstGeom prst="rect">
                          <a:avLst/>
                        </a:prstGeom>
                        <a:solidFill>
                          <a:srgbClr val="FFFFFF"/>
                        </a:solidFill>
                        <a:ln>
                          <a:noFill/>
                        </a:ln>
                      </wps:spPr>
                      <wps:txbx>
                        <w:txbxContent>
                          <w:p>
                            <w:pPr>
                              <w:rPr>
                                <w:rFonts w:hint="eastAsia" w:ascii="黑体" w:hAnsi="黑体" w:eastAsia="黑体"/>
                                <w:spacing w:val="-10"/>
                                <w:sz w:val="18"/>
                              </w:rPr>
                            </w:pPr>
                            <w:r>
                              <w:rPr>
                                <w:rFonts w:hint="eastAsia" w:ascii="黑体" w:hAnsi="黑体" w:eastAsia="黑体"/>
                                <w:spacing w:val="-10"/>
                                <w:sz w:val="18"/>
                              </w:rPr>
                              <w:t>2620亿</w:t>
                            </w:r>
                          </w:p>
                        </w:txbxContent>
                      </wps:txbx>
                      <wps:bodyPr wrap="square" upright="1"/>
                    </wps:wsp>
                  </a:graphicData>
                </a:graphic>
              </wp:anchor>
            </w:drawing>
          </mc:Choice>
          <mc:Fallback>
            <w:pict>
              <v:shape id="文本框 2" o:spid="_x0000_s1026" o:spt="202" type="#_x0000_t202" style="position:absolute;left:0pt;margin-left:336.4pt;margin-top:-204.65pt;height:19.9pt;width:46.7pt;z-index:251661312;mso-width-relative:margin;mso-height-relative:margin;" fillcolor="#FFFFFF" filled="t" stroked="f" coordsize="21600,21600" o:gfxdata="UEsDBAoAAAAAAIdO4kAAAAAAAAAAAAAAAAAEAAAAZHJzL1BLAwQUAAAACACHTuJAuRaZCtsAAAAN&#10;AQAADwAAAGRycy9kb3ducmV2LnhtbE2PwU7DMBBE70j8g7VIXFDrNG0dEuJUAgnEtaUfsIm3SURs&#10;R7HbtH/PcoLjzo5m3pS7qx3EhabQe6dhtUxAkGu86V2r4fj1vngGESI6g4N3pOFGAXbV/V2JhfGz&#10;29PlEFvBIS4UqKGLcSykDE1HFsPSj+T4d/KTxcjn1Eoz4czhdpBpkihpsXfc0OFIbx0134ez1XD6&#10;nJ+2+Vx/xGO236hX7LPa37R+fFglLyAiXeOfGX7xGR0qZqr92ZkgBg0qSxk9alhsknwNgi2ZUimI&#10;mqW1yrcgq1L+X1H9AFBLAwQUAAAACACHTuJAEgtAK8wBAACEAwAADgAAAGRycy9lMm9Eb2MueG1s&#10;rVPNjtMwEL4j8Q6W7zTdVAts1HQlqMoFAdLCA7iOk1jyHzNuk74AvAEnLtx5rj7Hjp1uF3Yve9gc&#10;HHt+vpnvG3t5PVrD9gpQe1fzi9mcM+Wkb7Trav7t6+bVW84wCtcI452q+UEhv169fLEcQqVK33vT&#10;KGAE4rAaQs37GENVFCh7ZQXOfFCOnK0HKyIdoSsaEAOhW1OU8/nrYvDQBPBSIZJ1PTn5CRGeAujb&#10;Vku19nJnlYsTKigjIlHCXgfkq9xt2yoZP7ctqshMzYlpzCsVof02rcVqKaoOROi1PLUgntLCA05W&#10;aEdFz1BrEQXbgX4EZbUEj76NM+ltMRHJihCLi/kDbW56EVTmQlJjOIuOzwcrP+2/ANNNzRecOWFp&#10;4MdfP4+//x7//GBlkmcIWFHUTaC4OL7zI12aOzuSMbEeW7DpT3wY+Uncw1lcNUYmyXh5tZhfkUeS&#10;q7ws3yyy+MV9cgCMH5S3LG1qDjS7LKnYf8RIjVDoXUiqhd7oZqONyQfotu8NsL2gOW/yl3qklP/C&#10;jEvBzqe0yZ0sRaI4UUm7OG7HE++tbw5Ee6D7UXP8vhOgONsF0F1PHWYZcjINJxc7XaQ0/X/PucT9&#10;41nd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kWmQrbAAAADQEAAA8AAAAAAAAAAQAgAAAAIgAA&#10;AGRycy9kb3ducmV2LnhtbFBLAQIUABQAAAAIAIdO4kASC0ArzAEAAIQDAAAOAAAAAAAAAAEAIAAA&#10;ACoBAABkcnMvZTJvRG9jLnhtbFBLBQYAAAAABgAGAFkBAABoBQAAAAA=&#10;">
                <v:fill on="t" focussize="0,0"/>
                <v:stroke on="f"/>
                <v:imagedata o:title=""/>
                <o:lock v:ext="edit" aspectratio="f"/>
                <v:textbox>
                  <w:txbxContent>
                    <w:p>
                      <w:pPr>
                        <w:rPr>
                          <w:rFonts w:hint="eastAsia" w:ascii="黑体" w:hAnsi="黑体" w:eastAsia="黑体"/>
                          <w:spacing w:val="-10"/>
                          <w:sz w:val="18"/>
                        </w:rPr>
                      </w:pPr>
                      <w:r>
                        <w:rPr>
                          <w:rFonts w:hint="eastAsia" w:ascii="黑体" w:hAnsi="黑体" w:eastAsia="黑体"/>
                          <w:spacing w:val="-10"/>
                          <w:sz w:val="18"/>
                        </w:rPr>
                        <w:t>2620亿</w:t>
                      </w:r>
                    </w:p>
                  </w:txbxContent>
                </v:textbox>
              </v:shape>
            </w:pict>
          </mc:Fallback>
        </mc:AlternateContent>
      </w:r>
      <w:r>
        <w:rPr>
          <w:lang/>
        </w:rPr>
        <w:drawing>
          <wp:anchor distT="0" distB="0" distL="114300" distR="114300" simplePos="0" relativeHeight="251664384" behindDoc="0" locked="0" layoutInCell="1" allowOverlap="1">
            <wp:simplePos x="0" y="0"/>
            <wp:positionH relativeFrom="column">
              <wp:posOffset>15875</wp:posOffset>
            </wp:positionH>
            <wp:positionV relativeFrom="paragraph">
              <wp:posOffset>2899410</wp:posOffset>
            </wp:positionV>
            <wp:extent cx="5544185" cy="2938780"/>
            <wp:effectExtent l="57150" t="57150" r="75565" b="71120"/>
            <wp:wrapSquare wrapText="bothSides"/>
            <wp:docPr id="6" name="图片 37" descr="C:\Users\Administrator\Desktop\十三五规划附图（最新）\4\大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7" descr="C:\Users\Administrator\Desktop\十三五规划附图（最新）\4\大图\7.jpg"/>
                    <pic:cNvPicPr>
                      <a:picLocks noChangeAspect="1"/>
                    </pic:cNvPicPr>
                  </pic:nvPicPr>
                  <pic:blipFill>
                    <a:blip r:embed="rId13"/>
                    <a:srcRect t="5408" b="2704"/>
                    <a:stretch>
                      <a:fillRect/>
                    </a:stretch>
                  </pic:blipFill>
                  <pic:spPr>
                    <a:xfrm>
                      <a:off x="0" y="0"/>
                      <a:ext cx="5544185" cy="2938780"/>
                    </a:xfrm>
                    <a:prstGeom prst="rect">
                      <a:avLst/>
                    </a:prstGeom>
                    <a:noFill/>
                    <a:ln w="57150" cap="flat" cmpd="thickThin">
                      <a:solidFill>
                        <a:srgbClr val="808080"/>
                      </a:solidFill>
                      <a:prstDash val="solid"/>
                      <a:miter/>
                      <a:headEnd type="none" w="med" len="med"/>
                      <a:tailEnd type="none" w="med" len="med"/>
                    </a:ln>
                  </pic:spPr>
                </pic:pic>
              </a:graphicData>
            </a:graphic>
          </wp:anchor>
        </w:drawing>
      </w:r>
      <w:r>
        <w:rPr>
          <w:lang/>
        </w:rPr>
        <w:drawing>
          <wp:anchor distT="0" distB="0" distL="114300" distR="114300" simplePos="0" relativeHeight="251663360" behindDoc="0" locked="0" layoutInCell="1" allowOverlap="1">
            <wp:simplePos x="0" y="0"/>
            <wp:positionH relativeFrom="column">
              <wp:posOffset>15875</wp:posOffset>
            </wp:positionH>
            <wp:positionV relativeFrom="paragraph">
              <wp:posOffset>15875</wp:posOffset>
            </wp:positionV>
            <wp:extent cx="5544185" cy="2705735"/>
            <wp:effectExtent l="57150" t="57150" r="75565" b="75565"/>
            <wp:wrapSquare wrapText="bothSides"/>
            <wp:docPr id="5" name="图片 36" descr="C:\Users\Administrator\Desktop\十三五规划附图（最新）\4\大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6" descr="C:\Users\Administrator\Desktop\十三五规划附图（最新）\4\大图\6.jpg"/>
                    <pic:cNvPicPr>
                      <a:picLocks noChangeAspect="1"/>
                    </pic:cNvPicPr>
                  </pic:nvPicPr>
                  <pic:blipFill>
                    <a:blip r:embed="rId14"/>
                    <a:stretch>
                      <a:fillRect/>
                    </a:stretch>
                  </pic:blipFill>
                  <pic:spPr>
                    <a:xfrm>
                      <a:off x="0" y="0"/>
                      <a:ext cx="5544185" cy="2705735"/>
                    </a:xfrm>
                    <a:prstGeom prst="rect">
                      <a:avLst/>
                    </a:prstGeom>
                    <a:noFill/>
                    <a:ln w="57150" cap="flat" cmpd="thickThin">
                      <a:solidFill>
                        <a:srgbClr val="808080"/>
                      </a:solidFill>
                      <a:prstDash val="solid"/>
                      <a:miter/>
                      <a:headEnd type="none" w="med" len="med"/>
                      <a:tailEnd type="none" w="med" len="med"/>
                    </a:ln>
                  </pic:spPr>
                </pic:pic>
              </a:graphicData>
            </a:graphic>
          </wp:anchor>
        </w:drawing>
      </w:r>
    </w:p>
    <w:p>
      <w:pPr>
        <w:widowControl w:val="0"/>
        <w:spacing w:after="0" w:line="560" w:lineRule="exact"/>
        <w:jc w:val="center"/>
        <w:rPr>
          <w:rFonts w:ascii="黑体" w:hAnsi="黑体" w:eastAsia="黑体"/>
          <w:b/>
          <w:spacing w:val="-20"/>
          <w:sz w:val="32"/>
          <w:szCs w:val="32"/>
        </w:rPr>
      </w:pPr>
      <w:r>
        <w:rPr>
          <w:lang/>
        </w:rPr>
        <w:drawing>
          <wp:anchor distT="0" distB="0" distL="114300" distR="114300" simplePos="0" relativeHeight="251665408" behindDoc="0" locked="0" layoutInCell="1" allowOverlap="1">
            <wp:simplePos x="0" y="0"/>
            <wp:positionH relativeFrom="column">
              <wp:posOffset>58420</wp:posOffset>
            </wp:positionH>
            <wp:positionV relativeFrom="paragraph">
              <wp:posOffset>3184525</wp:posOffset>
            </wp:positionV>
            <wp:extent cx="5544185" cy="2900045"/>
            <wp:effectExtent l="57150" t="57150" r="75565" b="71755"/>
            <wp:wrapSquare wrapText="bothSides"/>
            <wp:docPr id="7" name="图片 39" descr="C:\Users\Administrator\Desktop\十三五规划附图（最新）\4\大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9" descr="C:\Users\Administrator\Desktop\十三五规划附图（最新）\4\大图\9.jpg"/>
                    <pic:cNvPicPr>
                      <a:picLocks noChangeAspect="1"/>
                    </pic:cNvPicPr>
                  </pic:nvPicPr>
                  <pic:blipFill>
                    <a:blip r:embed="rId15"/>
                    <a:stretch>
                      <a:fillRect/>
                    </a:stretch>
                  </pic:blipFill>
                  <pic:spPr>
                    <a:xfrm>
                      <a:off x="0" y="0"/>
                      <a:ext cx="5544185" cy="2900045"/>
                    </a:xfrm>
                    <a:prstGeom prst="rect">
                      <a:avLst/>
                    </a:prstGeom>
                    <a:noFill/>
                    <a:ln w="57150" cap="flat" cmpd="thickThin">
                      <a:solidFill>
                        <a:srgbClr val="808080"/>
                      </a:solidFill>
                      <a:prstDash val="solid"/>
                      <a:miter/>
                      <a:headEnd type="none" w="med" len="med"/>
                      <a:tailEnd type="none" w="med" len="med"/>
                    </a:ln>
                  </pic:spPr>
                </pic:pic>
              </a:graphicData>
            </a:graphic>
          </wp:anchor>
        </w:drawing>
      </w:r>
      <w:r>
        <w:rPr>
          <w:lang/>
        </w:rPr>
        <w:drawing>
          <wp:anchor distT="0" distB="0" distL="114300" distR="114300" simplePos="0" relativeHeight="251730944" behindDoc="0" locked="0" layoutInCell="1" allowOverlap="1">
            <wp:simplePos x="0" y="0"/>
            <wp:positionH relativeFrom="column">
              <wp:posOffset>58420</wp:posOffset>
            </wp:positionH>
            <wp:positionV relativeFrom="paragraph">
              <wp:posOffset>53340</wp:posOffset>
            </wp:positionV>
            <wp:extent cx="5545455" cy="2926080"/>
            <wp:effectExtent l="57150" t="57150" r="74295" b="64770"/>
            <wp:wrapSquare wrapText="bothSides"/>
            <wp:docPr id="71" name="图片 1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79" descr="2"/>
                    <pic:cNvPicPr>
                      <a:picLocks noChangeAspect="1"/>
                    </pic:cNvPicPr>
                  </pic:nvPicPr>
                  <pic:blipFill>
                    <a:blip r:embed="rId16"/>
                    <a:stretch>
                      <a:fillRect/>
                    </a:stretch>
                  </pic:blipFill>
                  <pic:spPr>
                    <a:xfrm>
                      <a:off x="0" y="0"/>
                      <a:ext cx="5545455" cy="2926080"/>
                    </a:xfrm>
                    <a:prstGeom prst="rect">
                      <a:avLst/>
                    </a:prstGeom>
                    <a:noFill/>
                    <a:ln w="57150" cap="flat" cmpd="thickThin">
                      <a:solidFill>
                        <a:srgbClr val="7F7F7F"/>
                      </a:solidFill>
                      <a:prstDash val="solid"/>
                      <a:miter/>
                      <a:headEnd type="none" w="med" len="med"/>
                      <a:tailEnd type="none" w="med" len="med"/>
                    </a:ln>
                  </pic:spPr>
                </pic:pic>
              </a:graphicData>
            </a:graphic>
          </wp:anchor>
        </w:drawing>
      </w:r>
      <w:r>
        <w:rPr>
          <w:lang/>
        </w:rPr>
        <mc:AlternateContent>
          <mc:Choice Requires="wps">
            <w:drawing>
              <wp:anchor distT="45720" distB="45720" distL="114300" distR="114300" simplePos="0" relativeHeight="251660288" behindDoc="0" locked="0" layoutInCell="1" allowOverlap="1">
                <wp:simplePos x="0" y="0"/>
                <wp:positionH relativeFrom="column">
                  <wp:posOffset>389890</wp:posOffset>
                </wp:positionH>
                <wp:positionV relativeFrom="paragraph">
                  <wp:posOffset>-5507990</wp:posOffset>
                </wp:positionV>
                <wp:extent cx="2668270" cy="386715"/>
                <wp:effectExtent l="0" t="0" r="17780" b="13335"/>
                <wp:wrapNone/>
                <wp:docPr id="2" name="文本框 2"/>
                <wp:cNvGraphicFramePr/>
                <a:graphic xmlns:a="http://schemas.openxmlformats.org/drawingml/2006/main">
                  <a:graphicData uri="http://schemas.microsoft.com/office/word/2010/wordprocessingShape">
                    <wps:wsp>
                      <wps:cNvSpPr txBox="1"/>
                      <wps:spPr>
                        <a:xfrm>
                          <a:off x="0" y="0"/>
                          <a:ext cx="2668270" cy="386715"/>
                        </a:xfrm>
                        <a:prstGeom prst="rect">
                          <a:avLst/>
                        </a:prstGeom>
                        <a:solidFill>
                          <a:srgbClr val="FFFFFF"/>
                        </a:solidFill>
                        <a:ln>
                          <a:noFill/>
                        </a:ln>
                      </wps:spPr>
                      <wps:txbx>
                        <w:txbxContent>
                          <w:p>
                            <w:pPr>
                              <w:rPr>
                                <w:rFonts w:hint="eastAsia" w:ascii="汉仪粗圆简" w:eastAsia="汉仪粗圆简"/>
                                <w:spacing w:val="-20"/>
                              </w:rPr>
                            </w:pPr>
                            <w:r>
                              <w:rPr>
                                <w:rFonts w:hint="eastAsia" w:ascii="汉仪粗圆简" w:eastAsia="汉仪粗圆简"/>
                                <w:spacing w:val="-20"/>
                              </w:rPr>
                              <w:t>“十二五”期间宝鸡市旅游收入占</w:t>
                            </w:r>
                            <w:r>
                              <w:rPr>
                                <w:rFonts w:hint="eastAsia" w:ascii="方正大黑繁体" w:eastAsia="方正大黑繁体"/>
                                <w:spacing w:val="-20"/>
                              </w:rPr>
                              <w:t>GPD</w:t>
                            </w:r>
                            <w:r>
                              <w:rPr>
                                <w:rFonts w:hint="eastAsia" w:ascii="汉仪粗圆简" w:eastAsia="汉仪粗圆简"/>
                                <w:spacing w:val="-20"/>
                              </w:rPr>
                              <w:t>比重情况</w:t>
                            </w:r>
                          </w:p>
                        </w:txbxContent>
                      </wps:txbx>
                      <wps:bodyPr wrap="none" upright="1"/>
                    </wps:wsp>
                  </a:graphicData>
                </a:graphic>
              </wp:anchor>
            </w:drawing>
          </mc:Choice>
          <mc:Fallback>
            <w:pict>
              <v:shape id="_x0000_s1026" o:spid="_x0000_s1026" o:spt="202" type="#_x0000_t202" style="position:absolute;left:0pt;margin-left:30.7pt;margin-top:-433.7pt;height:30.45pt;width:210.1pt;mso-wrap-style:none;z-index:251660288;mso-width-relative:margin;mso-height-relative:margin;" fillcolor="#FFFFFF" filled="t" stroked="f" coordsize="21600,21600" o:gfxdata="UEsDBAoAAAAAAIdO4kAAAAAAAAAAAAAAAAAEAAAAZHJzL1BLAwQUAAAACACHTuJAW2EJ3NkAAAAM&#10;AQAADwAAAGRycy9kb3ducmV2LnhtbE2PPU/DMBCGdyT+g3VIbK0d1JgoxKkQqFPVgVKJ1bWPOCI+&#10;h9htw7/HnWC7j0fvPdesZz+wM06xD6SgWApgSCbYnjoFh/fNogIWkyarh0Co4AcjrNvbm0bXNlzo&#10;Dc/71LEcQrHWClxKY815NA69jsswIuXdZ5i8TrmdOm4nfcnhfuAPQkjudU/5gtMjvjg0X/uTV/CN&#10;r7vnj/JgzGYutzvj7LaarVL3d4V4ApZwTn8wXPWzOrTZ6RhOZCMbFMhilUkFi0o+5ioTq6qQwI7X&#10;kZAl8Lbh/59ofwFQSwMEFAAAAAgAh07iQA4o00PIAQAAgwMAAA4AAABkcnMvZTJvRG9jLnhtbK1T&#10;wY7TMBC9I/EPlu80bRDdKmq6ElTlggBp2Q9wHaexZHssj9ukPwB/wIkLd76r38HYyXZhueyBHJzx&#10;zPjNvDf2+nawhp1UQA2u5ovZnDPlJDTaHWp+/2X3asUZRuEaYcCpmp8V8tvNyxfr3leqhA5MowIj&#10;EIdV72vexeirokDZKStwBl45CrYQrIi0DYeiCaIndGuKcj5fFj2ExgeQCpG82zHIJ8TwHEBoWy3V&#10;FuTRKhdH1KCMiEQJO+2Rb3K3batk/NS2qCIzNSemMa9UhOx9WovNWlSHIHyn5dSCeE4LTzhZoR0V&#10;vUJtRRTsGPQ/UFbLAAhtnEmwxUgkK0IsFvMn2tx1wqvMhaRGfxUd/x+s/Hj6HJhual5y5oSlgV++&#10;f7v8+HX5+ZWVSZ7eY0VZd57y4vAWBro0D34kZ2I9tMGmP/FhFCdxz1dx1RCZJGe5XK7KGwpJir1e&#10;LW8WbxJM8XjaB4zvFViWjJoHGl7WVJw+YBxTH1JSMQSjm502Jm/CYf/OBHYSNOhd/ib0v9KMS8kO&#10;0rERMXmKxHHkkqw47IeJ+B6aM/Hu6YLU3NF74Ozogz501F9WIR+l2WQi0z1Kw/9znws8vp3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thCdzZAAAADAEAAA8AAAAAAAAAAQAgAAAAIgAAAGRycy9k&#10;b3ducmV2LnhtbFBLAQIUABQAAAAIAIdO4kAOKNNDyAEAAIMDAAAOAAAAAAAAAAEAIAAAACgBAABk&#10;cnMvZTJvRG9jLnhtbFBLBQYAAAAABgAGAFkBAABiBQAAAAA=&#10;">
                <v:fill on="t" focussize="0,0"/>
                <v:stroke on="f"/>
                <v:imagedata o:title=""/>
                <o:lock v:ext="edit" aspectratio="f"/>
                <v:textbox>
                  <w:txbxContent>
                    <w:p>
                      <w:pPr>
                        <w:rPr>
                          <w:rFonts w:hint="eastAsia" w:ascii="汉仪粗圆简" w:eastAsia="汉仪粗圆简"/>
                          <w:spacing w:val="-20"/>
                        </w:rPr>
                      </w:pPr>
                      <w:r>
                        <w:rPr>
                          <w:rFonts w:hint="eastAsia" w:ascii="汉仪粗圆简" w:eastAsia="汉仪粗圆简"/>
                          <w:spacing w:val="-20"/>
                        </w:rPr>
                        <w:t>“十二五”期间宝鸡市旅游收入占</w:t>
                      </w:r>
                      <w:r>
                        <w:rPr>
                          <w:rFonts w:hint="eastAsia" w:ascii="方正大黑繁体" w:eastAsia="方正大黑繁体"/>
                          <w:spacing w:val="-20"/>
                        </w:rPr>
                        <w:t>GPD</w:t>
                      </w:r>
                      <w:r>
                        <w:rPr>
                          <w:rFonts w:hint="eastAsia" w:ascii="汉仪粗圆简" w:eastAsia="汉仪粗圆简"/>
                          <w:spacing w:val="-20"/>
                        </w:rPr>
                        <w:t>比重情况</w:t>
                      </w:r>
                    </w:p>
                  </w:txbxContent>
                </v:textbox>
              </v:shape>
            </w:pict>
          </mc:Fallback>
        </mc:AlternateContent>
      </w:r>
    </w:p>
    <w:p>
      <w:pPr>
        <w:widowControl w:val="0"/>
        <w:spacing w:after="0" w:line="600" w:lineRule="exact"/>
        <w:jc w:val="center"/>
        <w:rPr>
          <w:rFonts w:hint="eastAsia" w:ascii="黑体" w:hAnsi="黑体" w:eastAsia="黑体"/>
          <w:sz w:val="32"/>
          <w:szCs w:val="32"/>
        </w:rPr>
      </w:pPr>
      <w:r>
        <w:rPr>
          <w:rFonts w:hint="eastAsia" w:ascii="黑体" w:hAnsi="黑体" w:eastAsia="黑体"/>
          <w:sz w:val="32"/>
          <w:szCs w:val="32"/>
        </w:rPr>
        <w:t>第二章  发展环境</w:t>
      </w:r>
    </w:p>
    <w:p>
      <w:pPr>
        <w:widowControl w:val="0"/>
        <w:spacing w:after="0" w:line="600" w:lineRule="exact"/>
        <w:ind w:firstLine="643" w:firstLineChars="200"/>
        <w:jc w:val="both"/>
        <w:rPr>
          <w:rFonts w:ascii="仿宋_GB2312" w:eastAsia="仿宋_GB2312"/>
          <w:sz w:val="32"/>
          <w:szCs w:val="32"/>
        </w:rPr>
      </w:pPr>
      <w:r>
        <w:rPr>
          <w:rFonts w:hint="eastAsia" w:ascii="楷体_GB2312" w:eastAsia="楷体_GB2312"/>
          <w:b/>
          <w:sz w:val="32"/>
          <w:szCs w:val="32"/>
        </w:rPr>
        <w:t>从国际国内形势看，</w:t>
      </w:r>
      <w:r>
        <w:rPr>
          <w:rFonts w:hint="eastAsia" w:ascii="仿宋_GB2312" w:eastAsia="仿宋_GB2312"/>
          <w:sz w:val="32"/>
          <w:szCs w:val="32"/>
        </w:rPr>
        <w:t>世界经济仍在深度调整，存在诸多不确定因素，非经济因素干扰明显增大，但和平与发展依然是当今世界的主题，新一轮科技革命和产业变革蓄势待发，经济全球化呈现区域经济一体化新趋势。我国经济步入新常态，仍处于可以大有作为的重要战略机遇期，但其内涵已经发生了新变化，进入结构调整和动力转换关键阶段，区域协调发展给西部带来更大机遇，发展方式转变给产业升级带来重大机遇，提质增效给企业发展带来难得机遇。这将对我市发展拓宽空间提升发展质量带来前所未有的有利环境。</w:t>
      </w:r>
    </w:p>
    <w:p>
      <w:pPr>
        <w:widowControl w:val="0"/>
        <w:spacing w:after="0" w:line="600" w:lineRule="exact"/>
        <w:ind w:firstLine="643" w:firstLineChars="200"/>
        <w:jc w:val="both"/>
        <w:rPr>
          <w:rFonts w:ascii="仿宋_GB2312" w:eastAsia="仿宋_GB2312"/>
          <w:sz w:val="32"/>
          <w:szCs w:val="32"/>
        </w:rPr>
      </w:pPr>
      <w:r>
        <w:rPr>
          <w:rFonts w:hint="eastAsia" w:ascii="楷体_GB2312" w:eastAsia="楷体_GB2312"/>
          <w:b/>
          <w:sz w:val="32"/>
          <w:szCs w:val="32"/>
        </w:rPr>
        <w:t>从我市发展阶段看，</w:t>
      </w:r>
      <w:r>
        <w:rPr>
          <w:rFonts w:hint="eastAsia" w:ascii="仿宋_GB2312" w:eastAsia="仿宋_GB2312"/>
          <w:sz w:val="32"/>
          <w:szCs w:val="32"/>
        </w:rPr>
        <w:t>经过三十多年的改革开放和近十年来高速增长，我市主要经济指标实现了历史性跨越，综合实力持续增强，经济社会发展具备了雄厚的物质基础，正处在势能潜能加速释放、追赶超越的关键阶段，站在了新的历史起点上，有基础、有能力走在全省前列；我市处在向西开放的重要节点，担负着建设关天副中心城市、打造丝绸之路经济带战略新枢纽等重大使命，在全省乃至西部发展全局中的地位更加突出；国家推进实</w:t>
      </w:r>
      <w:r>
        <w:rPr>
          <w:rFonts w:hint="eastAsia" w:ascii="仿宋_GB2312" w:eastAsia="仿宋_GB2312"/>
          <w:color w:val="000000"/>
          <w:sz w:val="32"/>
          <w:szCs w:val="32"/>
        </w:rPr>
        <w:t>施“一带一路”、新型城镇化、全面深化改革、脱贫攻坚战等重大战略，给我市发展带来新的历史机遇；我市具有工业基础雄厚、体系完备，资源富集，文化厚重的独特优势，尤其是历史文化中所包含的原创性思维和独创性精神如与现代文明相融合，将在未来发展中展现出新的活力；全市上下谋事成事、创业兴业、勇于赶超、争创一流</w:t>
      </w:r>
      <w:r>
        <w:rPr>
          <w:rFonts w:hint="eastAsia" w:ascii="仿宋_GB2312" w:eastAsia="仿宋_GB2312"/>
          <w:sz w:val="32"/>
          <w:szCs w:val="32"/>
        </w:rPr>
        <w:t>的认识和行动，将汇聚起发展的强劲动力。</w:t>
      </w:r>
    </w:p>
    <w:p>
      <w:pPr>
        <w:widowControl w:val="0"/>
        <w:spacing w:after="0" w:line="600" w:lineRule="exact"/>
        <w:ind w:firstLine="643" w:firstLineChars="200"/>
        <w:jc w:val="both"/>
        <w:rPr>
          <w:rFonts w:hint="eastAsia" w:ascii="仿宋_GB2312" w:eastAsia="仿宋_GB2312"/>
          <w:sz w:val="32"/>
          <w:szCs w:val="32"/>
        </w:rPr>
      </w:pPr>
      <w:r>
        <w:rPr>
          <w:rFonts w:hint="eastAsia" w:ascii="楷体_GB2312" w:eastAsia="楷体_GB2312"/>
          <w:b/>
          <w:sz w:val="32"/>
          <w:szCs w:val="32"/>
        </w:rPr>
        <w:t>综合判断，</w:t>
      </w:r>
      <w:r>
        <w:rPr>
          <w:rFonts w:hint="eastAsia" w:ascii="仿宋_GB2312" w:eastAsia="仿宋_GB2312"/>
          <w:sz w:val="32"/>
          <w:szCs w:val="32"/>
        </w:rPr>
        <w:t>“十三五”时期，我市仍处于一个可以大有作为的重要战略机遇期</w:t>
      </w:r>
      <w:r>
        <w:rPr>
          <w:rFonts w:ascii="仿宋_GB2312" w:eastAsia="仿宋_GB2312"/>
          <w:sz w:val="32"/>
          <w:szCs w:val="32"/>
        </w:rPr>
        <w:t>,</w:t>
      </w:r>
      <w:r>
        <w:rPr>
          <w:rFonts w:hint="eastAsia" w:ascii="仿宋_GB2312" w:eastAsia="仿宋_GB2312"/>
          <w:sz w:val="32"/>
          <w:szCs w:val="32"/>
        </w:rPr>
        <w:t>作为西部欠发达城市，追赶超越有着较大空间和潜力，宝鸡经济有信心、有条件、有能力保持中高速增长、迈向中高端水平，与全国同步全面建成小康社会，走在建设“三个陕西”的前列。</w:t>
      </w:r>
    </w:p>
    <w:p>
      <w:pPr>
        <w:spacing w:after="0" w:line="620" w:lineRule="exact"/>
        <w:jc w:val="center"/>
        <w:rPr>
          <w:rFonts w:hint="eastAsia" w:ascii="黑体" w:hAnsi="黑体" w:eastAsia="黑体"/>
          <w:sz w:val="32"/>
          <w:szCs w:val="32"/>
        </w:rPr>
      </w:pPr>
      <w:r>
        <w:rPr>
          <w:rFonts w:hint="eastAsia" w:ascii="黑体" w:hAnsi="黑体" w:eastAsia="黑体"/>
          <w:sz w:val="32"/>
          <w:szCs w:val="32"/>
        </w:rPr>
        <w:t>第三章</w:t>
      </w:r>
      <w:r>
        <w:rPr>
          <w:rFonts w:ascii="黑体" w:hAnsi="黑体" w:eastAsia="黑体"/>
          <w:sz w:val="32"/>
          <w:szCs w:val="32"/>
        </w:rPr>
        <w:t xml:space="preserve">  </w:t>
      </w:r>
      <w:r>
        <w:rPr>
          <w:rFonts w:hint="eastAsia" w:ascii="黑体" w:hAnsi="黑体" w:eastAsia="黑体"/>
          <w:sz w:val="32"/>
          <w:szCs w:val="32"/>
        </w:rPr>
        <w:t>总体要求</w:t>
      </w:r>
    </w:p>
    <w:p>
      <w:pPr>
        <w:spacing w:after="0" w:line="620" w:lineRule="exact"/>
        <w:jc w:val="center"/>
        <w:rPr>
          <w:rFonts w:hint="eastAsia" w:ascii="楷体_GB2312" w:eastAsia="楷体_GB2312"/>
          <w:b/>
          <w:sz w:val="32"/>
          <w:szCs w:val="32"/>
        </w:rPr>
      </w:pPr>
    </w:p>
    <w:p>
      <w:pPr>
        <w:spacing w:after="0" w:line="620" w:lineRule="exact"/>
        <w:jc w:val="center"/>
        <w:rPr>
          <w:rFonts w:hint="eastAsia" w:ascii="楷体_GB2312" w:eastAsia="楷体_GB2312"/>
          <w:b/>
          <w:sz w:val="32"/>
          <w:szCs w:val="32"/>
        </w:rPr>
      </w:pPr>
      <w:r>
        <w:rPr>
          <w:rFonts w:hint="eastAsia" w:ascii="楷体_GB2312" w:eastAsia="楷体_GB2312"/>
          <w:b/>
          <w:sz w:val="32"/>
          <w:szCs w:val="32"/>
        </w:rPr>
        <w:t>第一节</w:t>
      </w:r>
      <w:r>
        <w:rPr>
          <w:rFonts w:ascii="楷体_GB2312" w:eastAsia="楷体_GB2312"/>
          <w:b/>
          <w:sz w:val="32"/>
          <w:szCs w:val="32"/>
        </w:rPr>
        <w:t xml:space="preserve">  </w:t>
      </w:r>
      <w:r>
        <w:rPr>
          <w:rFonts w:hint="eastAsia" w:ascii="楷体_GB2312" w:eastAsia="楷体_GB2312"/>
          <w:b/>
          <w:sz w:val="32"/>
          <w:szCs w:val="32"/>
        </w:rPr>
        <w:t>指导思想</w:t>
      </w:r>
    </w:p>
    <w:p>
      <w:pPr>
        <w:spacing w:after="0" w:line="620" w:lineRule="exact"/>
        <w:ind w:firstLine="600" w:firstLineChars="200"/>
        <w:jc w:val="both"/>
        <w:rPr>
          <w:rFonts w:hint="eastAsia" w:ascii="黑体" w:hAnsi="黑体" w:eastAsia="黑体"/>
          <w:sz w:val="30"/>
          <w:szCs w:val="30"/>
        </w:rPr>
      </w:pPr>
      <w:r>
        <w:rPr>
          <w:rFonts w:hint="eastAsia" w:ascii="黑体" w:hAnsi="黑体" w:eastAsia="黑体"/>
          <w:sz w:val="30"/>
          <w:szCs w:val="30"/>
        </w:rPr>
        <w:t>全面贯彻党的十八大和十八届三中、四中、五中全会精神，深入贯彻习近平总书记系列重要讲话精神，坚持以“四个全面”战略布局为统领，以五大发展理念为指导，以追赶超越、群众满意为主线，以投资增效、工业强基、旅游带动、县域突破、脱贫攻坚为重点，大力实施改革开放推动、创新创业驱动、投资项目带动三大战略，着力完善基础设施、现代产业、公共服务、生态保障、社会治理五大体系，统筹推进经济、政治、文化、社会、生态文明和党的建设，加快打造关天副中心，建设最具幸福感城市，走在建设“三个陕西”前列，确保与全国全省同步够格全面建成小康社会。</w:t>
      </w:r>
    </w:p>
    <w:p>
      <w:pPr>
        <w:spacing w:after="0" w:line="620" w:lineRule="exact"/>
        <w:ind w:firstLine="600" w:firstLineChars="200"/>
        <w:jc w:val="both"/>
        <w:rPr>
          <w:rFonts w:hint="eastAsia" w:ascii="黑体" w:hAnsi="黑体" w:eastAsia="黑体"/>
          <w:sz w:val="30"/>
          <w:szCs w:val="30"/>
        </w:rPr>
      </w:pPr>
      <w:r>
        <w:rPr>
          <w:rFonts w:hint="eastAsia" w:ascii="黑体" w:hAnsi="黑体" w:eastAsia="黑体"/>
          <w:sz w:val="30"/>
          <w:szCs w:val="30"/>
        </w:rPr>
        <w:t xml:space="preserve"> </w:t>
      </w:r>
    </w:p>
    <w:p>
      <w:pPr>
        <w:spacing w:after="0" w:line="620" w:lineRule="exact"/>
        <w:jc w:val="center"/>
        <w:rPr>
          <w:rFonts w:hint="eastAsia" w:ascii="楷体_GB2312" w:eastAsia="楷体_GB2312"/>
          <w:b/>
          <w:sz w:val="32"/>
          <w:szCs w:val="32"/>
        </w:rPr>
      </w:pPr>
      <w:r>
        <w:rPr>
          <w:rFonts w:hint="eastAsia" w:ascii="楷体_GB2312" w:eastAsia="楷体_GB2312"/>
          <w:b/>
          <w:sz w:val="32"/>
          <w:szCs w:val="32"/>
        </w:rPr>
        <w:t>第二节</w:t>
      </w:r>
      <w:r>
        <w:rPr>
          <w:rFonts w:ascii="楷体_GB2312" w:eastAsia="楷体_GB2312"/>
          <w:b/>
          <w:sz w:val="32"/>
          <w:szCs w:val="32"/>
        </w:rPr>
        <w:t xml:space="preserve">  </w:t>
      </w:r>
      <w:r>
        <w:rPr>
          <w:rFonts w:hint="eastAsia" w:ascii="楷体_GB2312" w:eastAsia="楷体_GB2312"/>
          <w:b/>
          <w:sz w:val="32"/>
          <w:szCs w:val="32"/>
        </w:rPr>
        <w:t>基本原则</w:t>
      </w:r>
    </w:p>
    <w:p>
      <w:pPr>
        <w:adjustRightInd/>
        <w:snapToGrid/>
        <w:spacing w:after="0" w:line="620" w:lineRule="exact"/>
        <w:ind w:firstLine="643" w:firstLineChars="200"/>
        <w:jc w:val="both"/>
        <w:rPr>
          <w:rFonts w:ascii="仿宋_GB2312" w:eastAsia="仿宋_GB2312"/>
          <w:sz w:val="32"/>
          <w:szCs w:val="32"/>
        </w:rPr>
      </w:pPr>
      <w:r>
        <w:rPr>
          <w:rFonts w:ascii="楷体_GB2312" w:eastAsia="楷体_GB2312"/>
          <w:b/>
          <w:sz w:val="32"/>
          <w:szCs w:val="32"/>
        </w:rPr>
        <w:t>——</w:t>
      </w:r>
      <w:r>
        <w:rPr>
          <w:rFonts w:hint="eastAsia" w:ascii="楷体_GB2312" w:eastAsia="楷体_GB2312"/>
          <w:b/>
          <w:sz w:val="32"/>
          <w:szCs w:val="32"/>
        </w:rPr>
        <w:t>坚持五大理念科学发展。</w:t>
      </w:r>
      <w:r>
        <w:rPr>
          <w:rFonts w:hint="eastAsia" w:ascii="仿宋_GB2312" w:eastAsia="仿宋_GB2312"/>
          <w:sz w:val="32"/>
          <w:szCs w:val="32"/>
        </w:rPr>
        <w:t>把创新、协调、绿色、开放、共享五大理念作为发展的思想灵魂。五大理念和市情实际紧密结合，走出发展新路径，开辟发展新境界。用五大理念开展新一轮思想解放，打破旧的思维定式和行为习惯，破解新常态下我市发展的瓶颈制约，促进转方式、调结构，推动提质增效，实现科学发展。</w:t>
      </w:r>
    </w:p>
    <w:p>
      <w:pPr>
        <w:adjustRightInd/>
        <w:snapToGrid/>
        <w:spacing w:after="0" w:line="620" w:lineRule="exact"/>
        <w:ind w:firstLine="643" w:firstLineChars="200"/>
        <w:jc w:val="both"/>
        <w:rPr>
          <w:rFonts w:ascii="仿宋_GB2312" w:eastAsia="仿宋_GB2312"/>
          <w:sz w:val="32"/>
          <w:szCs w:val="32"/>
        </w:rPr>
      </w:pPr>
      <w:r>
        <w:rPr>
          <w:rFonts w:ascii="楷体_GB2312" w:eastAsia="楷体_GB2312"/>
          <w:b/>
          <w:sz w:val="32"/>
          <w:szCs w:val="32"/>
        </w:rPr>
        <w:t>——</w:t>
      </w:r>
      <w:r>
        <w:rPr>
          <w:rFonts w:hint="eastAsia" w:ascii="楷体_GB2312" w:eastAsia="楷体_GB2312"/>
          <w:b/>
          <w:sz w:val="32"/>
          <w:szCs w:val="32"/>
        </w:rPr>
        <w:t>坚持追赶超越引领发展。</w:t>
      </w:r>
      <w:r>
        <w:rPr>
          <w:rFonts w:hint="eastAsia" w:ascii="仿宋_GB2312" w:eastAsia="仿宋_GB2312"/>
          <w:sz w:val="32"/>
          <w:szCs w:val="32"/>
        </w:rPr>
        <w:t>把追赶超越作为发展的总基调。紧盯关天副中心城市建设，继续做大总量做优质量，加快构建开放型经济体系，积极融入“一带一路”发展大局，超越自身弥补短板，超越常态发挥优势，追赶省内国内同级城市发展水平，追赶东部发达地区发展步伐。</w:t>
      </w:r>
    </w:p>
    <w:p>
      <w:pPr>
        <w:adjustRightInd/>
        <w:snapToGrid/>
        <w:spacing w:after="0" w:line="620" w:lineRule="exact"/>
        <w:ind w:firstLine="643" w:firstLineChars="200"/>
        <w:jc w:val="both"/>
        <w:rPr>
          <w:rFonts w:ascii="仿宋_GB2312" w:eastAsia="仿宋_GB2312"/>
          <w:sz w:val="32"/>
          <w:szCs w:val="32"/>
        </w:rPr>
      </w:pPr>
      <w:r>
        <w:rPr>
          <w:rFonts w:ascii="楷体_GB2312" w:eastAsia="楷体_GB2312"/>
          <w:b/>
          <w:sz w:val="32"/>
          <w:szCs w:val="32"/>
        </w:rPr>
        <w:t>——</w:t>
      </w:r>
      <w:r>
        <w:rPr>
          <w:rFonts w:hint="eastAsia" w:ascii="楷体_GB2312" w:eastAsia="楷体_GB2312"/>
          <w:b/>
          <w:sz w:val="32"/>
          <w:szCs w:val="32"/>
        </w:rPr>
        <w:t>坚持四化同步加快发展。</w:t>
      </w:r>
      <w:r>
        <w:rPr>
          <w:rFonts w:hint="eastAsia" w:ascii="仿宋_GB2312" w:eastAsia="仿宋_GB2312"/>
          <w:sz w:val="32"/>
          <w:szCs w:val="32"/>
        </w:rPr>
        <w:t>把四化同步作为发展的强大动力。推动信息化与工业化深度融合、军民深度融合、三次产业深度融合。推动工业化与城镇化良性互动，用产业支撑新城镇，通过新城镇促产业发展。推动城镇化与农业现代化相互协调，稳妥解决好“三农”问题，促进工业化、信息化、城镇化、农业现代化同步发展，培育新业态、新产业、新动能，形成释放强大发展动力。</w:t>
      </w:r>
    </w:p>
    <w:p>
      <w:pPr>
        <w:adjustRightInd/>
        <w:snapToGrid/>
        <w:spacing w:after="0" w:line="620" w:lineRule="exact"/>
        <w:ind w:firstLine="643" w:firstLineChars="200"/>
        <w:jc w:val="both"/>
        <w:rPr>
          <w:rFonts w:ascii="仿宋_GB2312" w:eastAsia="仿宋_GB2312"/>
          <w:sz w:val="32"/>
          <w:szCs w:val="32"/>
        </w:rPr>
      </w:pPr>
      <w:r>
        <w:rPr>
          <w:rFonts w:ascii="楷体_GB2312" w:eastAsia="楷体_GB2312"/>
          <w:b/>
          <w:sz w:val="32"/>
          <w:szCs w:val="32"/>
        </w:rPr>
        <w:t>——</w:t>
      </w:r>
      <w:r>
        <w:rPr>
          <w:rFonts w:hint="eastAsia" w:ascii="楷体_GB2312" w:eastAsia="楷体_GB2312"/>
          <w:b/>
          <w:sz w:val="32"/>
          <w:szCs w:val="32"/>
        </w:rPr>
        <w:t>坚持群众满意共享发展。</w:t>
      </w:r>
      <w:r>
        <w:rPr>
          <w:rFonts w:hint="eastAsia" w:ascii="仿宋_GB2312" w:eastAsia="仿宋_GB2312"/>
          <w:sz w:val="32"/>
          <w:szCs w:val="32"/>
        </w:rPr>
        <w:t>把群众满意作为发展的主线之一。坚持包容性发展、实施普惠民生，推进公共服务均等化，在加快发展的同时将更多的发展成果惠及于民。实现管理型政府向服务型政府转型，营造公平社会环境，完善政府工作机制，引导群众更多参与到发展决策、监督中来。提升广大群众发展的参与感、生活的富足感、环境的舒适感。</w:t>
      </w:r>
    </w:p>
    <w:p>
      <w:pPr>
        <w:spacing w:after="0" w:line="620" w:lineRule="exact"/>
        <w:jc w:val="center"/>
        <w:rPr>
          <w:rFonts w:hint="eastAsia" w:ascii="楷体_GB2312" w:eastAsia="楷体_GB2312"/>
          <w:b/>
          <w:sz w:val="32"/>
          <w:szCs w:val="32"/>
        </w:rPr>
      </w:pPr>
    </w:p>
    <w:p>
      <w:pPr>
        <w:spacing w:after="0" w:line="620" w:lineRule="exact"/>
        <w:jc w:val="center"/>
        <w:rPr>
          <w:rFonts w:hint="eastAsia" w:ascii="楷体_GB2312" w:eastAsia="楷体_GB2312"/>
          <w:b/>
          <w:sz w:val="32"/>
          <w:szCs w:val="32"/>
        </w:rPr>
      </w:pPr>
      <w:r>
        <w:rPr>
          <w:rFonts w:hint="eastAsia" w:ascii="楷体_GB2312" w:eastAsia="楷体_GB2312"/>
          <w:b/>
          <w:sz w:val="32"/>
          <w:szCs w:val="32"/>
        </w:rPr>
        <w:t>第三节  奋斗目标</w:t>
      </w:r>
    </w:p>
    <w:p>
      <w:pPr>
        <w:adjustRightInd/>
        <w:snapToGrid/>
        <w:spacing w:after="0" w:line="620" w:lineRule="exact"/>
        <w:ind w:firstLine="643" w:firstLineChars="200"/>
        <w:jc w:val="both"/>
        <w:rPr>
          <w:rFonts w:hint="eastAsia" w:ascii="楷体_GB2312" w:hAnsi="宋体" w:eastAsia="楷体_GB2312" w:cs="宋体"/>
          <w:b/>
          <w:sz w:val="32"/>
          <w:szCs w:val="32"/>
        </w:rPr>
      </w:pPr>
      <w:r>
        <w:rPr>
          <w:rFonts w:hint="eastAsia" w:ascii="楷体_GB2312" w:hAnsi="宋体" w:eastAsia="楷体_GB2312" w:cs="宋体"/>
          <w:b/>
          <w:sz w:val="32"/>
          <w:szCs w:val="32"/>
        </w:rPr>
        <w:t>紧紧围绕打造关天副中心、建设最具幸福感城市的总体目标，到2020年，努力把我市建设成为西部生态最美的工业强市、彰显华夏文明的文化名城、人民生活富足安康的幸福家园。</w:t>
      </w:r>
    </w:p>
    <w:p>
      <w:pPr>
        <w:spacing w:after="0" w:line="620" w:lineRule="exact"/>
        <w:ind w:firstLine="643" w:firstLineChars="200"/>
        <w:jc w:val="both"/>
        <w:rPr>
          <w:rFonts w:hint="eastAsia" w:ascii="仿宋_GB2312" w:eastAsia="仿宋_GB2312"/>
          <w:b/>
          <w:sz w:val="32"/>
          <w:szCs w:val="32"/>
        </w:rPr>
      </w:pPr>
      <w:r>
        <w:rPr>
          <w:rFonts w:hint="eastAsia" w:ascii="楷体_GB2312" w:hAnsi="宋体" w:eastAsia="楷体_GB2312" w:cs="宋体"/>
          <w:b/>
          <w:sz w:val="32"/>
          <w:szCs w:val="32"/>
        </w:rPr>
        <w:t>打造关天副中心、建设最具幸福感城市，关键是实现“四个同步提升”：</w:t>
      </w:r>
      <w:r>
        <w:rPr>
          <w:rFonts w:hint="eastAsia" w:ascii="仿宋_GB2312" w:eastAsia="仿宋_GB2312"/>
          <w:sz w:val="32"/>
          <w:szCs w:val="32"/>
        </w:rPr>
        <w:t>即把发展作为第一要务，追赶全国、超越全省，丝绸之路经济带战略新枢纽和“一中心四基地”建设取得突破性进展，创新驱动、开放带动能力显著增强，城乡居民人均可支配收入与同期经济增速保持</w:t>
      </w:r>
      <w:r>
        <w:rPr>
          <w:rFonts w:ascii="仿宋_GB2312" w:eastAsia="仿宋_GB2312"/>
          <w:sz w:val="32"/>
          <w:szCs w:val="32"/>
        </w:rPr>
        <w:t>一致</w:t>
      </w:r>
      <w:r>
        <w:rPr>
          <w:rFonts w:hint="eastAsia" w:ascii="仿宋_GB2312" w:eastAsia="仿宋_GB2312"/>
          <w:sz w:val="32"/>
          <w:szCs w:val="32"/>
        </w:rPr>
        <w:t>，</w:t>
      </w:r>
      <w:r>
        <w:rPr>
          <w:rFonts w:hint="eastAsia" w:ascii="仿宋_GB2312" w:eastAsia="仿宋_GB2312"/>
          <w:b/>
          <w:sz w:val="32"/>
          <w:szCs w:val="32"/>
        </w:rPr>
        <w:t>实现经济发展与居民收入同步提升，增强群众富足感；</w:t>
      </w:r>
      <w:r>
        <w:rPr>
          <w:rFonts w:hint="eastAsia" w:ascii="仿宋_GB2312" w:eastAsia="仿宋_GB2312"/>
          <w:sz w:val="32"/>
          <w:szCs w:val="32"/>
        </w:rPr>
        <w:t>空气质量全省领先，让绿色尽染陈仓，让宝鸡天更蓝、水更清，成功创建国家生态文明建设示范市，形成城乡、区域协调发展新格局，</w:t>
      </w:r>
      <w:r>
        <w:rPr>
          <w:rFonts w:hint="eastAsia" w:ascii="仿宋_GB2312" w:eastAsia="仿宋_GB2312"/>
          <w:b/>
          <w:sz w:val="32"/>
          <w:szCs w:val="32"/>
        </w:rPr>
        <w:t>实现生态环境与城乡建设同步提升，增强群众舒适感</w:t>
      </w:r>
      <w:r>
        <w:rPr>
          <w:rFonts w:hint="eastAsia" w:ascii="仿宋_GB2312" w:eastAsia="仿宋_GB2312"/>
          <w:sz w:val="32"/>
          <w:szCs w:val="32"/>
        </w:rPr>
        <w:t>；社会治理体系和治理能力初步实现现代化，立体化社会治安防控体系加快建设，打造全省最安全城市，</w:t>
      </w:r>
      <w:r>
        <w:rPr>
          <w:rFonts w:hint="eastAsia" w:ascii="仿宋_GB2312" w:eastAsia="仿宋_GB2312"/>
          <w:b/>
          <w:sz w:val="32"/>
          <w:szCs w:val="32"/>
        </w:rPr>
        <w:t>实现民主法治与社会治理同步提升，增强群众安全感；</w:t>
      </w:r>
      <w:r>
        <w:rPr>
          <w:rFonts w:hint="eastAsia" w:ascii="仿宋_GB2312" w:eastAsia="仿宋_GB2312"/>
          <w:sz w:val="32"/>
          <w:szCs w:val="32"/>
        </w:rPr>
        <w:t>率先在全省完成脱贫攻坚任务，社会保障、社会事业主要指标超过全国同期水平，社会主义核心价值观和宝鸡城市精神更加深入人心，</w:t>
      </w:r>
      <w:r>
        <w:rPr>
          <w:rFonts w:hint="eastAsia" w:ascii="仿宋_GB2312" w:eastAsia="仿宋_GB2312"/>
          <w:b/>
          <w:sz w:val="32"/>
          <w:szCs w:val="32"/>
        </w:rPr>
        <w:t>实现民生事业与文化建设同步提升，增强群众自豪感。</w:t>
      </w:r>
    </w:p>
    <w:p>
      <w:pPr>
        <w:spacing w:after="0" w:line="620" w:lineRule="exact"/>
        <w:ind w:firstLine="643" w:firstLineChars="200"/>
        <w:jc w:val="both"/>
        <w:rPr>
          <w:rFonts w:hint="eastAsia" w:ascii="楷体_GB2312" w:hAnsi="宋体" w:eastAsia="楷体_GB2312" w:cs="宋体"/>
          <w:b/>
          <w:sz w:val="32"/>
          <w:szCs w:val="32"/>
        </w:rPr>
      </w:pPr>
      <w:r>
        <w:rPr>
          <w:rFonts w:hint="eastAsia" w:ascii="楷体_GB2312" w:hAnsi="宋体" w:eastAsia="楷体_GB2312" w:cs="宋体"/>
          <w:b/>
          <w:sz w:val="32"/>
          <w:szCs w:val="32"/>
        </w:rPr>
        <w:t>打造关天副中心、建设最具幸福感城市，核心是实现“三大目标”：即建成西部工业强市、华夏文化名城、人民幸福家园。</w:t>
      </w:r>
    </w:p>
    <w:p>
      <w:pPr>
        <w:spacing w:after="0" w:line="620" w:lineRule="exact"/>
        <w:ind w:firstLine="643" w:firstLineChars="200"/>
        <w:jc w:val="both"/>
        <w:rPr>
          <w:rFonts w:ascii="仿宋_GB2312" w:eastAsia="仿宋_GB2312"/>
          <w:sz w:val="32"/>
          <w:szCs w:val="32"/>
        </w:rPr>
      </w:pPr>
      <w:r>
        <w:rPr>
          <w:rFonts w:hint="eastAsia" w:ascii="楷体_GB2312" w:eastAsia="楷体_GB2312"/>
          <w:b/>
          <w:sz w:val="32"/>
          <w:szCs w:val="32"/>
        </w:rPr>
        <w:t>——西部工业强市:</w:t>
      </w:r>
      <w:r>
        <w:rPr>
          <w:rFonts w:hint="eastAsia" w:ascii="仿宋_GB2312" w:eastAsia="仿宋_GB2312"/>
          <w:sz w:val="32"/>
          <w:szCs w:val="32"/>
        </w:rPr>
        <w:t>经济平稳快速增长，地区生产总值年均增长</w:t>
      </w:r>
      <w:r>
        <w:rPr>
          <w:rFonts w:ascii="仿宋_GB2312" w:eastAsia="仿宋_GB2312"/>
          <w:sz w:val="32"/>
          <w:szCs w:val="32"/>
        </w:rPr>
        <w:t>10%</w:t>
      </w:r>
      <w:r>
        <w:rPr>
          <w:rFonts w:hint="eastAsia" w:ascii="仿宋_GB2312" w:eastAsia="仿宋_GB2312"/>
          <w:sz w:val="32"/>
          <w:szCs w:val="32"/>
        </w:rPr>
        <w:t>左右，人均地区生产总值超过</w:t>
      </w:r>
      <w:r>
        <w:rPr>
          <w:rFonts w:ascii="仿宋_GB2312" w:eastAsia="仿宋_GB2312"/>
          <w:sz w:val="32"/>
          <w:szCs w:val="32"/>
        </w:rPr>
        <w:t>1</w:t>
      </w:r>
      <w:r>
        <w:rPr>
          <w:rFonts w:hint="eastAsia" w:ascii="仿宋_GB2312" w:eastAsia="仿宋_GB2312"/>
          <w:sz w:val="32"/>
          <w:szCs w:val="32"/>
        </w:rPr>
        <w:t>万美元，努力达到全国平均水平；提升宝鸡工业优势，规模以上工业增加值年均增长</w:t>
      </w:r>
      <w:r>
        <w:rPr>
          <w:rFonts w:ascii="仿宋_GB2312" w:eastAsia="仿宋_GB2312"/>
          <w:sz w:val="32"/>
          <w:szCs w:val="32"/>
        </w:rPr>
        <w:t>12%</w:t>
      </w:r>
      <w:r>
        <w:rPr>
          <w:rFonts w:hint="eastAsia" w:ascii="仿宋_GB2312" w:eastAsia="仿宋_GB2312"/>
          <w:sz w:val="32"/>
          <w:szCs w:val="32"/>
        </w:rPr>
        <w:t>左右，总量达到1400亿元以上；单位生产总值能耗下降</w:t>
      </w:r>
      <w:r>
        <w:rPr>
          <w:rFonts w:ascii="仿宋_GB2312" w:eastAsia="仿宋_GB2312"/>
          <w:sz w:val="32"/>
          <w:szCs w:val="32"/>
        </w:rPr>
        <w:t>16%</w:t>
      </w:r>
      <w:r>
        <w:rPr>
          <w:rFonts w:hint="eastAsia" w:ascii="仿宋_GB2312" w:eastAsia="仿宋_GB2312"/>
          <w:sz w:val="32"/>
          <w:szCs w:val="32"/>
        </w:rPr>
        <w:t>，主要污染物排放总量、单位工业增加值用水量显著减少；战略性新兴产业增加值占生产总</w:t>
      </w:r>
      <w:r>
        <w:rPr>
          <w:rFonts w:hint="eastAsia" w:ascii="仿宋_GB2312" w:eastAsia="仿宋_GB2312"/>
          <w:color w:val="000000"/>
          <w:sz w:val="32"/>
          <w:szCs w:val="32"/>
        </w:rPr>
        <w:t>值比重达到</w:t>
      </w:r>
      <w:r>
        <w:rPr>
          <w:rFonts w:ascii="仿宋_GB2312" w:eastAsia="仿宋_GB2312"/>
          <w:color w:val="000000"/>
          <w:sz w:val="32"/>
          <w:szCs w:val="32"/>
        </w:rPr>
        <w:t>15%</w:t>
      </w:r>
      <w:r>
        <w:rPr>
          <w:rFonts w:hint="eastAsia" w:ascii="仿宋_GB2312" w:eastAsia="仿宋_GB2312"/>
          <w:color w:val="000000"/>
          <w:sz w:val="32"/>
          <w:szCs w:val="32"/>
        </w:rPr>
        <w:t>，研发经费投入强度达到</w:t>
      </w:r>
      <w:r>
        <w:rPr>
          <w:rFonts w:ascii="仿宋_GB2312" w:eastAsia="仿宋_GB2312"/>
          <w:color w:val="000000"/>
          <w:sz w:val="32"/>
          <w:szCs w:val="32"/>
        </w:rPr>
        <w:t>3.5%</w:t>
      </w:r>
      <w:r>
        <w:rPr>
          <w:rFonts w:hint="eastAsia" w:ascii="仿宋_GB2312" w:eastAsia="仿宋_GB2312"/>
          <w:color w:val="000000"/>
          <w:sz w:val="32"/>
          <w:szCs w:val="32"/>
        </w:rPr>
        <w:t>，科技进步贡献率、互联网普及率、信息化指数进一步提高。初步形成以创新驱动、绿</w:t>
      </w:r>
      <w:r>
        <w:rPr>
          <w:rFonts w:hint="eastAsia" w:ascii="仿宋_GB2312" w:eastAsia="仿宋_GB2312"/>
          <w:sz w:val="32"/>
          <w:szCs w:val="32"/>
        </w:rPr>
        <w:t>色低碳为特征的产业发展模式，宝鸡制造优势显著增强，生态文明制度基本建立，在西部率先建成生态型工业强市。</w:t>
      </w:r>
    </w:p>
    <w:p>
      <w:pPr>
        <w:spacing w:after="0" w:line="620" w:lineRule="exact"/>
        <w:ind w:firstLine="643" w:firstLineChars="200"/>
        <w:jc w:val="both"/>
        <w:rPr>
          <w:rFonts w:ascii="仿宋_GB2312" w:eastAsia="仿宋_GB2312"/>
          <w:sz w:val="32"/>
          <w:szCs w:val="32"/>
        </w:rPr>
      </w:pPr>
      <w:r>
        <w:rPr>
          <w:rFonts w:hint="eastAsia" w:ascii="楷体_GB2312" w:eastAsia="楷体_GB2312"/>
          <w:b/>
          <w:sz w:val="32"/>
          <w:szCs w:val="32"/>
        </w:rPr>
        <w:t>——华夏文化名城：</w:t>
      </w:r>
      <w:r>
        <w:rPr>
          <w:rFonts w:hint="eastAsia" w:ascii="仿宋_GB2312" w:eastAsia="仿宋_GB2312"/>
          <w:sz w:val="32"/>
          <w:szCs w:val="32"/>
        </w:rPr>
        <w:t>“文化宝鸡”的影响力进一步提升，炎帝故里、周秦文化示范区、东方佛都、秦岭中央国家公园等一批文化旅游品牌实力更加彰显，文化产业成为经济增长的新支点，文化产业增加值占比达到</w:t>
      </w:r>
      <w:r>
        <w:rPr>
          <w:rFonts w:ascii="仿宋_GB2312" w:eastAsia="仿宋_GB2312"/>
          <w:sz w:val="32"/>
          <w:szCs w:val="32"/>
        </w:rPr>
        <w:t>7%</w:t>
      </w:r>
      <w:r>
        <w:rPr>
          <w:rFonts w:hint="eastAsia" w:ascii="仿宋_GB2312" w:eastAsia="仿宋_GB2312"/>
          <w:sz w:val="32"/>
          <w:szCs w:val="32"/>
        </w:rPr>
        <w:t>，服务业增加值年均增长</w:t>
      </w:r>
      <w:r>
        <w:rPr>
          <w:rFonts w:ascii="仿宋_GB2312" w:eastAsia="仿宋_GB2312"/>
          <w:sz w:val="32"/>
          <w:szCs w:val="32"/>
        </w:rPr>
        <w:t>10%</w:t>
      </w:r>
      <w:r>
        <w:rPr>
          <w:rFonts w:hint="eastAsia" w:ascii="仿宋_GB2312" w:eastAsia="仿宋_GB2312"/>
          <w:sz w:val="32"/>
          <w:szCs w:val="32"/>
        </w:rPr>
        <w:t>以上，打造一批周秦文化与时代精神有机结合、科技与创意深度融合、在全国有影响有市场的文化品牌，覆盖城乡的现代公共文化服务体系基本形成，全市文明素质和文明程度持续提高，文化软实力走在西部前列。</w:t>
      </w:r>
    </w:p>
    <w:p>
      <w:pPr>
        <w:spacing w:after="0" w:line="620" w:lineRule="exact"/>
        <w:ind w:firstLine="643" w:firstLineChars="200"/>
        <w:jc w:val="both"/>
        <w:rPr>
          <w:rFonts w:ascii="仿宋_GB2312" w:eastAsia="仿宋_GB2312"/>
          <w:sz w:val="32"/>
          <w:szCs w:val="32"/>
        </w:rPr>
      </w:pPr>
      <w:r>
        <w:rPr>
          <w:rFonts w:hint="eastAsia" w:ascii="楷体_GB2312" w:eastAsia="楷体_GB2312"/>
          <w:b/>
          <w:sz w:val="32"/>
          <w:szCs w:val="32"/>
        </w:rPr>
        <w:t>——人民幸福家园：</w:t>
      </w:r>
      <w:r>
        <w:rPr>
          <w:rFonts w:hint="eastAsia" w:ascii="仿宋_GB2312" w:eastAsia="仿宋_GB2312"/>
          <w:spacing w:val="-6"/>
          <w:sz w:val="32"/>
          <w:szCs w:val="32"/>
        </w:rPr>
        <w:t>居民人均可支配收入年均增长</w:t>
      </w:r>
      <w:r>
        <w:rPr>
          <w:rFonts w:hint="eastAsia" w:ascii="仿宋_GB2312" w:eastAsia="仿宋_GB2312"/>
          <w:sz w:val="32"/>
          <w:szCs w:val="32"/>
        </w:rPr>
        <w:t>10%左右，努力达到全省平均水平，城乡居民收入比逐年缩小，全员劳动生产率达到 12.9 万元/人；城市承载能力和硬件水平显著提升，城乡基本公共服务水平不断提高，社会保障水平保持西部领先，常住</w:t>
      </w:r>
      <w:r>
        <w:rPr>
          <w:rFonts w:ascii="仿宋_GB2312" w:eastAsia="仿宋_GB2312"/>
          <w:sz w:val="32"/>
          <w:szCs w:val="32"/>
        </w:rPr>
        <w:t>人口</w:t>
      </w:r>
      <w:r>
        <w:rPr>
          <w:rFonts w:hint="eastAsia" w:ascii="仿宋_GB2312" w:eastAsia="仿宋_GB2312"/>
          <w:sz w:val="32"/>
          <w:szCs w:val="32"/>
        </w:rPr>
        <w:t>城镇化率和</w:t>
      </w:r>
      <w:r>
        <w:rPr>
          <w:rFonts w:ascii="仿宋_GB2312" w:eastAsia="仿宋_GB2312"/>
          <w:sz w:val="32"/>
          <w:szCs w:val="32"/>
        </w:rPr>
        <w:t>户籍人口城镇化率分别</w:t>
      </w:r>
      <w:r>
        <w:rPr>
          <w:rFonts w:hint="eastAsia" w:ascii="仿宋_GB2312" w:eastAsia="仿宋_GB2312"/>
          <w:sz w:val="32"/>
          <w:szCs w:val="32"/>
        </w:rPr>
        <w:t>达到</w:t>
      </w:r>
      <w:r>
        <w:rPr>
          <w:rFonts w:ascii="仿宋_GB2312" w:eastAsia="仿宋_GB2312"/>
          <w:sz w:val="32"/>
          <w:szCs w:val="32"/>
        </w:rPr>
        <w:t>60%</w:t>
      </w:r>
      <w:r>
        <w:rPr>
          <w:rFonts w:hint="eastAsia" w:ascii="仿宋_GB2312" w:eastAsia="仿宋_GB2312"/>
          <w:sz w:val="32"/>
          <w:szCs w:val="32"/>
        </w:rPr>
        <w:t>和40</w:t>
      </w:r>
      <w:r>
        <w:rPr>
          <w:rFonts w:ascii="仿宋_GB2312" w:eastAsia="仿宋_GB2312"/>
          <w:sz w:val="32"/>
          <w:szCs w:val="32"/>
        </w:rPr>
        <w:t>%</w:t>
      </w:r>
      <w:r>
        <w:rPr>
          <w:rFonts w:hint="eastAsia" w:ascii="仿宋_GB2312" w:eastAsia="仿宋_GB2312"/>
          <w:sz w:val="32"/>
          <w:szCs w:val="32"/>
        </w:rPr>
        <w:t>；政府公信力和行政效率进一步提升，民主法治更加健全，社会更加公平正义；现行标准下农村贫困人口全部脱贫，贫困县全部摘帽，与全国同步全面建成小康社会，成为更加开放包容、文明和谐、活力创新、宜居宜业、富足安康的幸福家园。</w:t>
      </w:r>
    </w:p>
    <w:p>
      <w:pPr>
        <w:spacing w:after="0" w:line="620" w:lineRule="exact"/>
        <w:ind w:firstLine="643" w:firstLineChars="200"/>
        <w:jc w:val="both"/>
        <w:rPr>
          <w:rFonts w:hint="eastAsia" w:ascii="楷体_GB2312" w:eastAsia="楷体_GB2312"/>
          <w:b/>
          <w:sz w:val="32"/>
          <w:szCs w:val="32"/>
        </w:rPr>
      </w:pPr>
      <w:r>
        <w:rPr>
          <w:rFonts w:hint="eastAsia" w:ascii="楷体_GB2312" w:eastAsia="楷体_GB2312"/>
          <w:b/>
          <w:sz w:val="32"/>
          <w:szCs w:val="32"/>
        </w:rPr>
        <w:t>到</w:t>
      </w:r>
      <w:r>
        <w:rPr>
          <w:rFonts w:ascii="楷体_GB2312" w:eastAsia="楷体_GB2312"/>
          <w:b/>
          <w:sz w:val="32"/>
          <w:szCs w:val="32"/>
        </w:rPr>
        <w:t>2030</w:t>
      </w:r>
      <w:r>
        <w:rPr>
          <w:rFonts w:hint="eastAsia" w:ascii="楷体_GB2312" w:eastAsia="楷体_GB2312"/>
          <w:b/>
          <w:sz w:val="32"/>
          <w:szCs w:val="32"/>
        </w:rPr>
        <w:t>年，宝鸡与全省同步迈入高收入地区行列，进入工业化、城镇化后期阶段，开放型经济新体制基本建立，创新成为经济发展的主要引擎，消费成为经济增长的主动力，经济社会发展富有活力和创造力，社会主义民主法制更加完善，人民群众生活富足安康幸福，建成西部地区区域性中心城市。</w:t>
      </w:r>
    </w:p>
    <w:p>
      <w:pPr>
        <w:spacing w:after="0" w:line="600" w:lineRule="exact"/>
        <w:jc w:val="center"/>
        <w:rPr>
          <w:rFonts w:ascii="楷体_GB2312" w:hAnsi="宋体" w:eastAsia="楷体_GB2312" w:cs="宋体"/>
          <w:b/>
          <w:sz w:val="28"/>
          <w:szCs w:val="28"/>
        </w:rPr>
      </w:pPr>
    </w:p>
    <w:p>
      <w:pPr>
        <w:spacing w:after="0" w:line="600" w:lineRule="exact"/>
        <w:jc w:val="center"/>
        <w:rPr>
          <w:rFonts w:ascii="楷体_GB2312" w:hAnsi="宋体" w:eastAsia="楷体_GB2312" w:cs="宋体"/>
          <w:b/>
          <w:sz w:val="28"/>
          <w:szCs w:val="28"/>
        </w:rPr>
      </w:pPr>
    </w:p>
    <w:p>
      <w:pPr>
        <w:spacing w:after="0" w:line="600" w:lineRule="exact"/>
        <w:jc w:val="center"/>
        <w:rPr>
          <w:rFonts w:ascii="楷体_GB2312" w:hAnsi="宋体" w:eastAsia="楷体_GB2312" w:cs="宋体"/>
          <w:b/>
          <w:sz w:val="28"/>
          <w:szCs w:val="28"/>
        </w:rPr>
      </w:pPr>
      <w:r>
        <w:rPr>
          <w:rFonts w:hint="eastAsia" w:ascii="楷体_GB2312" w:hAnsi="宋体" w:eastAsia="楷体_GB2312" w:cs="宋体"/>
          <w:b/>
          <w:sz w:val="28"/>
          <w:szCs w:val="28"/>
        </w:rPr>
        <w:t>表</w:t>
      </w:r>
      <w:r>
        <w:rPr>
          <w:rFonts w:ascii="楷体_GB2312" w:hAnsi="宋体" w:eastAsia="楷体_GB2312" w:cs="宋体"/>
          <w:b/>
          <w:sz w:val="28"/>
          <w:szCs w:val="28"/>
        </w:rPr>
        <w:t xml:space="preserve">2 </w:t>
      </w:r>
      <w:r>
        <w:rPr>
          <w:rFonts w:hint="eastAsia" w:ascii="楷体_GB2312" w:hAnsi="宋体" w:eastAsia="楷体_GB2312" w:cs="宋体"/>
          <w:b/>
          <w:sz w:val="28"/>
          <w:szCs w:val="28"/>
        </w:rPr>
        <w:t>：</w:t>
      </w:r>
      <w:r>
        <w:rPr>
          <w:rFonts w:hint="eastAsia" w:ascii="楷体_GB2312" w:hAnsi="宋体" w:eastAsia="楷体_GB2312"/>
          <w:b/>
          <w:sz w:val="28"/>
          <w:szCs w:val="28"/>
        </w:rPr>
        <w:t>“</w:t>
      </w:r>
      <w:r>
        <w:rPr>
          <w:rFonts w:hint="eastAsia" w:ascii="楷体_GB2312" w:hAnsi="宋体" w:eastAsia="楷体_GB2312" w:cs="宋体"/>
          <w:b/>
          <w:sz w:val="28"/>
          <w:szCs w:val="28"/>
        </w:rPr>
        <w:t>十三五</w:t>
      </w:r>
      <w:r>
        <w:rPr>
          <w:rFonts w:hint="eastAsia" w:ascii="楷体_GB2312" w:hAnsi="宋体" w:eastAsia="楷体_GB2312"/>
          <w:b/>
          <w:sz w:val="28"/>
          <w:szCs w:val="28"/>
        </w:rPr>
        <w:t>”</w:t>
      </w:r>
      <w:r>
        <w:rPr>
          <w:rFonts w:hint="eastAsia" w:ascii="楷体_GB2312" w:hAnsi="宋体" w:eastAsia="楷体_GB2312" w:cs="宋体"/>
          <w:b/>
          <w:sz w:val="28"/>
          <w:szCs w:val="28"/>
        </w:rPr>
        <w:t>规划主要指标</w:t>
      </w:r>
    </w:p>
    <w:tbl>
      <w:tblPr>
        <w:tblStyle w:val="6"/>
        <w:tblW w:w="4781" w:type="pct"/>
        <w:jc w:val="center"/>
        <w:tblLayout w:type="fixed"/>
        <w:tblCellMar>
          <w:top w:w="0" w:type="dxa"/>
          <w:left w:w="108" w:type="dxa"/>
          <w:bottom w:w="0" w:type="dxa"/>
          <w:right w:w="108" w:type="dxa"/>
        </w:tblCellMar>
      </w:tblPr>
      <w:tblGrid>
        <w:gridCol w:w="465"/>
        <w:gridCol w:w="1006"/>
        <w:gridCol w:w="2960"/>
        <w:gridCol w:w="1223"/>
        <w:gridCol w:w="1069"/>
        <w:gridCol w:w="917"/>
        <w:gridCol w:w="914"/>
      </w:tblGrid>
      <w:tr>
        <w:tblPrEx>
          <w:tblCellMar>
            <w:top w:w="0" w:type="dxa"/>
            <w:left w:w="108" w:type="dxa"/>
            <w:bottom w:w="0" w:type="dxa"/>
            <w:right w:w="108" w:type="dxa"/>
          </w:tblCellMar>
        </w:tblPrEx>
        <w:trPr>
          <w:wBefore w:w="0" w:type="dxa"/>
          <w:wAfter w:w="0" w:type="dxa"/>
          <w:trHeight w:val="685" w:hRule="exact"/>
          <w:jc w:val="center"/>
        </w:trPr>
        <w:tc>
          <w:tcPr>
            <w:tcW w:w="272"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黑体" w:hAnsi="黑体" w:eastAsia="黑体" w:cs="宋体"/>
                <w:bCs/>
                <w:color w:val="000000"/>
                <w:sz w:val="21"/>
                <w:szCs w:val="21"/>
              </w:rPr>
            </w:pPr>
            <w:r>
              <w:rPr>
                <w:rFonts w:hint="eastAsia" w:ascii="黑体" w:hAnsi="黑体" w:eastAsia="黑体" w:cs="宋体"/>
                <w:bCs/>
                <w:color w:val="000000"/>
                <w:sz w:val="21"/>
                <w:szCs w:val="21"/>
              </w:rPr>
              <w:t>类别</w:t>
            </w:r>
          </w:p>
        </w:tc>
        <w:tc>
          <w:tcPr>
            <w:tcW w:w="2318" w:type="pct"/>
            <w:gridSpan w:val="2"/>
            <w:tcBorders>
              <w:top w:val="single" w:color="auto" w:sz="4" w:space="0"/>
              <w:left w:val="nil"/>
              <w:bottom w:val="single" w:color="auto" w:sz="4" w:space="0"/>
              <w:right w:val="single" w:color="auto" w:sz="4" w:space="0"/>
            </w:tcBorders>
            <w:noWrap w:val="0"/>
            <w:vAlign w:val="center"/>
          </w:tcPr>
          <w:p>
            <w:pPr>
              <w:spacing w:after="0" w:line="240" w:lineRule="exact"/>
              <w:jc w:val="center"/>
              <w:rPr>
                <w:rFonts w:ascii="黑体" w:hAnsi="黑体" w:eastAsia="黑体" w:cs="宋体"/>
                <w:bCs/>
                <w:color w:val="000000"/>
                <w:sz w:val="21"/>
                <w:szCs w:val="21"/>
              </w:rPr>
            </w:pPr>
            <w:r>
              <w:rPr>
                <w:rFonts w:hint="eastAsia" w:ascii="黑体" w:hAnsi="黑体" w:eastAsia="黑体" w:cs="宋体"/>
                <w:bCs/>
                <w:color w:val="000000"/>
                <w:sz w:val="21"/>
                <w:szCs w:val="21"/>
              </w:rPr>
              <w:t>指</w:t>
            </w:r>
            <w:r>
              <w:rPr>
                <w:rFonts w:ascii="黑体" w:hAnsi="黑体" w:eastAsia="黑体"/>
                <w:bCs/>
                <w:color w:val="000000"/>
                <w:sz w:val="21"/>
                <w:szCs w:val="21"/>
              </w:rPr>
              <w:t xml:space="preserve">  </w:t>
            </w:r>
            <w:r>
              <w:rPr>
                <w:rFonts w:hint="eastAsia" w:ascii="黑体" w:hAnsi="黑体" w:eastAsia="黑体" w:cs="宋体"/>
                <w:bCs/>
                <w:color w:val="000000"/>
                <w:sz w:val="21"/>
                <w:szCs w:val="21"/>
              </w:rPr>
              <w:t>标</w:t>
            </w:r>
            <w:r>
              <w:rPr>
                <w:rFonts w:ascii="黑体" w:hAnsi="黑体" w:eastAsia="黑体"/>
                <w:bCs/>
                <w:color w:val="000000"/>
                <w:sz w:val="21"/>
                <w:szCs w:val="21"/>
              </w:rPr>
              <w:t xml:space="preserve">  </w:t>
            </w:r>
            <w:r>
              <w:rPr>
                <w:rFonts w:hint="eastAsia" w:ascii="黑体" w:hAnsi="黑体" w:eastAsia="黑体" w:cs="宋体"/>
                <w:bCs/>
                <w:color w:val="000000"/>
                <w:sz w:val="21"/>
                <w:szCs w:val="21"/>
              </w:rPr>
              <w:t>名</w:t>
            </w:r>
            <w:r>
              <w:rPr>
                <w:rFonts w:ascii="黑体" w:hAnsi="黑体" w:eastAsia="黑体"/>
                <w:bCs/>
                <w:color w:val="000000"/>
                <w:sz w:val="21"/>
                <w:szCs w:val="21"/>
              </w:rPr>
              <w:t xml:space="preserve">  </w:t>
            </w:r>
            <w:r>
              <w:rPr>
                <w:rFonts w:hint="eastAsia" w:ascii="黑体" w:hAnsi="黑体" w:eastAsia="黑体" w:cs="宋体"/>
                <w:bCs/>
                <w:color w:val="000000"/>
                <w:sz w:val="21"/>
                <w:szCs w:val="21"/>
              </w:rPr>
              <w:t>称</w:t>
            </w:r>
          </w:p>
        </w:tc>
        <w:tc>
          <w:tcPr>
            <w:tcW w:w="715" w:type="pct"/>
            <w:tcBorders>
              <w:top w:val="single" w:color="auto" w:sz="4" w:space="0"/>
              <w:left w:val="nil"/>
              <w:bottom w:val="single" w:color="auto" w:sz="4" w:space="0"/>
              <w:right w:val="single" w:color="auto" w:sz="4" w:space="0"/>
            </w:tcBorders>
            <w:noWrap w:val="0"/>
            <w:vAlign w:val="center"/>
          </w:tcPr>
          <w:p>
            <w:pPr>
              <w:spacing w:after="0" w:line="240" w:lineRule="exact"/>
              <w:jc w:val="center"/>
              <w:rPr>
                <w:rFonts w:ascii="黑体" w:hAnsi="黑体" w:eastAsia="黑体"/>
                <w:bCs/>
                <w:color w:val="000000"/>
                <w:sz w:val="21"/>
                <w:szCs w:val="21"/>
              </w:rPr>
            </w:pPr>
            <w:r>
              <w:rPr>
                <w:rFonts w:ascii="黑体" w:hAnsi="黑体" w:eastAsia="黑体"/>
                <w:bCs/>
                <w:color w:val="000000"/>
                <w:sz w:val="21"/>
                <w:szCs w:val="21"/>
              </w:rPr>
              <w:t>2015</w:t>
            </w:r>
            <w:r>
              <w:rPr>
                <w:rFonts w:hint="eastAsia" w:ascii="黑体" w:hAnsi="黑体" w:eastAsia="黑体"/>
                <w:bCs/>
                <w:color w:val="000000"/>
                <w:sz w:val="21"/>
                <w:szCs w:val="21"/>
              </w:rPr>
              <w:t>年</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黑体" w:hAnsi="黑体" w:eastAsia="黑体"/>
                <w:bCs/>
                <w:color w:val="000000"/>
                <w:sz w:val="21"/>
                <w:szCs w:val="21"/>
              </w:rPr>
            </w:pPr>
            <w:r>
              <w:rPr>
                <w:rFonts w:ascii="黑体" w:hAnsi="黑体" w:eastAsia="黑体"/>
                <w:bCs/>
                <w:color w:val="000000"/>
                <w:sz w:val="21"/>
                <w:szCs w:val="21"/>
              </w:rPr>
              <w:t>2020</w:t>
            </w:r>
            <w:r>
              <w:rPr>
                <w:rFonts w:hint="eastAsia" w:ascii="黑体" w:hAnsi="黑体" w:eastAsia="黑体"/>
                <w:bCs/>
                <w:color w:val="000000"/>
                <w:sz w:val="21"/>
                <w:szCs w:val="21"/>
              </w:rPr>
              <w:t>年</w:t>
            </w:r>
          </w:p>
        </w:tc>
        <w:tc>
          <w:tcPr>
            <w:tcW w:w="536" w:type="pct"/>
            <w:tcBorders>
              <w:top w:val="single" w:color="auto" w:sz="4" w:space="0"/>
              <w:left w:val="nil"/>
              <w:bottom w:val="single" w:color="auto" w:sz="4" w:space="0"/>
              <w:right w:val="single" w:color="auto" w:sz="4" w:space="0"/>
            </w:tcBorders>
            <w:noWrap w:val="0"/>
            <w:vAlign w:val="center"/>
          </w:tcPr>
          <w:p>
            <w:pPr>
              <w:spacing w:after="0" w:line="240" w:lineRule="exact"/>
              <w:jc w:val="center"/>
              <w:rPr>
                <w:rFonts w:ascii="黑体" w:hAnsi="黑体" w:eastAsia="黑体" w:cs="宋体"/>
                <w:bCs/>
                <w:color w:val="000000"/>
                <w:sz w:val="21"/>
                <w:szCs w:val="21"/>
              </w:rPr>
            </w:pPr>
            <w:r>
              <w:rPr>
                <w:rFonts w:hint="eastAsia" w:ascii="黑体" w:hAnsi="黑体" w:eastAsia="黑体" w:cs="宋体"/>
                <w:bCs/>
                <w:color w:val="000000"/>
                <w:sz w:val="21"/>
                <w:szCs w:val="21"/>
              </w:rPr>
              <w:t>年均增长（</w:t>
            </w:r>
            <w:r>
              <w:rPr>
                <w:rFonts w:ascii="黑体" w:hAnsi="黑体" w:eastAsia="黑体"/>
                <w:bCs/>
                <w:color w:val="000000"/>
                <w:sz w:val="21"/>
                <w:szCs w:val="21"/>
              </w:rPr>
              <w:t>%</w:t>
            </w:r>
            <w:r>
              <w:rPr>
                <w:rFonts w:hint="eastAsia" w:ascii="黑体" w:hAnsi="黑体" w:eastAsia="黑体" w:cs="宋体"/>
                <w:bCs/>
                <w:color w:val="000000"/>
                <w:sz w:val="21"/>
                <w:szCs w:val="21"/>
              </w:rPr>
              <w:t>）</w:t>
            </w:r>
          </w:p>
        </w:tc>
        <w:tc>
          <w:tcPr>
            <w:tcW w:w="534" w:type="pct"/>
            <w:tcBorders>
              <w:top w:val="single" w:color="auto" w:sz="4" w:space="0"/>
              <w:left w:val="nil"/>
              <w:bottom w:val="single" w:color="auto" w:sz="4" w:space="0"/>
              <w:right w:val="single" w:color="auto" w:sz="4" w:space="0"/>
            </w:tcBorders>
            <w:noWrap w:val="0"/>
            <w:vAlign w:val="center"/>
          </w:tcPr>
          <w:p>
            <w:pPr>
              <w:spacing w:after="0" w:line="240" w:lineRule="exact"/>
              <w:jc w:val="center"/>
              <w:rPr>
                <w:rFonts w:ascii="黑体" w:hAnsi="黑体" w:eastAsia="黑体" w:cs="宋体"/>
                <w:bCs/>
                <w:color w:val="000000"/>
                <w:sz w:val="21"/>
                <w:szCs w:val="21"/>
              </w:rPr>
            </w:pPr>
            <w:r>
              <w:rPr>
                <w:rFonts w:hint="eastAsia" w:ascii="黑体" w:hAnsi="黑体" w:eastAsia="黑体" w:cs="宋体"/>
                <w:bCs/>
                <w:color w:val="000000"/>
                <w:sz w:val="21"/>
                <w:szCs w:val="21"/>
              </w:rPr>
              <w:t>属性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restart"/>
            <w:tcBorders>
              <w:top w:val="nil"/>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b/>
                <w:color w:val="000000"/>
                <w:sz w:val="21"/>
                <w:szCs w:val="21"/>
              </w:rPr>
            </w:pPr>
            <w:r>
              <w:rPr>
                <w:rFonts w:hint="eastAsia" w:ascii="宋体" w:hAnsi="宋体" w:eastAsia="宋体" w:cs="宋体"/>
                <w:b/>
                <w:color w:val="000000"/>
                <w:sz w:val="21"/>
                <w:szCs w:val="21"/>
              </w:rPr>
              <w:t>经济发展</w:t>
            </w:r>
          </w:p>
        </w:tc>
        <w:tc>
          <w:tcPr>
            <w:tcW w:w="2318" w:type="pct"/>
            <w:gridSpan w:val="2"/>
            <w:tcBorders>
              <w:top w:val="single" w:color="auto" w:sz="4" w:space="0"/>
              <w:left w:val="nil"/>
              <w:bottom w:val="single" w:color="auto" w:sz="4" w:space="0"/>
              <w:right w:val="single" w:color="000000"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（1</w:t>
            </w:r>
            <w:r>
              <w:rPr>
                <w:rFonts w:ascii="宋体" w:hAnsi="宋体" w:eastAsia="宋体" w:cs="宋体"/>
                <w:color w:val="000000"/>
                <w:sz w:val="18"/>
                <w:szCs w:val="18"/>
              </w:rPr>
              <w:t>）</w:t>
            </w:r>
            <w:r>
              <w:rPr>
                <w:rFonts w:hint="eastAsia" w:ascii="宋体" w:hAnsi="宋体" w:eastAsia="宋体" w:cs="宋体"/>
                <w:color w:val="000000"/>
                <w:sz w:val="18"/>
                <w:szCs w:val="18"/>
              </w:rPr>
              <w:t>生产总值（亿元）</w:t>
            </w:r>
          </w:p>
        </w:tc>
        <w:tc>
          <w:tcPr>
            <w:tcW w:w="715"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1788.59</w:t>
            </w:r>
          </w:p>
        </w:tc>
        <w:tc>
          <w:tcPr>
            <w:tcW w:w="625" w:type="pct"/>
            <w:tcBorders>
              <w:top w:val="nil"/>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3000</w:t>
            </w:r>
          </w:p>
        </w:tc>
        <w:tc>
          <w:tcPr>
            <w:tcW w:w="536"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10</w:t>
            </w:r>
            <w:r>
              <w:rPr>
                <w:rFonts w:hint="eastAsia" w:ascii="宋体" w:hAnsi="宋体" w:eastAsia="宋体"/>
                <w:color w:val="000000"/>
                <w:sz w:val="18"/>
                <w:szCs w:val="18"/>
              </w:rPr>
              <w:t>左右</w:t>
            </w:r>
          </w:p>
        </w:tc>
        <w:tc>
          <w:tcPr>
            <w:tcW w:w="534"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top w:val="nil"/>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nil"/>
              <w:bottom w:val="single" w:color="auto" w:sz="4" w:space="0"/>
              <w:right w:val="single" w:color="000000"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2）</w:t>
            </w:r>
            <w:r>
              <w:rPr>
                <w:rFonts w:hint="eastAsia" w:ascii="宋体" w:hAnsi="宋体" w:eastAsia="宋体" w:cs="宋体"/>
                <w:color w:val="000000"/>
                <w:sz w:val="18"/>
                <w:szCs w:val="18"/>
              </w:rPr>
              <w:t>全社会固定资产投资（亿元）</w:t>
            </w:r>
          </w:p>
        </w:tc>
        <w:tc>
          <w:tcPr>
            <w:tcW w:w="715"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8685</w:t>
            </w:r>
            <w:r>
              <w:rPr>
                <w:rFonts w:hint="eastAsia" w:ascii="宋体" w:hAnsi="宋体" w:eastAsia="宋体" w:cs="宋体"/>
                <w:color w:val="000000"/>
                <w:sz w:val="18"/>
                <w:szCs w:val="18"/>
              </w:rPr>
              <w:t>】</w:t>
            </w:r>
          </w:p>
        </w:tc>
        <w:tc>
          <w:tcPr>
            <w:tcW w:w="625" w:type="pct"/>
            <w:tcBorders>
              <w:top w:val="nil"/>
              <w:left w:val="single" w:color="auto" w:sz="4" w:space="0"/>
              <w:bottom w:val="single" w:color="auto" w:sz="4" w:space="0"/>
              <w:right w:val="single" w:color="auto" w:sz="4" w:space="0"/>
            </w:tcBorders>
            <w:noWrap w:val="0"/>
            <w:vAlign w:val="center"/>
          </w:tcPr>
          <w:p>
            <w:pPr>
              <w:spacing w:after="0" w:line="240" w:lineRule="exact"/>
              <w:jc w:val="center"/>
              <w:rPr>
                <w:rFonts w:hint="eastAsia" w:ascii="宋体" w:hAnsi="宋体" w:eastAsia="宋体"/>
                <w:color w:val="000000"/>
                <w:sz w:val="18"/>
                <w:szCs w:val="18"/>
              </w:rPr>
            </w:pPr>
            <w:r>
              <w:rPr>
                <w:rFonts w:hint="eastAsia" w:ascii="宋体" w:hAnsi="宋体" w:eastAsia="宋体"/>
                <w:color w:val="000000"/>
                <w:sz w:val="18"/>
                <w:szCs w:val="18"/>
              </w:rPr>
              <w:t>【</w:t>
            </w:r>
            <w:r>
              <w:rPr>
                <w:rFonts w:ascii="宋体" w:hAnsi="宋体" w:eastAsia="宋体"/>
                <w:color w:val="000000"/>
                <w:sz w:val="18"/>
                <w:szCs w:val="18"/>
              </w:rPr>
              <w:t>18000</w:t>
            </w:r>
            <w:r>
              <w:rPr>
                <w:rFonts w:hint="eastAsia" w:ascii="宋体" w:hAnsi="宋体" w:eastAsia="宋体"/>
                <w:color w:val="000000"/>
                <w:sz w:val="18"/>
                <w:szCs w:val="18"/>
              </w:rPr>
              <w:t>】</w:t>
            </w:r>
          </w:p>
        </w:tc>
        <w:tc>
          <w:tcPr>
            <w:tcW w:w="536"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13</w:t>
            </w:r>
          </w:p>
        </w:tc>
        <w:tc>
          <w:tcPr>
            <w:tcW w:w="534"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top w:val="nil"/>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nil"/>
              <w:bottom w:val="single" w:color="auto" w:sz="4" w:space="0"/>
              <w:right w:val="single" w:color="000000"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3）</w:t>
            </w:r>
            <w:r>
              <w:rPr>
                <w:rFonts w:hint="eastAsia" w:ascii="宋体" w:hAnsi="宋体" w:eastAsia="宋体" w:cs="宋体"/>
                <w:color w:val="000000"/>
                <w:sz w:val="18"/>
                <w:szCs w:val="18"/>
              </w:rPr>
              <w:t>社会消费品零售总额（亿元）</w:t>
            </w:r>
          </w:p>
        </w:tc>
        <w:tc>
          <w:tcPr>
            <w:tcW w:w="715"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605.2</w:t>
            </w:r>
          </w:p>
        </w:tc>
        <w:tc>
          <w:tcPr>
            <w:tcW w:w="625" w:type="pct"/>
            <w:tcBorders>
              <w:top w:val="nil"/>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1067</w:t>
            </w:r>
          </w:p>
        </w:tc>
        <w:tc>
          <w:tcPr>
            <w:tcW w:w="536"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12</w:t>
            </w:r>
          </w:p>
        </w:tc>
        <w:tc>
          <w:tcPr>
            <w:tcW w:w="534"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top w:val="nil"/>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nil"/>
              <w:bottom w:val="single" w:color="auto" w:sz="4" w:space="0"/>
              <w:right w:val="single" w:color="000000"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4）</w:t>
            </w:r>
            <w:r>
              <w:rPr>
                <w:rFonts w:hint="eastAsia" w:ascii="宋体" w:hAnsi="宋体" w:eastAsia="宋体" w:cs="宋体"/>
                <w:color w:val="000000"/>
                <w:sz w:val="18"/>
                <w:szCs w:val="18"/>
              </w:rPr>
              <w:t>进出口贸易总额（亿元）</w:t>
            </w:r>
          </w:p>
        </w:tc>
        <w:tc>
          <w:tcPr>
            <w:tcW w:w="715"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50</w:t>
            </w:r>
          </w:p>
        </w:tc>
        <w:tc>
          <w:tcPr>
            <w:tcW w:w="625" w:type="pct"/>
            <w:tcBorders>
              <w:top w:val="nil"/>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100</w:t>
            </w:r>
          </w:p>
        </w:tc>
        <w:tc>
          <w:tcPr>
            <w:tcW w:w="536"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12以上</w:t>
            </w:r>
          </w:p>
        </w:tc>
        <w:tc>
          <w:tcPr>
            <w:tcW w:w="534"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top w:val="nil"/>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nil"/>
              <w:bottom w:val="single" w:color="auto" w:sz="4" w:space="0"/>
              <w:right w:val="single" w:color="000000"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5）</w:t>
            </w:r>
            <w:r>
              <w:rPr>
                <w:rFonts w:hint="eastAsia" w:ascii="宋体" w:hAnsi="宋体" w:eastAsia="宋体" w:cs="宋体"/>
                <w:color w:val="000000"/>
                <w:sz w:val="18"/>
                <w:szCs w:val="18"/>
              </w:rPr>
              <w:t>规模以上工业增加值（亿元）</w:t>
            </w:r>
          </w:p>
        </w:tc>
        <w:tc>
          <w:tcPr>
            <w:tcW w:w="715"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838.73</w:t>
            </w:r>
          </w:p>
        </w:tc>
        <w:tc>
          <w:tcPr>
            <w:tcW w:w="625" w:type="pct"/>
            <w:tcBorders>
              <w:top w:val="nil"/>
              <w:left w:val="single" w:color="auto" w:sz="4" w:space="0"/>
              <w:bottom w:val="single" w:color="auto" w:sz="4" w:space="0"/>
              <w:right w:val="single" w:color="auto" w:sz="4" w:space="0"/>
            </w:tcBorders>
            <w:noWrap w:val="0"/>
            <w:vAlign w:val="center"/>
          </w:tcPr>
          <w:p>
            <w:pPr>
              <w:spacing w:after="0" w:line="240" w:lineRule="exact"/>
              <w:jc w:val="center"/>
              <w:rPr>
                <w:rFonts w:hint="eastAsia" w:ascii="宋体" w:hAnsi="宋体" w:eastAsia="宋体"/>
                <w:color w:val="000000"/>
                <w:sz w:val="18"/>
                <w:szCs w:val="18"/>
              </w:rPr>
            </w:pPr>
            <w:r>
              <w:rPr>
                <w:rFonts w:ascii="宋体" w:hAnsi="宋体" w:eastAsia="宋体"/>
                <w:color w:val="000000"/>
                <w:sz w:val="18"/>
                <w:szCs w:val="18"/>
              </w:rPr>
              <w:t>1400</w:t>
            </w:r>
            <w:r>
              <w:rPr>
                <w:rFonts w:hint="eastAsia" w:ascii="宋体" w:hAnsi="宋体" w:eastAsia="宋体"/>
                <w:color w:val="000000"/>
                <w:sz w:val="18"/>
                <w:szCs w:val="18"/>
              </w:rPr>
              <w:t>以上</w:t>
            </w:r>
          </w:p>
        </w:tc>
        <w:tc>
          <w:tcPr>
            <w:tcW w:w="536"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12</w:t>
            </w:r>
            <w:r>
              <w:rPr>
                <w:rFonts w:hint="eastAsia" w:ascii="宋体" w:hAnsi="宋体" w:eastAsia="宋体"/>
                <w:color w:val="000000"/>
                <w:sz w:val="18"/>
                <w:szCs w:val="18"/>
              </w:rPr>
              <w:t>左右</w:t>
            </w:r>
          </w:p>
        </w:tc>
        <w:tc>
          <w:tcPr>
            <w:tcW w:w="534"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top w:val="nil"/>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nil"/>
              <w:bottom w:val="single" w:color="auto" w:sz="4" w:space="0"/>
              <w:right w:val="single" w:color="000000"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6）</w:t>
            </w:r>
            <w:r>
              <w:rPr>
                <w:rFonts w:hint="eastAsia" w:ascii="宋体" w:hAnsi="宋体" w:eastAsia="宋体" w:cs="宋体"/>
                <w:color w:val="000000"/>
                <w:sz w:val="18"/>
                <w:szCs w:val="18"/>
              </w:rPr>
              <w:t>地方财政收入（亿元）</w:t>
            </w:r>
          </w:p>
        </w:tc>
        <w:tc>
          <w:tcPr>
            <w:tcW w:w="715"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84.47</w:t>
            </w:r>
          </w:p>
        </w:tc>
        <w:tc>
          <w:tcPr>
            <w:tcW w:w="625" w:type="pct"/>
            <w:tcBorders>
              <w:top w:val="nil"/>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130</w:t>
            </w:r>
          </w:p>
        </w:tc>
        <w:tc>
          <w:tcPr>
            <w:tcW w:w="536" w:type="pct"/>
            <w:tcBorders>
              <w:top w:val="nil"/>
              <w:left w:val="nil"/>
              <w:bottom w:val="single" w:color="auto" w:sz="4" w:space="0"/>
              <w:right w:val="single" w:color="auto" w:sz="4" w:space="0"/>
            </w:tcBorders>
            <w:noWrap w:val="0"/>
            <w:vAlign w:val="center"/>
          </w:tcPr>
          <w:p>
            <w:pPr>
              <w:spacing w:after="0" w:line="240" w:lineRule="exact"/>
              <w:jc w:val="center"/>
              <w:rPr>
                <w:rFonts w:hint="eastAsia" w:ascii="宋体" w:hAnsi="宋体" w:eastAsia="宋体"/>
                <w:color w:val="000000"/>
                <w:sz w:val="18"/>
                <w:szCs w:val="18"/>
              </w:rPr>
            </w:pPr>
            <w:r>
              <w:rPr>
                <w:rFonts w:ascii="宋体" w:hAnsi="宋体" w:eastAsia="宋体"/>
                <w:color w:val="000000"/>
                <w:sz w:val="18"/>
                <w:szCs w:val="18"/>
              </w:rPr>
              <w:t>10</w:t>
            </w:r>
            <w:r>
              <w:rPr>
                <w:rFonts w:hint="eastAsia" w:ascii="宋体" w:hAnsi="宋体" w:eastAsia="宋体"/>
                <w:color w:val="000000"/>
                <w:sz w:val="18"/>
                <w:szCs w:val="18"/>
              </w:rPr>
              <w:t>左右</w:t>
            </w:r>
          </w:p>
        </w:tc>
        <w:tc>
          <w:tcPr>
            <w:tcW w:w="534" w:type="pct"/>
            <w:tcBorders>
              <w:top w:val="nil"/>
              <w:left w:val="nil"/>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b/>
                <w:color w:val="000000"/>
                <w:sz w:val="21"/>
                <w:szCs w:val="21"/>
              </w:rPr>
            </w:pPr>
            <w:r>
              <w:rPr>
                <w:rFonts w:hint="eastAsia" w:ascii="宋体" w:hAnsi="宋体" w:eastAsia="宋体" w:cs="宋体"/>
                <w:b/>
                <w:color w:val="000000"/>
                <w:sz w:val="21"/>
                <w:szCs w:val="21"/>
              </w:rPr>
              <w:t>创新驱动</w:t>
            </w: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7）</w:t>
            </w:r>
            <w:r>
              <w:rPr>
                <w:rFonts w:hint="eastAsia" w:ascii="宋体" w:hAnsi="宋体" w:eastAsia="宋体" w:cs="宋体"/>
                <w:color w:val="000000"/>
                <w:sz w:val="18"/>
                <w:szCs w:val="18"/>
              </w:rPr>
              <w:t>科技进步贡献率（</w:t>
            </w:r>
            <w:r>
              <w:rPr>
                <w:rFonts w:ascii="宋体" w:hAnsi="宋体" w:eastAsia="宋体" w:cs="宋体"/>
                <w:color w:val="000000"/>
                <w:sz w:val="18"/>
                <w:szCs w:val="18"/>
              </w:rPr>
              <w:t>%</w:t>
            </w:r>
            <w:r>
              <w:rPr>
                <w:rFonts w:hint="eastAsia"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58</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63</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8）</w:t>
            </w:r>
            <w:r>
              <w:rPr>
                <w:rFonts w:hint="eastAsia" w:ascii="宋体" w:hAnsi="宋体" w:eastAsia="宋体" w:cs="宋体"/>
                <w:color w:val="000000"/>
                <w:sz w:val="18"/>
                <w:szCs w:val="18"/>
              </w:rPr>
              <w:t>研发经费投入</w:t>
            </w:r>
            <w:r>
              <w:rPr>
                <w:rFonts w:ascii="宋体" w:hAnsi="宋体" w:eastAsia="宋体" w:cs="宋体"/>
                <w:color w:val="000000"/>
                <w:sz w:val="18"/>
                <w:szCs w:val="18"/>
              </w:rPr>
              <w:t>强度</w:t>
            </w:r>
            <w:r>
              <w:rPr>
                <w:rFonts w:hint="eastAsia" w:ascii="宋体" w:hAnsi="宋体" w:eastAsia="宋体" w:cs="宋体"/>
                <w:color w:val="000000"/>
                <w:sz w:val="18"/>
                <w:szCs w:val="18"/>
              </w:rPr>
              <w:t>（</w:t>
            </w:r>
            <w:r>
              <w:rPr>
                <w:rFonts w:ascii="宋体" w:hAnsi="宋体" w:eastAsia="宋体"/>
                <w:color w:val="000000"/>
                <w:sz w:val="18"/>
                <w:szCs w:val="18"/>
              </w:rPr>
              <w:t>%</w:t>
            </w:r>
            <w:r>
              <w:rPr>
                <w:rFonts w:hint="eastAsia"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2.8</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3.5</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682" w:hRule="exact"/>
          <w:jc w:val="center"/>
        </w:trPr>
        <w:tc>
          <w:tcPr>
            <w:tcW w:w="27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3"/>
                <w:szCs w:val="13"/>
              </w:rPr>
            </w:pPr>
            <w:r>
              <w:rPr>
                <w:rFonts w:hint="eastAsia" w:ascii="宋体" w:hAnsi="宋体" w:eastAsia="宋体" w:cs="宋体"/>
                <w:color w:val="000000"/>
                <w:sz w:val="18"/>
                <w:szCs w:val="18"/>
              </w:rPr>
              <w:t>（</w:t>
            </w:r>
            <w:r>
              <w:rPr>
                <w:rFonts w:ascii="宋体" w:hAnsi="宋体" w:eastAsia="宋体" w:cs="宋体"/>
                <w:color w:val="000000"/>
                <w:sz w:val="18"/>
                <w:szCs w:val="18"/>
              </w:rPr>
              <w:t>9）</w:t>
            </w:r>
            <w:r>
              <w:rPr>
                <w:rFonts w:hint="eastAsia" w:ascii="宋体" w:hAnsi="宋体" w:eastAsia="宋体" w:cs="宋体"/>
                <w:color w:val="000000"/>
                <w:sz w:val="18"/>
                <w:szCs w:val="18"/>
              </w:rPr>
              <w:t>大中型工业企业研发经费占主营业务收入比重（</w:t>
            </w:r>
            <w:r>
              <w:rPr>
                <w:rFonts w:ascii="宋体" w:hAnsi="宋体" w:eastAsia="宋体" w:cs="宋体"/>
                <w:color w:val="000000"/>
                <w:sz w:val="18"/>
                <w:szCs w:val="18"/>
              </w:rPr>
              <w:t>%</w:t>
            </w:r>
            <w:r>
              <w:rPr>
                <w:rFonts w:hint="eastAsia"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1.5</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1.8</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（1</w:t>
            </w:r>
            <w:r>
              <w:rPr>
                <w:rFonts w:ascii="宋体" w:hAnsi="宋体" w:eastAsia="宋体" w:cs="宋体"/>
                <w:color w:val="000000"/>
                <w:sz w:val="18"/>
                <w:szCs w:val="18"/>
              </w:rPr>
              <w:t>0）</w:t>
            </w:r>
            <w:r>
              <w:rPr>
                <w:rFonts w:hint="eastAsia" w:ascii="宋体" w:hAnsi="宋体" w:eastAsia="宋体" w:cs="宋体"/>
                <w:color w:val="000000"/>
                <w:sz w:val="18"/>
                <w:szCs w:val="18"/>
              </w:rPr>
              <w:t>万人发明专利拥有量（件）</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1.859</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3.7</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15</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（1</w:t>
            </w:r>
            <w:r>
              <w:rPr>
                <w:rFonts w:ascii="宋体" w:hAnsi="宋体" w:eastAsia="宋体" w:cs="宋体"/>
                <w:color w:val="000000"/>
                <w:sz w:val="18"/>
                <w:szCs w:val="18"/>
              </w:rPr>
              <w:t>1）</w:t>
            </w:r>
            <w:r>
              <w:rPr>
                <w:rFonts w:hint="eastAsia" w:ascii="宋体" w:hAnsi="宋体" w:eastAsia="宋体" w:cs="宋体"/>
                <w:color w:val="000000"/>
                <w:sz w:val="18"/>
                <w:szCs w:val="18"/>
              </w:rPr>
              <w:t>全员</w:t>
            </w:r>
            <w:r>
              <w:rPr>
                <w:rFonts w:ascii="宋体" w:hAnsi="宋体" w:eastAsia="宋体" w:cs="宋体"/>
                <w:color w:val="000000"/>
                <w:sz w:val="18"/>
                <w:szCs w:val="18"/>
              </w:rPr>
              <w:t>劳动生产率（</w:t>
            </w:r>
            <w:r>
              <w:rPr>
                <w:rFonts w:hint="eastAsia" w:ascii="宋体" w:hAnsi="宋体" w:eastAsia="宋体" w:cs="宋体"/>
                <w:color w:val="000000"/>
                <w:sz w:val="18"/>
                <w:szCs w:val="18"/>
              </w:rPr>
              <w:t>万元/人</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8.20</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12.9</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9.5</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b/>
                <w:color w:val="000000"/>
                <w:sz w:val="21"/>
                <w:szCs w:val="21"/>
              </w:rPr>
            </w:pPr>
            <w:r>
              <w:rPr>
                <w:rFonts w:hint="eastAsia" w:ascii="宋体" w:hAnsi="宋体" w:eastAsia="宋体" w:cs="宋体"/>
                <w:b/>
                <w:color w:val="000000"/>
                <w:sz w:val="21"/>
                <w:szCs w:val="21"/>
              </w:rPr>
              <w:t>结构升级</w:t>
            </w: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（1</w:t>
            </w:r>
            <w:r>
              <w:rPr>
                <w:rFonts w:ascii="宋体" w:hAnsi="宋体" w:eastAsia="宋体" w:cs="宋体"/>
                <w:color w:val="000000"/>
                <w:sz w:val="18"/>
                <w:szCs w:val="18"/>
              </w:rPr>
              <w:t>2）</w:t>
            </w:r>
            <w:r>
              <w:rPr>
                <w:rFonts w:hint="eastAsia" w:ascii="宋体" w:hAnsi="宋体" w:eastAsia="宋体" w:cs="宋体"/>
                <w:color w:val="000000"/>
                <w:sz w:val="18"/>
                <w:szCs w:val="18"/>
              </w:rPr>
              <w:t>服务业增加值占</w:t>
            </w:r>
            <w:r>
              <w:rPr>
                <w:rFonts w:hint="eastAsia" w:ascii="宋体" w:hAnsi="宋体" w:eastAsia="宋体"/>
                <w:color w:val="000000"/>
                <w:sz w:val="18"/>
                <w:szCs w:val="18"/>
              </w:rPr>
              <w:t>地区生产总值</w:t>
            </w:r>
            <w:r>
              <w:rPr>
                <w:rFonts w:hint="eastAsia" w:ascii="宋体" w:hAnsi="宋体" w:eastAsia="宋体" w:cs="宋体"/>
                <w:color w:val="000000"/>
                <w:sz w:val="18"/>
                <w:szCs w:val="18"/>
              </w:rPr>
              <w:t>比重（</w:t>
            </w:r>
            <w:r>
              <w:rPr>
                <w:rFonts w:ascii="宋体" w:hAnsi="宋体" w:eastAsia="宋体"/>
                <w:color w:val="000000"/>
                <w:sz w:val="18"/>
                <w:szCs w:val="18"/>
              </w:rPr>
              <w:t>%</w:t>
            </w:r>
            <w:r>
              <w:rPr>
                <w:rFonts w:hint="eastAsia"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26.4</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30</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10</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5"/>
                <w:szCs w:val="15"/>
              </w:rPr>
            </w:pPr>
            <w:r>
              <w:rPr>
                <w:rFonts w:hint="eastAsia" w:ascii="宋体" w:hAnsi="宋体" w:eastAsia="宋体" w:cs="宋体"/>
                <w:color w:val="000000"/>
                <w:sz w:val="15"/>
                <w:szCs w:val="15"/>
              </w:rPr>
              <w:t>（1</w:t>
            </w:r>
            <w:r>
              <w:rPr>
                <w:rFonts w:ascii="宋体" w:hAnsi="宋体" w:eastAsia="宋体" w:cs="宋体"/>
                <w:color w:val="000000"/>
                <w:sz w:val="15"/>
                <w:szCs w:val="15"/>
              </w:rPr>
              <w:t>3）</w:t>
            </w:r>
            <w:r>
              <w:rPr>
                <w:rFonts w:hint="eastAsia" w:ascii="宋体" w:hAnsi="宋体" w:eastAsia="宋体" w:cs="宋体"/>
                <w:color w:val="000000"/>
                <w:sz w:val="15"/>
                <w:szCs w:val="15"/>
              </w:rPr>
              <w:t>战略性新兴产业增加值占</w:t>
            </w:r>
            <w:r>
              <w:rPr>
                <w:rFonts w:hint="eastAsia" w:ascii="宋体" w:hAnsi="宋体" w:eastAsia="宋体"/>
                <w:color w:val="000000"/>
                <w:sz w:val="15"/>
                <w:szCs w:val="15"/>
              </w:rPr>
              <w:t>生产总值</w:t>
            </w:r>
            <w:r>
              <w:rPr>
                <w:rFonts w:hint="eastAsia" w:ascii="宋体" w:hAnsi="宋体" w:eastAsia="宋体" w:cs="宋体"/>
                <w:color w:val="000000"/>
                <w:sz w:val="15"/>
                <w:szCs w:val="15"/>
              </w:rPr>
              <w:t>比重（</w:t>
            </w:r>
            <w:r>
              <w:rPr>
                <w:rFonts w:ascii="宋体" w:hAnsi="宋体" w:eastAsia="宋体"/>
                <w:color w:val="000000"/>
                <w:sz w:val="15"/>
                <w:szCs w:val="15"/>
              </w:rPr>
              <w:t>%</w:t>
            </w:r>
            <w:r>
              <w:rPr>
                <w:rFonts w:hint="eastAsia" w:ascii="宋体" w:hAnsi="宋体" w:eastAsia="宋体" w:cs="宋体"/>
                <w:color w:val="000000"/>
                <w:sz w:val="15"/>
                <w:szCs w:val="15"/>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12.4</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15</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（1</w:t>
            </w:r>
            <w:r>
              <w:rPr>
                <w:rFonts w:ascii="宋体" w:hAnsi="宋体" w:eastAsia="宋体" w:cs="宋体"/>
                <w:color w:val="000000"/>
                <w:sz w:val="18"/>
                <w:szCs w:val="18"/>
              </w:rPr>
              <w:t>4）</w:t>
            </w:r>
            <w:r>
              <w:rPr>
                <w:rFonts w:hint="eastAsia" w:ascii="宋体" w:hAnsi="宋体" w:eastAsia="宋体" w:cs="宋体"/>
                <w:color w:val="000000"/>
                <w:sz w:val="18"/>
                <w:szCs w:val="18"/>
              </w:rPr>
              <w:t>互联网普及率（</w:t>
            </w:r>
            <w:r>
              <w:rPr>
                <w:rFonts w:ascii="宋体" w:hAnsi="宋体" w:eastAsia="宋体"/>
                <w:color w:val="000000"/>
                <w:sz w:val="18"/>
                <w:szCs w:val="18"/>
              </w:rPr>
              <w:t>%</w:t>
            </w:r>
            <w:r>
              <w:rPr>
                <w:rFonts w:hint="eastAsia"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69</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79.5</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2</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（1</w:t>
            </w:r>
            <w:r>
              <w:rPr>
                <w:rFonts w:ascii="宋体" w:hAnsi="宋体" w:eastAsia="宋体" w:cs="宋体"/>
                <w:color w:val="000000"/>
                <w:sz w:val="18"/>
                <w:szCs w:val="18"/>
              </w:rPr>
              <w:t>5）</w:t>
            </w:r>
            <w:r>
              <w:rPr>
                <w:rFonts w:hint="eastAsia" w:ascii="宋体" w:hAnsi="宋体" w:eastAsia="宋体" w:cs="宋体"/>
                <w:color w:val="000000"/>
                <w:sz w:val="18"/>
                <w:szCs w:val="18"/>
              </w:rPr>
              <w:t>城镇化率</w:t>
            </w: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常住人口城镇化率（</w:t>
            </w:r>
            <w:r>
              <w:rPr>
                <w:rFonts w:ascii="宋体" w:hAnsi="宋体" w:eastAsia="宋体"/>
                <w:color w:val="000000"/>
                <w:sz w:val="18"/>
                <w:szCs w:val="18"/>
              </w:rPr>
              <w:t>%</w:t>
            </w:r>
            <w:r>
              <w:rPr>
                <w:rFonts w:hint="eastAsia"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49</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60</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restart"/>
            <w:tcBorders>
              <w:top w:val="single" w:color="auto" w:sz="4" w:space="0"/>
              <w:left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color w:val="000000"/>
                <w:sz w:val="18"/>
                <w:szCs w:val="18"/>
              </w:rPr>
            </w:pP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户籍人口城镇化率（</w:t>
            </w:r>
            <w:r>
              <w:rPr>
                <w:rFonts w:ascii="宋体" w:hAnsi="宋体" w:eastAsia="宋体"/>
                <w:color w:val="000000"/>
                <w:sz w:val="18"/>
                <w:szCs w:val="18"/>
              </w:rPr>
              <w:t>%</w:t>
            </w:r>
            <w:r>
              <w:rPr>
                <w:rFonts w:hint="eastAsia"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29</w:t>
            </w:r>
            <w:r>
              <w:rPr>
                <w:rFonts w:ascii="宋体" w:hAnsi="宋体" w:eastAsia="宋体"/>
                <w:color w:val="000000"/>
                <w:sz w:val="18"/>
                <w:szCs w:val="18"/>
              </w:rPr>
              <w:t>.1</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40</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continue"/>
            <w:tcBorders>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（1</w:t>
            </w:r>
            <w:r>
              <w:rPr>
                <w:rFonts w:ascii="宋体" w:hAnsi="宋体" w:eastAsia="宋体" w:cs="宋体"/>
                <w:color w:val="000000"/>
                <w:sz w:val="18"/>
                <w:szCs w:val="18"/>
              </w:rPr>
              <w:t>6）</w:t>
            </w:r>
            <w:r>
              <w:rPr>
                <w:rFonts w:hint="eastAsia" w:ascii="宋体" w:hAnsi="宋体" w:eastAsia="宋体" w:cs="宋体"/>
                <w:color w:val="000000"/>
                <w:sz w:val="18"/>
                <w:szCs w:val="18"/>
              </w:rPr>
              <w:t>非公经济增加值占</w:t>
            </w:r>
            <w:r>
              <w:rPr>
                <w:rFonts w:hint="eastAsia" w:ascii="宋体" w:hAnsi="宋体" w:eastAsia="宋体"/>
                <w:color w:val="000000"/>
                <w:sz w:val="18"/>
                <w:szCs w:val="18"/>
              </w:rPr>
              <w:t>生产总值</w:t>
            </w:r>
            <w:r>
              <w:rPr>
                <w:rFonts w:hint="eastAsia" w:ascii="宋体" w:hAnsi="宋体" w:eastAsia="宋体" w:cs="宋体"/>
                <w:color w:val="000000"/>
                <w:sz w:val="18"/>
                <w:szCs w:val="18"/>
              </w:rPr>
              <w:t>比重（</w:t>
            </w:r>
            <w:r>
              <w:rPr>
                <w:rFonts w:ascii="宋体" w:hAnsi="宋体" w:eastAsia="宋体"/>
                <w:color w:val="000000"/>
                <w:sz w:val="18"/>
                <w:szCs w:val="18"/>
              </w:rPr>
              <w:t>%</w:t>
            </w:r>
            <w:r>
              <w:rPr>
                <w:rFonts w:hint="eastAsia"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50.1</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55</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restart"/>
            <w:tcBorders>
              <w:top w:val="single" w:color="auto" w:sz="4" w:space="0"/>
              <w:left w:val="single" w:color="auto" w:sz="4" w:space="0"/>
              <w:right w:val="single" w:color="auto" w:sz="4" w:space="0"/>
            </w:tcBorders>
            <w:noWrap w:val="0"/>
            <w:vAlign w:val="center"/>
          </w:tcPr>
          <w:p>
            <w:pPr>
              <w:spacing w:after="0" w:line="240" w:lineRule="exact"/>
              <w:jc w:val="center"/>
              <w:rPr>
                <w:rFonts w:ascii="宋体" w:hAnsi="宋体" w:eastAsia="宋体" w:cs="宋体"/>
                <w:b/>
                <w:color w:val="000000"/>
                <w:sz w:val="21"/>
                <w:szCs w:val="21"/>
              </w:rPr>
            </w:pPr>
            <w:r>
              <w:rPr>
                <w:rFonts w:hint="eastAsia" w:ascii="宋体" w:hAnsi="宋体" w:eastAsia="宋体" w:cs="宋体"/>
                <w:b/>
                <w:color w:val="000000"/>
                <w:sz w:val="21"/>
                <w:szCs w:val="21"/>
              </w:rPr>
              <w:t>民生</w:t>
            </w:r>
            <w:r>
              <w:rPr>
                <w:rFonts w:ascii="宋体" w:hAnsi="宋体" w:eastAsia="宋体" w:cs="宋体"/>
                <w:b/>
                <w:color w:val="000000"/>
                <w:sz w:val="21"/>
                <w:szCs w:val="21"/>
              </w:rPr>
              <w:t xml:space="preserve">           </w:t>
            </w:r>
            <w:r>
              <w:rPr>
                <w:rFonts w:hint="eastAsia" w:ascii="宋体" w:hAnsi="宋体" w:eastAsia="宋体" w:cs="宋体"/>
                <w:b/>
                <w:color w:val="000000"/>
                <w:sz w:val="21"/>
                <w:szCs w:val="21"/>
              </w:rPr>
              <w:t>福祉</w:t>
            </w:r>
          </w:p>
        </w:tc>
        <w:tc>
          <w:tcPr>
            <w:tcW w:w="588" w:type="pct"/>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（17</w:t>
            </w:r>
            <w:r>
              <w:rPr>
                <w:rFonts w:ascii="宋体" w:hAnsi="宋体" w:eastAsia="宋体" w:cs="宋体"/>
                <w:color w:val="000000"/>
                <w:sz w:val="18"/>
                <w:szCs w:val="18"/>
              </w:rPr>
              <w:t>）</w:t>
            </w:r>
            <w:r>
              <w:rPr>
                <w:rFonts w:hint="eastAsia" w:ascii="宋体" w:hAnsi="宋体" w:eastAsia="宋体" w:cs="宋体"/>
                <w:color w:val="000000"/>
                <w:sz w:val="18"/>
                <w:szCs w:val="18"/>
              </w:rPr>
              <w:t>可支配</w:t>
            </w:r>
            <w:r>
              <w:rPr>
                <w:rFonts w:ascii="宋体" w:hAnsi="宋体" w:eastAsia="宋体" w:cs="宋体"/>
                <w:color w:val="000000"/>
                <w:sz w:val="18"/>
                <w:szCs w:val="18"/>
              </w:rPr>
              <w:t>收入</w:t>
            </w: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hint="eastAsia" w:ascii="宋体" w:hAnsi="宋体" w:eastAsia="宋体" w:cs="宋体"/>
                <w:color w:val="000000"/>
                <w:sz w:val="18"/>
                <w:szCs w:val="18"/>
              </w:rPr>
            </w:pPr>
            <w:r>
              <w:rPr>
                <w:rFonts w:hint="eastAsia" w:ascii="宋体" w:hAnsi="宋体" w:eastAsia="宋体" w:cs="宋体"/>
                <w:color w:val="000000"/>
                <w:sz w:val="18"/>
                <w:szCs w:val="18"/>
              </w:rPr>
              <w:t>居民</w:t>
            </w:r>
            <w:r>
              <w:rPr>
                <w:rFonts w:ascii="宋体" w:hAnsi="宋体" w:eastAsia="宋体" w:cs="宋体"/>
                <w:color w:val="000000"/>
                <w:sz w:val="18"/>
                <w:szCs w:val="18"/>
              </w:rPr>
              <w:t>人均可支配收入（</w:t>
            </w:r>
            <w:r>
              <w:rPr>
                <w:rFonts w:hint="eastAsia" w:ascii="宋体" w:hAnsi="宋体" w:eastAsia="宋体" w:cs="宋体"/>
                <w:color w:val="000000"/>
                <w:sz w:val="18"/>
                <w:szCs w:val="18"/>
              </w:rPr>
              <w:t>元</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18446</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30000</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10左右</w:t>
            </w:r>
          </w:p>
        </w:tc>
        <w:tc>
          <w:tcPr>
            <w:tcW w:w="534" w:type="pct"/>
            <w:vMerge w:val="restart"/>
            <w:tcBorders>
              <w:top w:val="single" w:color="auto" w:sz="4" w:space="0"/>
              <w:left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top w:val="single" w:color="auto" w:sz="4" w:space="0"/>
              <w:left w:val="single" w:color="auto" w:sz="4" w:space="0"/>
              <w:right w:val="single" w:color="auto" w:sz="4" w:space="0"/>
            </w:tcBorders>
            <w:noWrap w:val="0"/>
            <w:vAlign w:val="center"/>
          </w:tcPr>
          <w:p>
            <w:pPr>
              <w:spacing w:after="0" w:line="240" w:lineRule="exact"/>
              <w:jc w:val="center"/>
              <w:rPr>
                <w:rFonts w:hint="eastAsia" w:ascii="宋体" w:hAnsi="宋体" w:eastAsia="宋体" w:cs="宋体"/>
                <w:b/>
                <w:color w:val="000000"/>
                <w:sz w:val="21"/>
                <w:szCs w:val="21"/>
              </w:rPr>
            </w:pPr>
          </w:p>
        </w:tc>
        <w:tc>
          <w:tcPr>
            <w:tcW w:w="588" w:type="pct"/>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hint="eastAsia" w:ascii="宋体" w:hAnsi="宋体" w:eastAsia="宋体" w:cs="宋体"/>
                <w:color w:val="000000"/>
                <w:sz w:val="18"/>
                <w:szCs w:val="18"/>
              </w:rPr>
            </w:pP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城镇居民</w:t>
            </w:r>
            <w:r>
              <w:rPr>
                <w:rFonts w:ascii="宋体" w:hAnsi="宋体" w:eastAsia="宋体" w:cs="宋体"/>
                <w:color w:val="000000"/>
                <w:sz w:val="18"/>
                <w:szCs w:val="18"/>
              </w:rPr>
              <w:t>可支配收入</w:t>
            </w:r>
            <w:r>
              <w:rPr>
                <w:rFonts w:hint="eastAsia" w:ascii="宋体" w:hAnsi="宋体" w:eastAsia="宋体" w:cs="宋体"/>
                <w:color w:val="000000"/>
                <w:sz w:val="18"/>
                <w:szCs w:val="18"/>
              </w:rPr>
              <w:t>（元</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29475</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47000</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10</w:t>
            </w:r>
            <w:r>
              <w:rPr>
                <w:rFonts w:hint="eastAsia" w:ascii="宋体" w:hAnsi="宋体" w:eastAsia="宋体"/>
                <w:color w:val="000000"/>
                <w:sz w:val="18"/>
                <w:szCs w:val="18"/>
              </w:rPr>
              <w:t>左右</w:t>
            </w:r>
          </w:p>
        </w:tc>
        <w:tc>
          <w:tcPr>
            <w:tcW w:w="534" w:type="pct"/>
            <w:vMerge w:val="continue"/>
            <w:tcBorders>
              <w:top w:val="single" w:color="auto" w:sz="4" w:space="0"/>
              <w:left w:val="single" w:color="auto" w:sz="4" w:space="0"/>
              <w:right w:val="single" w:color="auto" w:sz="4" w:space="0"/>
            </w:tcBorders>
            <w:noWrap w:val="0"/>
            <w:vAlign w:val="center"/>
          </w:tcPr>
          <w:p>
            <w:pPr>
              <w:spacing w:after="0" w:line="240" w:lineRule="exact"/>
              <w:jc w:val="center"/>
              <w:rPr>
                <w:rFonts w:hint="eastAsia" w:ascii="宋体" w:hAnsi="宋体" w:eastAsia="宋体" w:cs="宋体"/>
                <w:color w:val="000000"/>
                <w:sz w:val="18"/>
                <w:szCs w:val="18"/>
              </w:rPr>
            </w:pP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spacing w:after="0" w:line="240" w:lineRule="exact"/>
              <w:jc w:val="center"/>
              <w:rPr>
                <w:rFonts w:ascii="宋体" w:hAnsi="宋体" w:eastAsia="宋体" w:cs="宋体"/>
                <w:b/>
                <w:color w:val="000000"/>
                <w:sz w:val="21"/>
                <w:szCs w:val="21"/>
              </w:rPr>
            </w:pPr>
          </w:p>
        </w:tc>
        <w:tc>
          <w:tcPr>
            <w:tcW w:w="588" w:type="pct"/>
            <w:vMerge w:val="continue"/>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农村居民</w:t>
            </w:r>
            <w:r>
              <w:rPr>
                <w:rFonts w:ascii="宋体" w:hAnsi="宋体" w:eastAsia="宋体" w:cs="宋体"/>
                <w:color w:val="000000"/>
                <w:sz w:val="18"/>
                <w:szCs w:val="18"/>
              </w:rPr>
              <w:t>可支配收入</w:t>
            </w:r>
            <w:r>
              <w:rPr>
                <w:rFonts w:hint="eastAsia" w:ascii="宋体" w:hAnsi="宋体" w:eastAsia="宋体" w:cs="宋体"/>
                <w:color w:val="000000"/>
                <w:sz w:val="18"/>
                <w:szCs w:val="18"/>
              </w:rPr>
              <w:t>（元</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9511</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16000</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11</w:t>
            </w:r>
            <w:r>
              <w:rPr>
                <w:rFonts w:hint="eastAsia" w:ascii="宋体" w:hAnsi="宋体" w:eastAsia="宋体"/>
                <w:color w:val="000000"/>
                <w:sz w:val="18"/>
                <w:szCs w:val="18"/>
              </w:rPr>
              <w:t>左右</w:t>
            </w:r>
          </w:p>
        </w:tc>
        <w:tc>
          <w:tcPr>
            <w:tcW w:w="534" w:type="pct"/>
            <w:vMerge w:val="continue"/>
            <w:tcBorders>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spacing w:after="0" w:line="240" w:lineRule="exact"/>
              <w:jc w:val="center"/>
              <w:rPr>
                <w:rFonts w:ascii="宋体" w:hAnsi="宋体" w:eastAsia="宋体" w:cs="宋体"/>
                <w:b/>
                <w:color w:val="000000"/>
                <w:sz w:val="21"/>
                <w:szCs w:val="21"/>
              </w:rPr>
            </w:pP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hint="eastAsia" w:ascii="宋体" w:hAnsi="宋体" w:eastAsia="宋体" w:cs="宋体"/>
                <w:color w:val="000000"/>
                <w:sz w:val="18"/>
                <w:szCs w:val="18"/>
              </w:rPr>
            </w:pPr>
            <w:r>
              <w:rPr>
                <w:rFonts w:hint="eastAsia" w:ascii="宋体" w:hAnsi="宋体" w:eastAsia="宋体" w:cs="宋体"/>
                <w:color w:val="000000"/>
                <w:sz w:val="18"/>
                <w:szCs w:val="18"/>
              </w:rPr>
              <w:t>（18</w:t>
            </w:r>
            <w:r>
              <w:rPr>
                <w:rFonts w:ascii="宋体" w:hAnsi="宋体" w:eastAsia="宋体" w:cs="宋体"/>
                <w:color w:val="000000"/>
                <w:sz w:val="18"/>
                <w:szCs w:val="18"/>
              </w:rPr>
              <w:t>）</w:t>
            </w:r>
            <w:r>
              <w:rPr>
                <w:rFonts w:hint="eastAsia" w:ascii="宋体" w:hAnsi="宋体" w:eastAsia="宋体" w:cs="宋体"/>
                <w:color w:val="000000"/>
                <w:sz w:val="18"/>
                <w:szCs w:val="18"/>
              </w:rPr>
              <w:t>人均</w:t>
            </w:r>
            <w:r>
              <w:rPr>
                <w:rFonts w:ascii="宋体" w:hAnsi="宋体" w:eastAsia="宋体" w:cs="宋体"/>
                <w:color w:val="000000"/>
                <w:sz w:val="18"/>
                <w:szCs w:val="18"/>
              </w:rPr>
              <w:t>预期寿命</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75</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hint="eastAsia" w:ascii="宋体" w:hAnsi="宋体" w:eastAsia="宋体"/>
                <w:color w:val="000000"/>
                <w:sz w:val="18"/>
                <w:szCs w:val="18"/>
              </w:rPr>
            </w:pPr>
            <w:r>
              <w:rPr>
                <w:rFonts w:ascii="宋体" w:hAnsi="宋体" w:eastAsia="宋体"/>
                <w:color w:val="000000"/>
                <w:sz w:val="18"/>
                <w:szCs w:val="18"/>
              </w:rPr>
              <w:t>77</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hint="eastAsia" w:ascii="宋体" w:hAnsi="宋体" w:eastAsia="宋体"/>
                <w:color w:val="000000"/>
                <w:sz w:val="18"/>
                <w:szCs w:val="18"/>
              </w:rPr>
            </w:pPr>
            <w:r>
              <w:rPr>
                <w:rFonts w:ascii="宋体" w:hAnsi="宋体" w:eastAsia="宋体"/>
                <w:color w:val="000000"/>
                <w:sz w:val="18"/>
                <w:szCs w:val="18"/>
              </w:rPr>
              <w:t>-</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spacing w:after="0" w:line="240" w:lineRule="exact"/>
              <w:jc w:val="center"/>
              <w:rPr>
                <w:rFonts w:ascii="宋体" w:hAnsi="宋体" w:eastAsia="宋体" w:cs="宋体"/>
                <w:b/>
                <w:color w:val="000000"/>
                <w:sz w:val="21"/>
                <w:szCs w:val="21"/>
              </w:rPr>
            </w:pP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19）</w:t>
            </w:r>
            <w:r>
              <w:rPr>
                <w:rFonts w:hint="eastAsia" w:ascii="宋体" w:hAnsi="宋体" w:eastAsia="宋体" w:cs="宋体"/>
                <w:color w:val="000000"/>
                <w:sz w:val="18"/>
                <w:szCs w:val="18"/>
              </w:rPr>
              <w:t>城镇</w:t>
            </w:r>
            <w:r>
              <w:rPr>
                <w:rFonts w:ascii="宋体" w:hAnsi="宋体" w:eastAsia="宋体" w:cs="宋体"/>
                <w:color w:val="000000"/>
                <w:sz w:val="18"/>
                <w:szCs w:val="18"/>
              </w:rPr>
              <w:t>新增就业人数（</w:t>
            </w:r>
            <w:r>
              <w:rPr>
                <w:rFonts w:hint="eastAsia" w:ascii="宋体" w:hAnsi="宋体" w:eastAsia="宋体" w:cs="宋体"/>
                <w:color w:val="000000"/>
                <w:sz w:val="18"/>
                <w:szCs w:val="18"/>
              </w:rPr>
              <w:t>万人</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【27.5</w:t>
            </w:r>
            <w:r>
              <w:rPr>
                <w:rFonts w:ascii="宋体" w:hAnsi="宋体" w:eastAsia="宋体"/>
                <w:color w:val="000000"/>
                <w:sz w:val="18"/>
                <w:szCs w:val="18"/>
              </w:rPr>
              <w:t>】</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【28</w:t>
            </w:r>
            <w:r>
              <w:rPr>
                <w:rFonts w:ascii="宋体" w:hAnsi="宋体" w:eastAsia="宋体"/>
                <w:color w:val="000000"/>
                <w:sz w:val="18"/>
                <w:szCs w:val="18"/>
              </w:rPr>
              <w:t>】</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预期性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spacing w:after="0" w:line="240" w:lineRule="exact"/>
              <w:jc w:val="center"/>
              <w:rPr>
                <w:rFonts w:ascii="宋体" w:hAnsi="宋体" w:eastAsia="宋体" w:cs="宋体"/>
                <w:b/>
                <w:color w:val="000000"/>
                <w:sz w:val="21"/>
                <w:szCs w:val="21"/>
              </w:rPr>
            </w:pP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20）</w:t>
            </w:r>
            <w:r>
              <w:rPr>
                <w:rFonts w:hint="eastAsia" w:ascii="宋体" w:hAnsi="宋体" w:eastAsia="宋体" w:cs="宋体"/>
                <w:color w:val="000000"/>
                <w:sz w:val="18"/>
                <w:szCs w:val="18"/>
              </w:rPr>
              <w:t>城镇</w:t>
            </w:r>
            <w:r>
              <w:rPr>
                <w:rFonts w:ascii="宋体" w:hAnsi="宋体" w:eastAsia="宋体" w:cs="宋体"/>
                <w:color w:val="000000"/>
                <w:sz w:val="18"/>
                <w:szCs w:val="18"/>
              </w:rPr>
              <w:t>棚户区改造住房套数（</w:t>
            </w:r>
            <w:r>
              <w:rPr>
                <w:rFonts w:hint="eastAsia" w:ascii="宋体" w:hAnsi="宋体" w:eastAsia="宋体" w:cs="宋体"/>
                <w:color w:val="000000"/>
                <w:sz w:val="18"/>
                <w:szCs w:val="18"/>
              </w:rPr>
              <w:t>万</w:t>
            </w:r>
            <w:r>
              <w:rPr>
                <w:rFonts w:ascii="宋体" w:hAnsi="宋体" w:eastAsia="宋体" w:cs="宋体"/>
                <w:color w:val="000000"/>
                <w:sz w:val="18"/>
                <w:szCs w:val="18"/>
              </w:rPr>
              <w:t>套）</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【1.16】</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【4.3</w:t>
            </w:r>
            <w:r>
              <w:rPr>
                <w:rFonts w:ascii="宋体" w:hAnsi="宋体" w:eastAsia="宋体"/>
                <w:color w:val="000000"/>
                <w:sz w:val="18"/>
                <w:szCs w:val="18"/>
              </w:rPr>
              <w:t>0</w:t>
            </w:r>
            <w:r>
              <w:rPr>
                <w:rFonts w:hint="eastAsia" w:ascii="宋体" w:hAnsi="宋体" w:eastAsia="宋体"/>
                <w:color w:val="000000"/>
                <w:sz w:val="18"/>
                <w:szCs w:val="18"/>
              </w:rPr>
              <w:t>】</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约束性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21）</w:t>
            </w:r>
            <w:r>
              <w:rPr>
                <w:rFonts w:hint="eastAsia" w:ascii="宋体" w:hAnsi="宋体" w:eastAsia="宋体" w:cs="宋体"/>
                <w:color w:val="000000"/>
                <w:sz w:val="18"/>
                <w:szCs w:val="18"/>
              </w:rPr>
              <w:t>农村贫困</w:t>
            </w:r>
            <w:r>
              <w:rPr>
                <w:rFonts w:ascii="宋体" w:hAnsi="宋体" w:eastAsia="宋体" w:cs="宋体"/>
                <w:color w:val="000000"/>
                <w:sz w:val="18"/>
                <w:szCs w:val="18"/>
              </w:rPr>
              <w:t>人口脱贫（</w:t>
            </w:r>
            <w:r>
              <w:rPr>
                <w:rFonts w:hint="eastAsia" w:ascii="宋体" w:hAnsi="宋体" w:eastAsia="宋体" w:cs="宋体"/>
                <w:color w:val="000000"/>
                <w:sz w:val="18"/>
                <w:szCs w:val="18"/>
              </w:rPr>
              <w:t>万人</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【50.</w:t>
            </w:r>
            <w:r>
              <w:rPr>
                <w:rFonts w:ascii="宋体" w:hAnsi="宋体" w:eastAsia="宋体"/>
                <w:color w:val="000000"/>
                <w:sz w:val="18"/>
                <w:szCs w:val="18"/>
              </w:rPr>
              <w:t>6】</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【3</w:t>
            </w:r>
            <w:r>
              <w:rPr>
                <w:rFonts w:ascii="宋体" w:hAnsi="宋体" w:eastAsia="宋体"/>
                <w:color w:val="000000"/>
                <w:sz w:val="18"/>
                <w:szCs w:val="18"/>
              </w:rPr>
              <w:t>2</w:t>
            </w:r>
            <w:r>
              <w:rPr>
                <w:rFonts w:hint="eastAsia" w:ascii="宋体" w:hAnsi="宋体" w:eastAsia="宋体"/>
                <w:color w:val="000000"/>
                <w:sz w:val="18"/>
                <w:szCs w:val="18"/>
              </w:rPr>
              <w:t>.2</w:t>
            </w:r>
            <w:r>
              <w:rPr>
                <w:rFonts w:ascii="宋体" w:hAnsi="宋体" w:eastAsia="宋体"/>
                <w:color w:val="000000"/>
                <w:sz w:val="18"/>
                <w:szCs w:val="18"/>
              </w:rPr>
              <w:t>】</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约束性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22）</w:t>
            </w:r>
            <w:r>
              <w:rPr>
                <w:rFonts w:hint="eastAsia" w:ascii="宋体" w:hAnsi="宋体" w:eastAsia="宋体" w:cs="宋体"/>
                <w:color w:val="000000"/>
                <w:sz w:val="18"/>
                <w:szCs w:val="18"/>
              </w:rPr>
              <w:t>劳动</w:t>
            </w:r>
            <w:r>
              <w:rPr>
                <w:rFonts w:ascii="宋体" w:hAnsi="宋体" w:eastAsia="宋体" w:cs="宋体"/>
                <w:color w:val="000000"/>
                <w:sz w:val="18"/>
                <w:szCs w:val="18"/>
              </w:rPr>
              <w:t>年龄人口平均受教育年限</w:t>
            </w:r>
            <w:r>
              <w:rPr>
                <w:rFonts w:hint="eastAsia" w:ascii="宋体" w:hAnsi="宋体" w:eastAsia="宋体" w:cs="宋体"/>
                <w:color w:val="000000"/>
                <w:sz w:val="18"/>
                <w:szCs w:val="18"/>
              </w:rPr>
              <w:t>（年</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13</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14.5</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2.6</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约束性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restart"/>
            <w:tcBorders>
              <w:top w:val="single" w:color="auto" w:sz="4" w:space="0"/>
              <w:left w:val="single" w:color="auto" w:sz="4" w:space="0"/>
              <w:right w:val="single" w:color="auto" w:sz="4" w:space="0"/>
            </w:tcBorders>
            <w:noWrap w:val="0"/>
            <w:vAlign w:val="center"/>
          </w:tcPr>
          <w:p>
            <w:pPr>
              <w:spacing w:after="0" w:line="240" w:lineRule="exact"/>
              <w:jc w:val="both"/>
              <w:rPr>
                <w:rFonts w:ascii="黑体" w:hAnsi="黑体" w:eastAsia="黑体" w:cs="宋体"/>
                <w:bCs/>
                <w:color w:val="000000"/>
                <w:sz w:val="21"/>
                <w:szCs w:val="21"/>
              </w:rPr>
            </w:pPr>
            <w:r>
              <w:rPr>
                <w:rFonts w:hint="eastAsia" w:ascii="宋体" w:hAnsi="宋体" w:eastAsia="宋体" w:cs="宋体"/>
                <w:color w:val="000000"/>
                <w:sz w:val="18"/>
                <w:szCs w:val="18"/>
              </w:rPr>
              <w:t>（</w:t>
            </w:r>
            <w:r>
              <w:rPr>
                <w:rFonts w:ascii="宋体" w:hAnsi="宋体" w:eastAsia="宋体" w:cs="宋体"/>
                <w:color w:val="000000"/>
                <w:sz w:val="18"/>
                <w:szCs w:val="18"/>
              </w:rPr>
              <w:t>23）</w:t>
            </w:r>
            <w:r>
              <w:rPr>
                <w:rFonts w:hint="eastAsia" w:ascii="宋体" w:hAnsi="宋体" w:eastAsia="宋体" w:cs="宋体"/>
                <w:color w:val="000000"/>
                <w:sz w:val="18"/>
                <w:szCs w:val="18"/>
              </w:rPr>
              <w:t>社会</w:t>
            </w:r>
            <w:r>
              <w:rPr>
                <w:rFonts w:ascii="宋体" w:hAnsi="宋体" w:eastAsia="宋体" w:cs="宋体"/>
                <w:color w:val="000000"/>
                <w:sz w:val="18"/>
                <w:szCs w:val="18"/>
              </w:rPr>
              <w:t>保险参保人数</w:t>
            </w: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城镇</w:t>
            </w:r>
            <w:r>
              <w:rPr>
                <w:rFonts w:ascii="宋体" w:hAnsi="宋体" w:eastAsia="宋体" w:cs="宋体"/>
                <w:color w:val="000000"/>
                <w:sz w:val="18"/>
                <w:szCs w:val="18"/>
              </w:rPr>
              <w:t>职工养老保险人数（</w:t>
            </w:r>
            <w:r>
              <w:rPr>
                <w:rFonts w:hint="eastAsia" w:ascii="宋体" w:hAnsi="宋体" w:eastAsia="宋体" w:cs="宋体"/>
                <w:color w:val="000000"/>
                <w:sz w:val="18"/>
                <w:szCs w:val="18"/>
              </w:rPr>
              <w:t>万人</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bCs/>
                <w:color w:val="000000"/>
                <w:sz w:val="18"/>
                <w:szCs w:val="18"/>
              </w:rPr>
            </w:pPr>
            <w:r>
              <w:rPr>
                <w:rFonts w:hint="eastAsia" w:ascii="宋体" w:hAnsi="宋体" w:eastAsia="宋体"/>
                <w:bCs/>
                <w:color w:val="000000"/>
                <w:sz w:val="18"/>
                <w:szCs w:val="18"/>
              </w:rPr>
              <w:t>57.79</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60</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restart"/>
            <w:tcBorders>
              <w:top w:val="single" w:color="auto" w:sz="4" w:space="0"/>
              <w:left w:val="single" w:color="auto" w:sz="4" w:space="0"/>
              <w:right w:val="single" w:color="auto" w:sz="4" w:space="0"/>
            </w:tcBorders>
            <w:noWrap w:val="0"/>
            <w:vAlign w:val="center"/>
          </w:tcPr>
          <w:p>
            <w:pPr>
              <w:adjustRightInd/>
              <w:snapToGrid/>
              <w:spacing w:after="0"/>
              <w:jc w:val="center"/>
              <w:rPr>
                <w:rFonts w:ascii="宋体" w:hAnsi="宋体" w:eastAsia="宋体" w:cs="宋体"/>
                <w:color w:val="000000"/>
                <w:sz w:val="18"/>
                <w:szCs w:val="18"/>
              </w:rPr>
            </w:pPr>
            <w:r>
              <w:rPr>
                <w:rFonts w:hint="eastAsia" w:ascii="宋体" w:hAnsi="宋体" w:eastAsia="宋体" w:cs="宋体"/>
                <w:color w:val="000000"/>
                <w:sz w:val="18"/>
                <w:szCs w:val="18"/>
              </w:rPr>
              <w:t>约束性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continue"/>
            <w:tcBorders>
              <w:left w:val="single" w:color="auto" w:sz="4" w:space="0"/>
              <w:right w:val="single" w:color="auto" w:sz="4" w:space="0"/>
            </w:tcBorders>
            <w:noWrap w:val="0"/>
            <w:vAlign w:val="center"/>
          </w:tcPr>
          <w:p>
            <w:pPr>
              <w:adjustRightInd/>
              <w:snapToGrid/>
              <w:spacing w:after="0"/>
              <w:rPr>
                <w:rFonts w:ascii="黑体" w:hAnsi="黑体" w:eastAsia="黑体" w:cs="宋体"/>
                <w:bCs/>
                <w:color w:val="000000"/>
                <w:sz w:val="21"/>
                <w:szCs w:val="21"/>
              </w:rPr>
            </w:pP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城乡居民养老保险人数</w:t>
            </w:r>
            <w:r>
              <w:rPr>
                <w:rFonts w:ascii="宋体" w:hAnsi="宋体" w:eastAsia="宋体" w:cs="宋体"/>
                <w:color w:val="000000"/>
                <w:sz w:val="18"/>
                <w:szCs w:val="18"/>
              </w:rPr>
              <w:t>（</w:t>
            </w:r>
            <w:r>
              <w:rPr>
                <w:rFonts w:hint="eastAsia" w:ascii="宋体" w:hAnsi="宋体" w:eastAsia="宋体" w:cs="宋体"/>
                <w:color w:val="000000"/>
                <w:sz w:val="18"/>
                <w:szCs w:val="18"/>
              </w:rPr>
              <w:t>万人</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bCs/>
                <w:color w:val="000000"/>
                <w:sz w:val="18"/>
                <w:szCs w:val="18"/>
              </w:rPr>
            </w:pPr>
            <w:r>
              <w:rPr>
                <w:rFonts w:ascii="宋体" w:hAnsi="宋体" w:eastAsia="宋体"/>
                <w:bCs/>
                <w:color w:val="000000"/>
                <w:sz w:val="18"/>
                <w:szCs w:val="18"/>
              </w:rPr>
              <w:t>154.8</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155</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color w:val="000000"/>
                <w:sz w:val="18"/>
                <w:szCs w:val="18"/>
              </w:rPr>
            </w:pP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continue"/>
            <w:tcBorders>
              <w:left w:val="single" w:color="auto" w:sz="4" w:space="0"/>
              <w:right w:val="single" w:color="auto" w:sz="4" w:space="0"/>
            </w:tcBorders>
            <w:noWrap w:val="0"/>
            <w:vAlign w:val="center"/>
          </w:tcPr>
          <w:p>
            <w:pPr>
              <w:adjustRightInd/>
              <w:snapToGrid/>
              <w:spacing w:after="0"/>
              <w:rPr>
                <w:rFonts w:ascii="黑体" w:hAnsi="黑体" w:eastAsia="黑体" w:cs="宋体"/>
                <w:bCs/>
                <w:color w:val="000000"/>
                <w:sz w:val="21"/>
                <w:szCs w:val="21"/>
              </w:rPr>
            </w:pP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城镇基本医疗保险人数</w:t>
            </w:r>
            <w:r>
              <w:rPr>
                <w:rFonts w:ascii="宋体" w:hAnsi="宋体" w:eastAsia="宋体" w:cs="宋体"/>
                <w:color w:val="000000"/>
                <w:sz w:val="18"/>
                <w:szCs w:val="18"/>
              </w:rPr>
              <w:t>（</w:t>
            </w:r>
            <w:r>
              <w:rPr>
                <w:rFonts w:hint="eastAsia" w:ascii="宋体" w:hAnsi="宋体" w:eastAsia="宋体" w:cs="宋体"/>
                <w:color w:val="000000"/>
                <w:sz w:val="18"/>
                <w:szCs w:val="18"/>
              </w:rPr>
              <w:t>万人</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bCs/>
                <w:color w:val="000000"/>
                <w:sz w:val="18"/>
                <w:szCs w:val="18"/>
              </w:rPr>
            </w:pPr>
            <w:r>
              <w:rPr>
                <w:rFonts w:ascii="宋体" w:hAnsi="宋体" w:eastAsia="宋体"/>
                <w:bCs/>
                <w:color w:val="000000"/>
                <w:sz w:val="18"/>
                <w:szCs w:val="18"/>
              </w:rPr>
              <w:t>52.7</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98</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color w:val="000000"/>
                <w:sz w:val="18"/>
                <w:szCs w:val="18"/>
              </w:rPr>
            </w:pP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continue"/>
            <w:tcBorders>
              <w:left w:val="single" w:color="auto" w:sz="4" w:space="0"/>
              <w:bottom w:val="single" w:color="auto" w:sz="4" w:space="0"/>
              <w:right w:val="single" w:color="auto" w:sz="4" w:space="0"/>
            </w:tcBorders>
            <w:noWrap w:val="0"/>
            <w:vAlign w:val="center"/>
          </w:tcPr>
          <w:p>
            <w:pPr>
              <w:adjustRightInd/>
              <w:snapToGrid/>
              <w:spacing w:after="0"/>
              <w:rPr>
                <w:rFonts w:ascii="黑体" w:hAnsi="黑体" w:eastAsia="黑体" w:cs="宋体"/>
                <w:bCs/>
                <w:color w:val="000000"/>
                <w:sz w:val="21"/>
                <w:szCs w:val="21"/>
              </w:rPr>
            </w:pP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新型农村</w:t>
            </w:r>
            <w:r>
              <w:rPr>
                <w:rFonts w:ascii="宋体" w:hAnsi="宋体" w:eastAsia="宋体" w:cs="宋体"/>
                <w:color w:val="000000"/>
                <w:sz w:val="18"/>
                <w:szCs w:val="18"/>
              </w:rPr>
              <w:t>合作医疗参保率（</w:t>
            </w:r>
            <w:r>
              <w:rPr>
                <w:rFonts w:hint="eastAsia" w:ascii="宋体" w:hAnsi="宋体" w:eastAsia="宋体" w:cs="宋体"/>
                <w:color w:val="000000"/>
                <w:sz w:val="18"/>
                <w:szCs w:val="18"/>
              </w:rPr>
              <w:t>%</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bCs/>
                <w:color w:val="000000"/>
                <w:sz w:val="18"/>
                <w:szCs w:val="18"/>
              </w:rPr>
            </w:pPr>
            <w:r>
              <w:rPr>
                <w:rFonts w:hint="eastAsia" w:ascii="宋体" w:hAnsi="宋体" w:eastAsia="宋体"/>
                <w:bCs/>
                <w:color w:val="000000"/>
                <w:sz w:val="18"/>
                <w:szCs w:val="18"/>
              </w:rPr>
              <w:t>95</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bCs/>
                <w:color w:val="000000"/>
                <w:sz w:val="18"/>
                <w:szCs w:val="18"/>
              </w:rPr>
            </w:pPr>
            <w:r>
              <w:rPr>
                <w:rFonts w:hint="eastAsia" w:ascii="宋体" w:hAnsi="宋体" w:eastAsia="宋体"/>
                <w:bCs/>
                <w:color w:val="000000"/>
                <w:sz w:val="18"/>
                <w:szCs w:val="18"/>
              </w:rPr>
              <w:t>96</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continue"/>
            <w:tcBorders>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color w:val="000000"/>
                <w:sz w:val="18"/>
                <w:szCs w:val="18"/>
              </w:rPr>
            </w:pP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restart"/>
            <w:tcBorders>
              <w:top w:val="single" w:color="auto" w:sz="4" w:space="0"/>
              <w:left w:val="single" w:color="auto" w:sz="4" w:space="0"/>
              <w:right w:val="single" w:color="auto" w:sz="4" w:space="0"/>
            </w:tcBorders>
            <w:noWrap w:val="0"/>
            <w:vAlign w:val="center"/>
          </w:tcPr>
          <w:p>
            <w:pPr>
              <w:spacing w:after="0" w:line="240" w:lineRule="exac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资源</w:t>
            </w:r>
            <w:r>
              <w:rPr>
                <w:rFonts w:ascii="宋体" w:hAnsi="宋体" w:eastAsia="宋体" w:cs="宋体"/>
                <w:b/>
                <w:color w:val="000000"/>
                <w:sz w:val="21"/>
                <w:szCs w:val="21"/>
              </w:rPr>
              <w:t>环境</w:t>
            </w: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24）</w:t>
            </w:r>
            <w:r>
              <w:rPr>
                <w:rFonts w:hint="eastAsia" w:ascii="宋体" w:hAnsi="宋体" w:eastAsia="宋体" w:cs="宋体"/>
                <w:color w:val="000000"/>
                <w:sz w:val="18"/>
                <w:szCs w:val="18"/>
              </w:rPr>
              <w:t>单位</w:t>
            </w:r>
            <w:r>
              <w:rPr>
                <w:rFonts w:hint="eastAsia" w:ascii="宋体" w:hAnsi="宋体" w:eastAsia="宋体"/>
                <w:color w:val="000000"/>
                <w:sz w:val="18"/>
                <w:szCs w:val="18"/>
              </w:rPr>
              <w:t>生产总值</w:t>
            </w:r>
            <w:r>
              <w:rPr>
                <w:rFonts w:hint="eastAsia" w:ascii="宋体" w:hAnsi="宋体" w:eastAsia="宋体" w:cs="宋体"/>
                <w:color w:val="000000"/>
                <w:sz w:val="18"/>
                <w:szCs w:val="18"/>
              </w:rPr>
              <w:t>能耗降低（</w:t>
            </w:r>
            <w:r>
              <w:rPr>
                <w:rFonts w:ascii="宋体" w:hAnsi="宋体" w:eastAsia="宋体"/>
                <w:color w:val="000000"/>
                <w:sz w:val="18"/>
                <w:szCs w:val="18"/>
              </w:rPr>
              <w:t>%</w:t>
            </w:r>
            <w:r>
              <w:rPr>
                <w:rFonts w:hint="eastAsia"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【16.5</w:t>
            </w:r>
            <w:r>
              <w:rPr>
                <w:rFonts w:ascii="宋体" w:hAnsi="宋体" w:eastAsia="宋体" w:cs="宋体"/>
                <w:color w:val="000000"/>
                <w:sz w:val="18"/>
                <w:szCs w:val="18"/>
              </w:rPr>
              <w:t>8】</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【16】</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ascii="宋体" w:hAnsi="宋体" w:eastAsia="宋体"/>
                <w:color w:val="000000"/>
                <w:sz w:val="18"/>
                <w:szCs w:val="18"/>
              </w:rPr>
              <w:t>-</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约束性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25）</w:t>
            </w:r>
            <w:r>
              <w:rPr>
                <w:rFonts w:hint="eastAsia" w:ascii="宋体" w:hAnsi="宋体" w:eastAsia="宋体" w:cs="宋体"/>
                <w:color w:val="000000"/>
                <w:sz w:val="18"/>
                <w:szCs w:val="18"/>
              </w:rPr>
              <w:t>单位生产总值二氧化碳排放强度降低（%</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【19】</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【19】</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约束性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26）</w:t>
            </w:r>
            <w:r>
              <w:rPr>
                <w:rFonts w:hint="eastAsia" w:ascii="宋体" w:hAnsi="宋体" w:eastAsia="宋体" w:cs="宋体"/>
                <w:color w:val="000000"/>
                <w:sz w:val="18"/>
                <w:szCs w:val="18"/>
              </w:rPr>
              <w:t>单位生产总值</w:t>
            </w:r>
            <w:r>
              <w:rPr>
                <w:rFonts w:ascii="宋体" w:hAnsi="宋体" w:eastAsia="宋体" w:cs="宋体"/>
                <w:color w:val="000000"/>
                <w:sz w:val="18"/>
                <w:szCs w:val="18"/>
              </w:rPr>
              <w:t>用水量下</w:t>
            </w:r>
            <w:r>
              <w:rPr>
                <w:rFonts w:hint="eastAsia" w:ascii="宋体" w:hAnsi="宋体" w:eastAsia="宋体" w:cs="宋体"/>
                <w:color w:val="000000"/>
                <w:sz w:val="18"/>
                <w:szCs w:val="18"/>
              </w:rPr>
              <w:t>降（</w:t>
            </w:r>
            <w:r>
              <w:rPr>
                <w:rFonts w:ascii="宋体" w:hAnsi="宋体" w:eastAsia="宋体"/>
                <w:color w:val="000000"/>
                <w:sz w:val="18"/>
                <w:szCs w:val="18"/>
              </w:rPr>
              <w:t>%</w:t>
            </w:r>
            <w:r>
              <w:rPr>
                <w:rFonts w:hint="eastAsia"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【45.2】</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【38.8】</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3.0</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约束性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restart"/>
            <w:tcBorders>
              <w:top w:val="single" w:color="auto" w:sz="4" w:space="0"/>
              <w:left w:val="single" w:color="auto" w:sz="4" w:space="0"/>
              <w:right w:val="single" w:color="auto" w:sz="4" w:space="0"/>
            </w:tcBorders>
            <w:noWrap w:val="0"/>
            <w:vAlign w:val="center"/>
          </w:tcPr>
          <w:p>
            <w:pPr>
              <w:spacing w:after="0" w:line="240" w:lineRule="exact"/>
              <w:jc w:val="both"/>
              <w:rPr>
                <w:rFonts w:hint="eastAsia"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27）</w:t>
            </w:r>
            <w:r>
              <w:rPr>
                <w:rFonts w:hint="eastAsia" w:ascii="宋体" w:hAnsi="宋体" w:eastAsia="宋体" w:cs="宋体"/>
                <w:color w:val="000000"/>
                <w:sz w:val="18"/>
                <w:szCs w:val="18"/>
              </w:rPr>
              <w:t>土地</w:t>
            </w:r>
            <w:r>
              <w:rPr>
                <w:rFonts w:ascii="宋体" w:hAnsi="宋体" w:eastAsia="宋体" w:cs="宋体"/>
                <w:color w:val="000000"/>
                <w:sz w:val="18"/>
                <w:szCs w:val="18"/>
              </w:rPr>
              <w:t>资源</w:t>
            </w: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hint="eastAsia" w:ascii="宋体" w:hAnsi="宋体" w:eastAsia="宋体" w:cs="宋体"/>
                <w:color w:val="000000"/>
                <w:sz w:val="18"/>
                <w:szCs w:val="18"/>
              </w:rPr>
            </w:pPr>
            <w:r>
              <w:rPr>
                <w:rFonts w:hint="eastAsia" w:ascii="宋体" w:hAnsi="宋体" w:eastAsia="宋体" w:cs="宋体"/>
                <w:color w:val="000000"/>
                <w:sz w:val="18"/>
                <w:szCs w:val="18"/>
              </w:rPr>
              <w:t>耕地</w:t>
            </w:r>
            <w:r>
              <w:rPr>
                <w:rFonts w:ascii="宋体" w:hAnsi="宋体" w:eastAsia="宋体" w:cs="宋体"/>
                <w:color w:val="000000"/>
                <w:sz w:val="18"/>
                <w:szCs w:val="18"/>
              </w:rPr>
              <w:t>保有量（</w:t>
            </w:r>
            <w:r>
              <w:rPr>
                <w:rFonts w:hint="eastAsia" w:ascii="宋体" w:hAnsi="宋体" w:eastAsia="宋体" w:cs="宋体"/>
                <w:color w:val="000000"/>
                <w:sz w:val="18"/>
                <w:szCs w:val="18"/>
              </w:rPr>
              <w:t>万亩</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bCs/>
                <w:color w:val="000000"/>
                <w:sz w:val="18"/>
                <w:szCs w:val="18"/>
              </w:rPr>
            </w:pPr>
            <w:r>
              <w:rPr>
                <w:rFonts w:hint="eastAsia" w:ascii="宋体" w:hAnsi="宋体" w:eastAsia="宋体"/>
                <w:bCs/>
                <w:color w:val="000000"/>
                <w:sz w:val="18"/>
                <w:szCs w:val="18"/>
              </w:rPr>
              <w:t>541.6</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w:t>
            </w:r>
            <w:r>
              <w:rPr>
                <w:rFonts w:ascii="宋体" w:hAnsi="宋体" w:eastAsia="宋体"/>
                <w:color w:val="000000"/>
                <w:sz w:val="18"/>
                <w:szCs w:val="18"/>
              </w:rPr>
              <w:t>525</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restart"/>
            <w:tcBorders>
              <w:top w:val="single" w:color="auto" w:sz="4" w:space="0"/>
              <w:left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约束性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continue"/>
            <w:tcBorders>
              <w:left w:val="single" w:color="auto" w:sz="4" w:space="0"/>
              <w:bottom w:val="single" w:color="auto" w:sz="4" w:space="0"/>
              <w:right w:val="single" w:color="auto" w:sz="4" w:space="0"/>
            </w:tcBorders>
            <w:noWrap w:val="0"/>
            <w:vAlign w:val="center"/>
          </w:tcPr>
          <w:p>
            <w:pPr>
              <w:spacing w:after="0" w:line="240" w:lineRule="exact"/>
              <w:jc w:val="both"/>
              <w:rPr>
                <w:rFonts w:hint="eastAsia" w:ascii="宋体" w:hAnsi="宋体" w:eastAsia="宋体" w:cs="宋体"/>
                <w:color w:val="000000"/>
                <w:sz w:val="18"/>
                <w:szCs w:val="18"/>
              </w:rPr>
            </w:pP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新增</w:t>
            </w:r>
            <w:r>
              <w:rPr>
                <w:rFonts w:ascii="宋体" w:hAnsi="宋体" w:eastAsia="宋体" w:cs="宋体"/>
                <w:color w:val="000000"/>
                <w:sz w:val="18"/>
                <w:szCs w:val="18"/>
              </w:rPr>
              <w:t>建设用地</w:t>
            </w:r>
            <w:r>
              <w:rPr>
                <w:rFonts w:hint="eastAsia" w:ascii="宋体" w:hAnsi="宋体" w:eastAsia="宋体" w:cs="宋体"/>
                <w:color w:val="000000"/>
                <w:sz w:val="18"/>
                <w:szCs w:val="18"/>
              </w:rPr>
              <w:t>规模（万亩）</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【9.65】</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【7</w:t>
            </w:r>
            <w:r>
              <w:rPr>
                <w:rFonts w:ascii="宋体" w:hAnsi="宋体" w:eastAsia="宋体"/>
                <w:color w:val="000000"/>
                <w:sz w:val="18"/>
                <w:szCs w:val="18"/>
              </w:rPr>
              <w:t>.5</w:t>
            </w:r>
            <w:r>
              <w:rPr>
                <w:rFonts w:hint="eastAsia" w:ascii="宋体" w:hAnsi="宋体" w:eastAsia="宋体"/>
                <w:color w:val="000000"/>
                <w:sz w:val="18"/>
                <w:szCs w:val="18"/>
              </w:rPr>
              <w:t>】</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continue"/>
            <w:tcBorders>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28）</w:t>
            </w:r>
            <w:r>
              <w:rPr>
                <w:rFonts w:hint="eastAsia" w:ascii="宋体" w:hAnsi="宋体" w:eastAsia="宋体" w:cs="宋体"/>
                <w:color w:val="000000"/>
                <w:sz w:val="18"/>
                <w:szCs w:val="18"/>
              </w:rPr>
              <w:t>主要污染物排放降低（</w:t>
            </w:r>
            <w:r>
              <w:rPr>
                <w:rFonts w:ascii="宋体" w:hAnsi="宋体" w:eastAsia="宋体"/>
                <w:color w:val="000000"/>
                <w:sz w:val="18"/>
                <w:szCs w:val="18"/>
              </w:rPr>
              <w:t>%</w:t>
            </w:r>
            <w:r>
              <w:rPr>
                <w:rFonts w:hint="eastAsia" w:ascii="宋体" w:hAnsi="宋体" w:eastAsia="宋体" w:cs="宋体"/>
                <w:color w:val="000000"/>
                <w:sz w:val="18"/>
                <w:szCs w:val="18"/>
              </w:rPr>
              <w:t>）</w:t>
            </w: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化学需氧量</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9.74</w:t>
            </w:r>
            <w:r>
              <w:rPr>
                <w:rFonts w:hint="eastAsia" w:ascii="宋体" w:hAnsi="宋体" w:eastAsia="宋体" w:cs="宋体"/>
                <w:color w:val="000000"/>
                <w:sz w:val="18"/>
                <w:szCs w:val="18"/>
              </w:rPr>
              <w:t>】</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【5</w:t>
            </w:r>
            <w:r>
              <w:rPr>
                <w:rFonts w:ascii="宋体" w:hAnsi="宋体" w:eastAsia="宋体"/>
                <w:color w:val="000000"/>
                <w:sz w:val="18"/>
                <w:szCs w:val="18"/>
              </w:rPr>
              <w:t>】</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restar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约束性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color w:val="000000"/>
                <w:sz w:val="18"/>
                <w:szCs w:val="18"/>
              </w:rPr>
            </w:pP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氨氮</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11.67</w:t>
            </w:r>
            <w:r>
              <w:rPr>
                <w:rFonts w:hint="eastAsia" w:ascii="宋体" w:hAnsi="宋体" w:eastAsia="宋体" w:cs="宋体"/>
                <w:color w:val="000000"/>
                <w:sz w:val="18"/>
                <w:szCs w:val="18"/>
              </w:rPr>
              <w:t>】</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【5</w:t>
            </w:r>
            <w:r>
              <w:rPr>
                <w:rFonts w:ascii="宋体" w:hAnsi="宋体" w:eastAsia="宋体"/>
                <w:color w:val="000000"/>
                <w:sz w:val="18"/>
                <w:szCs w:val="18"/>
              </w:rPr>
              <w:t>】</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color w:val="000000"/>
                <w:sz w:val="18"/>
                <w:szCs w:val="18"/>
              </w:rPr>
            </w:pP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color w:val="000000"/>
                <w:sz w:val="18"/>
                <w:szCs w:val="18"/>
              </w:rPr>
            </w:pP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二氧化硫</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26.88</w:t>
            </w:r>
            <w:r>
              <w:rPr>
                <w:rFonts w:hint="eastAsia" w:ascii="宋体" w:hAnsi="宋体" w:eastAsia="宋体" w:cs="宋体"/>
                <w:color w:val="000000"/>
                <w:sz w:val="18"/>
                <w:szCs w:val="18"/>
              </w:rPr>
              <w:t>】</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w:t>
            </w:r>
            <w:r>
              <w:rPr>
                <w:rFonts w:ascii="宋体" w:hAnsi="宋体" w:eastAsia="宋体"/>
                <w:color w:val="000000"/>
                <w:sz w:val="18"/>
                <w:szCs w:val="18"/>
              </w:rPr>
              <w:t>10】</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color w:val="000000"/>
                <w:sz w:val="18"/>
                <w:szCs w:val="18"/>
              </w:rPr>
            </w:pP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color w:val="000000"/>
                <w:sz w:val="18"/>
                <w:szCs w:val="18"/>
              </w:rPr>
            </w:pP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氮氧化物</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s="宋体"/>
                <w:color w:val="000000"/>
                <w:sz w:val="18"/>
                <w:szCs w:val="18"/>
              </w:rPr>
              <w:t>【</w:t>
            </w:r>
            <w:r>
              <w:rPr>
                <w:rFonts w:hint="eastAsia" w:ascii="宋体" w:hAnsi="宋体" w:eastAsia="宋体" w:cs="宋体"/>
                <w:color w:val="000000"/>
                <w:sz w:val="18"/>
                <w:szCs w:val="18"/>
              </w:rPr>
              <w:t>9</w:t>
            </w:r>
            <w:r>
              <w:rPr>
                <w:rFonts w:ascii="宋体" w:hAnsi="宋体" w:eastAsia="宋体" w:cs="宋体"/>
                <w:color w:val="000000"/>
                <w:sz w:val="18"/>
                <w:szCs w:val="18"/>
              </w:rPr>
              <w:t>.9</w:t>
            </w:r>
            <w:r>
              <w:rPr>
                <w:rFonts w:hint="eastAsia" w:ascii="宋体" w:hAnsi="宋体" w:eastAsia="宋体" w:cs="宋体"/>
                <w:color w:val="000000"/>
                <w:sz w:val="18"/>
                <w:szCs w:val="18"/>
              </w:rPr>
              <w:t>】</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w:t>
            </w:r>
            <w:r>
              <w:rPr>
                <w:rFonts w:ascii="宋体" w:hAnsi="宋体" w:eastAsia="宋体"/>
                <w:color w:val="000000"/>
                <w:sz w:val="18"/>
                <w:szCs w:val="18"/>
              </w:rPr>
              <w:t>10】</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color w:val="000000"/>
                <w:sz w:val="18"/>
                <w:szCs w:val="18"/>
              </w:rPr>
            </w:pP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spacing w:after="0" w:line="240" w:lineRule="exact"/>
              <w:jc w:val="center"/>
              <w:rPr>
                <w:rFonts w:ascii="宋体" w:hAnsi="宋体" w:eastAsia="宋体" w:cs="宋体"/>
                <w:b/>
                <w:color w:val="000000"/>
                <w:sz w:val="21"/>
                <w:szCs w:val="21"/>
              </w:rPr>
            </w:pPr>
          </w:p>
        </w:tc>
        <w:tc>
          <w:tcPr>
            <w:tcW w:w="2318" w:type="pct"/>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29）</w:t>
            </w:r>
            <w:r>
              <w:rPr>
                <w:rFonts w:hint="eastAsia" w:ascii="宋体" w:hAnsi="宋体" w:eastAsia="宋体" w:cs="宋体"/>
                <w:color w:val="000000"/>
                <w:sz w:val="18"/>
                <w:szCs w:val="18"/>
              </w:rPr>
              <w:t>非</w:t>
            </w:r>
            <w:r>
              <w:rPr>
                <w:rFonts w:ascii="宋体" w:hAnsi="宋体" w:eastAsia="宋体" w:cs="宋体"/>
                <w:color w:val="000000"/>
                <w:sz w:val="18"/>
                <w:szCs w:val="18"/>
              </w:rPr>
              <w:t>化石能源占一次能源消费比重（</w:t>
            </w:r>
            <w:r>
              <w:rPr>
                <w:rFonts w:hint="eastAsia" w:ascii="宋体" w:hAnsi="宋体" w:eastAsia="宋体" w:cs="宋体"/>
                <w:color w:val="000000"/>
                <w:sz w:val="18"/>
                <w:szCs w:val="18"/>
              </w:rPr>
              <w:t>%</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5</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11</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约束性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restart"/>
            <w:tcBorders>
              <w:top w:val="single" w:color="auto" w:sz="4" w:space="0"/>
              <w:left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30）</w:t>
            </w:r>
            <w:r>
              <w:rPr>
                <w:rFonts w:hint="eastAsia" w:ascii="宋体" w:hAnsi="宋体" w:eastAsia="宋体" w:cs="宋体"/>
                <w:color w:val="000000"/>
                <w:sz w:val="18"/>
                <w:szCs w:val="18"/>
              </w:rPr>
              <w:t>空气</w:t>
            </w:r>
            <w:r>
              <w:rPr>
                <w:rFonts w:ascii="宋体" w:hAnsi="宋体" w:eastAsia="宋体" w:cs="宋体"/>
                <w:color w:val="000000"/>
                <w:sz w:val="18"/>
                <w:szCs w:val="18"/>
              </w:rPr>
              <w:t>质量</w:t>
            </w: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5"/>
                <w:szCs w:val="15"/>
              </w:rPr>
            </w:pPr>
            <w:r>
              <w:rPr>
                <w:rFonts w:ascii="宋体" w:hAnsi="宋体" w:eastAsia="宋体" w:cs="宋体"/>
                <w:color w:val="000000"/>
                <w:sz w:val="15"/>
                <w:szCs w:val="15"/>
              </w:rPr>
              <w:t>可吸入细颗粒物浓度降</w:t>
            </w:r>
            <w:r>
              <w:rPr>
                <w:rFonts w:hint="eastAsia" w:ascii="宋体" w:hAnsi="宋体" w:eastAsia="宋体" w:cs="宋体"/>
                <w:color w:val="000000"/>
                <w:sz w:val="15"/>
                <w:szCs w:val="15"/>
              </w:rPr>
              <w:t>低</w:t>
            </w:r>
            <w:r>
              <w:rPr>
                <w:rFonts w:ascii="宋体" w:hAnsi="宋体" w:eastAsia="宋体" w:cs="宋体"/>
                <w:color w:val="000000"/>
                <w:sz w:val="15"/>
                <w:szCs w:val="15"/>
              </w:rPr>
              <w:t>（</w:t>
            </w:r>
            <w:r>
              <w:rPr>
                <w:rFonts w:hint="eastAsia" w:ascii="宋体" w:hAnsi="宋体" w:eastAsia="宋体" w:cs="宋体"/>
                <w:color w:val="000000"/>
                <w:sz w:val="15"/>
                <w:szCs w:val="15"/>
              </w:rPr>
              <w:t>%</w:t>
            </w:r>
            <w:r>
              <w:rPr>
                <w:rFonts w:ascii="宋体" w:hAnsi="宋体" w:eastAsia="宋体" w:cs="宋体"/>
                <w:color w:val="000000"/>
                <w:sz w:val="15"/>
                <w:szCs w:val="15"/>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【10.74</w:t>
            </w:r>
            <w:r>
              <w:rPr>
                <w:rFonts w:ascii="宋体" w:hAnsi="宋体" w:eastAsia="宋体"/>
                <w:color w:val="000000"/>
                <w:sz w:val="18"/>
                <w:szCs w:val="18"/>
              </w:rPr>
              <w:t>】</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【30</w:t>
            </w:r>
            <w:r>
              <w:rPr>
                <w:rFonts w:ascii="宋体" w:hAnsi="宋体" w:eastAsia="宋体"/>
                <w:color w:val="000000"/>
                <w:sz w:val="18"/>
                <w:szCs w:val="18"/>
              </w:rPr>
              <w:t>】</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restart"/>
            <w:tcBorders>
              <w:top w:val="single" w:color="auto" w:sz="4" w:space="0"/>
              <w:left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约束性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continue"/>
            <w:tcBorders>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空气</w:t>
            </w:r>
            <w:r>
              <w:rPr>
                <w:rFonts w:ascii="宋体" w:hAnsi="宋体" w:eastAsia="宋体" w:cs="宋体"/>
                <w:color w:val="000000"/>
                <w:sz w:val="18"/>
                <w:szCs w:val="18"/>
              </w:rPr>
              <w:t>优良天数比例（</w:t>
            </w:r>
            <w:r>
              <w:rPr>
                <w:rFonts w:hint="eastAsia" w:ascii="宋体" w:hAnsi="宋体" w:eastAsia="宋体" w:cs="宋体"/>
                <w:color w:val="000000"/>
                <w:sz w:val="18"/>
                <w:szCs w:val="18"/>
              </w:rPr>
              <w:t>%</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7</w:t>
            </w:r>
            <w:r>
              <w:rPr>
                <w:rFonts w:ascii="宋体" w:hAnsi="宋体" w:eastAsia="宋体"/>
                <w:color w:val="000000"/>
                <w:sz w:val="18"/>
                <w:szCs w:val="18"/>
              </w:rPr>
              <w:t>4.5</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&gt;80</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continue"/>
            <w:tcBorders>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restart"/>
            <w:tcBorders>
              <w:top w:val="single" w:color="auto" w:sz="4" w:space="0"/>
              <w:left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31）</w:t>
            </w:r>
            <w:r>
              <w:rPr>
                <w:rFonts w:hint="eastAsia" w:ascii="宋体" w:hAnsi="宋体" w:eastAsia="宋体" w:cs="宋体"/>
                <w:color w:val="000000"/>
                <w:sz w:val="18"/>
                <w:szCs w:val="18"/>
              </w:rPr>
              <w:t>地表水</w:t>
            </w:r>
            <w:r>
              <w:rPr>
                <w:rFonts w:ascii="宋体" w:hAnsi="宋体" w:eastAsia="宋体" w:cs="宋体"/>
                <w:color w:val="000000"/>
                <w:sz w:val="18"/>
                <w:szCs w:val="18"/>
              </w:rPr>
              <w:t>质量</w:t>
            </w: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好于Ш类</w:t>
            </w:r>
            <w:r>
              <w:rPr>
                <w:rFonts w:ascii="宋体" w:hAnsi="宋体" w:eastAsia="宋体" w:cs="宋体"/>
                <w:color w:val="000000"/>
                <w:sz w:val="18"/>
                <w:szCs w:val="18"/>
              </w:rPr>
              <w:t>水</w:t>
            </w:r>
            <w:r>
              <w:rPr>
                <w:rFonts w:hint="eastAsia" w:ascii="宋体" w:hAnsi="宋体" w:eastAsia="宋体" w:cs="宋体"/>
                <w:color w:val="000000"/>
                <w:sz w:val="18"/>
                <w:szCs w:val="18"/>
              </w:rPr>
              <w:t>体</w:t>
            </w:r>
            <w:r>
              <w:rPr>
                <w:rFonts w:ascii="宋体" w:hAnsi="宋体" w:eastAsia="宋体" w:cs="宋体"/>
                <w:color w:val="000000"/>
                <w:sz w:val="18"/>
                <w:szCs w:val="18"/>
              </w:rPr>
              <w:t>比例（</w:t>
            </w:r>
            <w:r>
              <w:rPr>
                <w:rFonts w:hint="eastAsia" w:ascii="宋体" w:hAnsi="宋体" w:eastAsia="宋体" w:cs="宋体"/>
                <w:color w:val="000000"/>
                <w:sz w:val="18"/>
                <w:szCs w:val="18"/>
              </w:rPr>
              <w:t>%</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&gt;</w:t>
            </w:r>
            <w:r>
              <w:rPr>
                <w:rFonts w:ascii="宋体" w:hAnsi="宋体" w:eastAsia="宋体"/>
                <w:color w:val="000000"/>
                <w:sz w:val="18"/>
                <w:szCs w:val="18"/>
              </w:rPr>
              <w:t>70</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restart"/>
            <w:tcBorders>
              <w:top w:val="single" w:color="auto" w:sz="4" w:space="0"/>
              <w:left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约束性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continue"/>
            <w:tcBorders>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劣V类水体</w:t>
            </w:r>
            <w:r>
              <w:rPr>
                <w:rFonts w:ascii="宋体" w:hAnsi="宋体" w:eastAsia="宋体" w:cs="宋体"/>
                <w:color w:val="000000"/>
                <w:sz w:val="18"/>
                <w:szCs w:val="18"/>
              </w:rPr>
              <w:t>比例（</w:t>
            </w:r>
            <w:r>
              <w:rPr>
                <w:rFonts w:hint="eastAsia" w:ascii="宋体" w:hAnsi="宋体" w:eastAsia="宋体" w:cs="宋体"/>
                <w:color w:val="000000"/>
                <w:sz w:val="18"/>
                <w:szCs w:val="18"/>
              </w:rPr>
              <w:t>%</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&lt;5</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continue"/>
            <w:tcBorders>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restart"/>
            <w:tcBorders>
              <w:top w:val="single" w:color="auto" w:sz="4" w:space="0"/>
              <w:left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32）</w:t>
            </w:r>
            <w:r>
              <w:rPr>
                <w:rFonts w:hint="eastAsia" w:ascii="宋体" w:hAnsi="宋体" w:eastAsia="宋体" w:cs="宋体"/>
                <w:color w:val="000000"/>
                <w:sz w:val="18"/>
                <w:szCs w:val="18"/>
              </w:rPr>
              <w:t>国土</w:t>
            </w:r>
            <w:r>
              <w:rPr>
                <w:rFonts w:ascii="宋体" w:hAnsi="宋体" w:eastAsia="宋体" w:cs="宋体"/>
                <w:color w:val="000000"/>
                <w:sz w:val="18"/>
                <w:szCs w:val="18"/>
              </w:rPr>
              <w:t>绿化</w:t>
            </w: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森林覆盖率</w:t>
            </w:r>
            <w:r>
              <w:rPr>
                <w:rFonts w:ascii="宋体" w:hAnsi="宋体" w:eastAsia="宋体" w:cs="宋体"/>
                <w:color w:val="000000"/>
                <w:sz w:val="18"/>
                <w:szCs w:val="18"/>
              </w:rPr>
              <w:t>（</w:t>
            </w:r>
            <w:r>
              <w:rPr>
                <w:rFonts w:hint="eastAsia" w:ascii="宋体" w:hAnsi="宋体" w:eastAsia="宋体" w:cs="宋体"/>
                <w:color w:val="000000"/>
                <w:sz w:val="18"/>
                <w:szCs w:val="18"/>
              </w:rPr>
              <w:t>%</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5</w:t>
            </w:r>
            <w:r>
              <w:rPr>
                <w:rFonts w:ascii="宋体" w:hAnsi="宋体" w:eastAsia="宋体"/>
                <w:color w:val="000000"/>
                <w:sz w:val="18"/>
                <w:szCs w:val="18"/>
              </w:rPr>
              <w:t>5.26</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56以上</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restart"/>
            <w:tcBorders>
              <w:top w:val="single" w:color="auto" w:sz="4" w:space="0"/>
              <w:left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约束性</w:t>
            </w:r>
          </w:p>
        </w:tc>
      </w:tr>
      <w:tr>
        <w:tblPrEx>
          <w:tblCellMar>
            <w:top w:w="0" w:type="dxa"/>
            <w:left w:w="108" w:type="dxa"/>
            <w:bottom w:w="0" w:type="dxa"/>
            <w:right w:w="108" w:type="dxa"/>
          </w:tblCellMar>
        </w:tblPrEx>
        <w:trPr>
          <w:wBefore w:w="0" w:type="dxa"/>
          <w:wAfter w:w="0" w:type="dxa"/>
          <w:trHeight w:val="397" w:hRule="exact"/>
          <w:jc w:val="center"/>
        </w:trPr>
        <w:tc>
          <w:tcPr>
            <w:tcW w:w="272" w:type="pct"/>
            <w:vMerge w:val="continue"/>
            <w:tcBorders>
              <w:left w:val="single" w:color="auto" w:sz="4" w:space="0"/>
              <w:bottom w:val="single" w:color="auto" w:sz="4" w:space="0"/>
              <w:right w:val="single" w:color="auto" w:sz="4" w:space="0"/>
            </w:tcBorders>
            <w:noWrap w:val="0"/>
            <w:vAlign w:val="center"/>
          </w:tcPr>
          <w:p>
            <w:pPr>
              <w:adjustRightInd/>
              <w:snapToGrid/>
              <w:spacing w:after="0"/>
              <w:rPr>
                <w:rFonts w:ascii="宋体" w:hAnsi="宋体" w:eastAsia="宋体" w:cs="宋体"/>
                <w:b/>
                <w:color w:val="000000"/>
                <w:sz w:val="21"/>
                <w:szCs w:val="21"/>
              </w:rPr>
            </w:pPr>
          </w:p>
        </w:tc>
        <w:tc>
          <w:tcPr>
            <w:tcW w:w="588" w:type="pct"/>
            <w:vMerge w:val="continue"/>
            <w:tcBorders>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p>
        </w:tc>
        <w:tc>
          <w:tcPr>
            <w:tcW w:w="1730"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both"/>
              <w:rPr>
                <w:rFonts w:ascii="宋体" w:hAnsi="宋体" w:eastAsia="宋体" w:cs="宋体"/>
                <w:color w:val="000000"/>
                <w:sz w:val="18"/>
                <w:szCs w:val="18"/>
              </w:rPr>
            </w:pPr>
            <w:r>
              <w:rPr>
                <w:rFonts w:hint="eastAsia" w:ascii="宋体" w:hAnsi="宋体" w:eastAsia="宋体" w:cs="宋体"/>
                <w:color w:val="000000"/>
                <w:sz w:val="18"/>
                <w:szCs w:val="18"/>
              </w:rPr>
              <w:t>森林</w:t>
            </w:r>
            <w:r>
              <w:rPr>
                <w:rFonts w:ascii="宋体" w:hAnsi="宋体" w:eastAsia="宋体" w:cs="宋体"/>
                <w:color w:val="000000"/>
                <w:sz w:val="18"/>
                <w:szCs w:val="18"/>
              </w:rPr>
              <w:t>蓄积量（</w:t>
            </w:r>
            <w:r>
              <w:rPr>
                <w:rFonts w:hint="eastAsia" w:ascii="宋体" w:hAnsi="宋体" w:eastAsia="宋体" w:cs="宋体"/>
                <w:color w:val="000000"/>
                <w:sz w:val="18"/>
                <w:szCs w:val="18"/>
              </w:rPr>
              <w:t>亿立方</w:t>
            </w:r>
            <w:r>
              <w:rPr>
                <w:rFonts w:ascii="宋体" w:hAnsi="宋体" w:eastAsia="宋体" w:cs="宋体"/>
                <w:color w:val="000000"/>
                <w:sz w:val="18"/>
                <w:szCs w:val="18"/>
              </w:rPr>
              <w:t>）</w:t>
            </w:r>
          </w:p>
        </w:tc>
        <w:tc>
          <w:tcPr>
            <w:tcW w:w="71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0</w:t>
            </w:r>
            <w:r>
              <w:rPr>
                <w:rFonts w:ascii="宋体" w:hAnsi="宋体" w:eastAsia="宋体"/>
                <w:color w:val="000000"/>
                <w:sz w:val="18"/>
                <w:szCs w:val="18"/>
              </w:rPr>
              <w:t>.</w:t>
            </w:r>
            <w:r>
              <w:rPr>
                <w:rFonts w:hint="eastAsia" w:ascii="宋体" w:hAnsi="宋体" w:eastAsia="宋体"/>
                <w:color w:val="000000"/>
                <w:sz w:val="18"/>
                <w:szCs w:val="18"/>
              </w:rPr>
              <w:t>69</w:t>
            </w:r>
          </w:p>
        </w:tc>
        <w:tc>
          <w:tcPr>
            <w:tcW w:w="625"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hint="eastAsia" w:ascii="宋体" w:hAnsi="宋体" w:eastAsia="宋体"/>
                <w:color w:val="000000"/>
                <w:sz w:val="18"/>
                <w:szCs w:val="18"/>
              </w:rPr>
              <w:t>0.75</w:t>
            </w:r>
          </w:p>
        </w:tc>
        <w:tc>
          <w:tcPr>
            <w:tcW w:w="536" w:type="pct"/>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olor w:val="000000"/>
                <w:sz w:val="18"/>
                <w:szCs w:val="18"/>
              </w:rPr>
            </w:pPr>
            <w:r>
              <w:rPr>
                <w:rFonts w:ascii="宋体" w:hAnsi="宋体" w:eastAsia="宋体"/>
                <w:color w:val="000000"/>
                <w:sz w:val="18"/>
                <w:szCs w:val="18"/>
              </w:rPr>
              <w:t>-</w:t>
            </w:r>
          </w:p>
        </w:tc>
        <w:tc>
          <w:tcPr>
            <w:tcW w:w="534" w:type="pct"/>
            <w:vMerge w:val="continue"/>
            <w:tcBorders>
              <w:left w:val="single" w:color="auto" w:sz="4" w:space="0"/>
              <w:bottom w:val="single" w:color="auto" w:sz="4" w:space="0"/>
              <w:right w:val="single" w:color="auto" w:sz="4" w:space="0"/>
            </w:tcBorders>
            <w:noWrap w:val="0"/>
            <w:vAlign w:val="center"/>
          </w:tcPr>
          <w:p>
            <w:pPr>
              <w:spacing w:after="0" w:line="240" w:lineRule="exact"/>
              <w:jc w:val="center"/>
              <w:rPr>
                <w:rFonts w:ascii="宋体" w:hAnsi="宋体" w:eastAsia="宋体" w:cs="宋体"/>
                <w:color w:val="000000"/>
                <w:sz w:val="18"/>
                <w:szCs w:val="18"/>
              </w:rPr>
            </w:pPr>
          </w:p>
        </w:tc>
      </w:tr>
    </w:tbl>
    <w:p>
      <w:pPr>
        <w:spacing w:after="0" w:line="100" w:lineRule="exact"/>
        <w:jc w:val="center"/>
        <w:rPr>
          <w:rFonts w:ascii="华文中宋" w:hAnsi="华文中宋" w:eastAsia="华文中宋"/>
          <w:b/>
          <w:sz w:val="2"/>
          <w:szCs w:val="32"/>
        </w:rPr>
      </w:pPr>
    </w:p>
    <w:p>
      <w:pPr>
        <w:spacing w:after="0"/>
        <w:rPr>
          <w:rFonts w:ascii="宋体" w:hAnsi="宋体" w:eastAsia="宋体"/>
          <w:sz w:val="18"/>
          <w:szCs w:val="18"/>
        </w:rPr>
      </w:pPr>
      <w:r>
        <w:rPr>
          <w:rFonts w:hint="eastAsia" w:ascii="宋体" w:hAnsi="宋体" w:eastAsia="宋体"/>
          <w:sz w:val="18"/>
          <w:szCs w:val="18"/>
        </w:rPr>
        <w:t>注：生产总值绝对数为当年价，各指标增长速度为可比价，“【】”所列内容为五年累计数字。</w:t>
      </w:r>
    </w:p>
    <w:p>
      <w:pPr>
        <w:spacing w:after="0" w:line="600" w:lineRule="exact"/>
        <w:jc w:val="center"/>
        <w:rPr>
          <w:rFonts w:ascii="楷体_GB2312" w:hAnsi="宋体" w:eastAsia="楷体_GB2312" w:cs="宋体"/>
          <w:b/>
          <w:sz w:val="28"/>
          <w:szCs w:val="28"/>
        </w:rPr>
      </w:pPr>
    </w:p>
    <w:p>
      <w:pPr>
        <w:spacing w:after="0" w:line="600" w:lineRule="exact"/>
        <w:jc w:val="center"/>
        <w:rPr>
          <w:rFonts w:ascii="楷体_GB2312" w:hAnsi="宋体" w:eastAsia="楷体_GB2312" w:cs="宋体"/>
          <w:b/>
          <w:sz w:val="28"/>
          <w:szCs w:val="28"/>
        </w:rPr>
      </w:pPr>
    </w:p>
    <w:p>
      <w:pPr>
        <w:spacing w:after="0" w:line="600" w:lineRule="exact"/>
        <w:jc w:val="center"/>
        <w:rPr>
          <w:rFonts w:ascii="楷体_GB2312" w:hAnsi="宋体" w:eastAsia="楷体_GB2312" w:cs="宋体"/>
          <w:b/>
          <w:sz w:val="28"/>
          <w:szCs w:val="28"/>
        </w:rPr>
      </w:pPr>
    </w:p>
    <w:p>
      <w:pPr>
        <w:spacing w:after="0" w:line="600" w:lineRule="exact"/>
        <w:jc w:val="center"/>
        <w:rPr>
          <w:rFonts w:hint="eastAsia" w:ascii="楷体_GB2312" w:hAnsi="宋体" w:eastAsia="楷体_GB2312" w:cs="宋体"/>
          <w:b/>
          <w:sz w:val="28"/>
          <w:szCs w:val="28"/>
        </w:rPr>
      </w:pPr>
    </w:p>
    <w:p>
      <w:pPr>
        <w:spacing w:after="0" w:line="600" w:lineRule="exact"/>
        <w:jc w:val="center"/>
        <w:rPr>
          <w:rFonts w:hint="eastAsia" w:ascii="华文中宋" w:hAnsi="华文中宋" w:eastAsia="华文中宋"/>
          <w:b/>
          <w:sz w:val="36"/>
          <w:szCs w:val="36"/>
        </w:rPr>
      </w:pPr>
      <w:r>
        <w:rPr>
          <w:rFonts w:hint="eastAsia" w:ascii="华文中宋" w:hAnsi="华文中宋" w:eastAsia="华文中宋"/>
          <w:b/>
          <w:sz w:val="36"/>
          <w:szCs w:val="36"/>
        </w:rPr>
        <w:t>第二篇  经济社会发展的空间布局</w:t>
      </w:r>
    </w:p>
    <w:p>
      <w:pPr>
        <w:spacing w:after="0" w:line="600" w:lineRule="exact"/>
        <w:jc w:val="both"/>
        <w:rPr>
          <w:rFonts w:hint="eastAsia" w:ascii="仿宋_GB2312" w:eastAsia="仿宋_GB2312"/>
          <w:sz w:val="32"/>
          <w:szCs w:val="32"/>
        </w:rPr>
      </w:pPr>
    </w:p>
    <w:p>
      <w:pPr>
        <w:spacing w:after="0" w:line="600" w:lineRule="exact"/>
        <w:ind w:firstLine="640" w:firstLineChars="200"/>
        <w:jc w:val="both"/>
        <w:rPr>
          <w:rFonts w:hint="eastAsia" w:ascii="Times New Roman" w:hAnsi="Times New Roman" w:eastAsia="仿宋_GB2312"/>
          <w:sz w:val="32"/>
          <w:szCs w:val="32"/>
        </w:rPr>
      </w:pPr>
      <w:r>
        <w:rPr>
          <w:rFonts w:hint="eastAsia" w:ascii="仿宋_GB2312" w:eastAsia="仿宋_GB2312"/>
          <w:sz w:val="32"/>
          <w:szCs w:val="32"/>
        </w:rPr>
        <w:t>根据不同区域的资源环境承载力、现有开发强度和发展潜力，落实国家及全省主体功能区规划，坚持统筹、全域、立体、开放的原则，以产业布局为支撑、以交通布局为纽带、以信息布局为联结、以城镇布局为重点、以生态布局为基础，继续优化空间布局</w:t>
      </w:r>
      <w:r>
        <w:rPr>
          <w:rFonts w:hint="eastAsia" w:ascii="Times New Roman" w:hAnsi="Times New Roman" w:eastAsia="仿宋_GB2312"/>
          <w:sz w:val="32"/>
          <w:szCs w:val="32"/>
        </w:rPr>
        <w:t>。逐步推进经济社会发展规划、城市建设规划、生态环境保护规划等多规融合，强化空间管控，确保在一个空间内的规划相互协调统一。</w:t>
      </w:r>
    </w:p>
    <w:p>
      <w:pPr>
        <w:spacing w:after="0" w:line="600" w:lineRule="exact"/>
        <w:ind w:firstLine="640" w:firstLineChars="200"/>
        <w:jc w:val="both"/>
        <w:rPr>
          <w:rFonts w:hint="eastAsia" w:ascii="黑体" w:hAnsi="黑体" w:eastAsia="黑体"/>
          <w:sz w:val="32"/>
          <w:szCs w:val="32"/>
        </w:rPr>
      </w:pPr>
    </w:p>
    <w:p>
      <w:pPr>
        <w:spacing w:after="0" w:line="600" w:lineRule="exact"/>
        <w:jc w:val="center"/>
        <w:rPr>
          <w:rFonts w:hint="eastAsia" w:ascii="黑体" w:hAnsi="黑体" w:eastAsia="黑体"/>
          <w:sz w:val="32"/>
          <w:szCs w:val="32"/>
        </w:rPr>
      </w:pPr>
      <w:r>
        <w:rPr>
          <w:rFonts w:hint="eastAsia" w:ascii="黑体" w:hAnsi="黑体" w:eastAsia="黑体"/>
          <w:sz w:val="32"/>
          <w:szCs w:val="32"/>
        </w:rPr>
        <w:t>第四章</w:t>
      </w:r>
      <w:r>
        <w:rPr>
          <w:rFonts w:ascii="黑体" w:hAnsi="黑体" w:eastAsia="黑体"/>
          <w:sz w:val="32"/>
          <w:szCs w:val="32"/>
        </w:rPr>
        <w:t xml:space="preserve">  </w:t>
      </w:r>
      <w:r>
        <w:rPr>
          <w:rFonts w:hint="eastAsia" w:ascii="黑体" w:hAnsi="黑体" w:eastAsia="黑体"/>
          <w:sz w:val="32"/>
          <w:szCs w:val="32"/>
        </w:rPr>
        <w:t>主体功能区空间布局</w:t>
      </w:r>
    </w:p>
    <w:p>
      <w:pPr>
        <w:spacing w:after="0" w:line="600" w:lineRule="exact"/>
        <w:ind w:firstLine="440" w:firstLineChars="200"/>
        <w:jc w:val="both"/>
        <w:rPr>
          <w:rFonts w:hint="eastAsia" w:ascii="仿宋_GB2312" w:hAnsi="宋体" w:eastAsia="仿宋_GB2312"/>
          <w:sz w:val="32"/>
          <w:szCs w:val="32"/>
        </w:rPr>
      </w:pPr>
      <w:r>
        <w:rPr>
          <w:rFonts w:hint="eastAsia" w:ascii="仿宋_GB2312" w:eastAsia="仿宋_GB2312"/>
          <w:lang/>
        </w:rPr>
        <mc:AlternateContent>
          <mc:Choice Requires="wps">
            <w:drawing>
              <wp:anchor distT="0" distB="0" distL="114300" distR="114300" simplePos="0" relativeHeight="251666432" behindDoc="0" locked="0" layoutInCell="1" allowOverlap="0">
                <wp:simplePos x="0" y="0"/>
                <wp:positionH relativeFrom="column">
                  <wp:posOffset>6985</wp:posOffset>
                </wp:positionH>
                <wp:positionV relativeFrom="paragraph">
                  <wp:posOffset>1599565</wp:posOffset>
                </wp:positionV>
                <wp:extent cx="5600700" cy="3145790"/>
                <wp:effectExtent l="4445" t="4445" r="14605" b="12065"/>
                <wp:wrapSquare wrapText="bothSides"/>
                <wp:docPr id="8" name="文本框 14"/>
                <wp:cNvGraphicFramePr/>
                <a:graphic xmlns:a="http://schemas.openxmlformats.org/drawingml/2006/main">
                  <a:graphicData uri="http://schemas.microsoft.com/office/word/2010/wordprocessingShape">
                    <wps:wsp>
                      <wps:cNvSpPr txBox="1"/>
                      <wps:spPr>
                        <a:xfrm>
                          <a:off x="0" y="0"/>
                          <a:ext cx="5600700" cy="31457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rPr>
                                <w:rFonts w:hint="eastAsia" w:ascii="楷体_GB2312" w:hAnsi="黑体" w:eastAsia="楷体_GB2312" w:cs="仿宋_GB2312"/>
                                <w:b/>
                                <w:bCs/>
                                <w:sz w:val="21"/>
                                <w:szCs w:val="21"/>
                              </w:rPr>
                            </w:pPr>
                            <w:r>
                              <w:rPr>
                                <w:rFonts w:hint="eastAsia" w:ascii="楷体_GB2312" w:hAnsi="黑体" w:eastAsia="楷体_GB2312" w:cs="仿宋_GB2312"/>
                                <w:b/>
                                <w:bCs/>
                                <w:sz w:val="21"/>
                                <w:szCs w:val="21"/>
                              </w:rPr>
                              <w:t>专栏1</w:t>
                            </w:r>
                          </w:p>
                          <w:p>
                            <w:pPr>
                              <w:spacing w:after="0" w:line="240" w:lineRule="exact"/>
                              <w:jc w:val="center"/>
                              <w:rPr>
                                <w:rFonts w:ascii="黑体" w:hAnsi="黑体" w:eastAsia="黑体" w:cs="仿宋"/>
                                <w:sz w:val="21"/>
                                <w:szCs w:val="21"/>
                              </w:rPr>
                            </w:pPr>
                            <w:r>
                              <w:rPr>
                                <w:rFonts w:hint="eastAsia" w:ascii="黑体" w:hAnsi="黑体" w:eastAsia="黑体" w:cs="仿宋_GB2312"/>
                                <w:b/>
                                <w:bCs/>
                                <w:sz w:val="21"/>
                                <w:szCs w:val="21"/>
                              </w:rPr>
                              <w:t>四大主体功能区布局</w:t>
                            </w:r>
                          </w:p>
                          <w:p>
                            <w:pPr>
                              <w:spacing w:after="0" w:line="240" w:lineRule="exact"/>
                              <w:ind w:firstLine="413" w:firstLineChars="196"/>
                              <w:jc w:val="both"/>
                              <w:rPr>
                                <w:rFonts w:ascii="楷体_GB2312" w:hAnsi="仿宋" w:eastAsia="楷体_GB2312"/>
                                <w:color w:val="000000"/>
                                <w:sz w:val="21"/>
                                <w:szCs w:val="21"/>
                              </w:rPr>
                            </w:pPr>
                            <w:r>
                              <w:rPr>
                                <w:rFonts w:hint="eastAsia" w:ascii="楷体_GB2312" w:hAnsi="仿宋" w:eastAsia="楷体_GB2312"/>
                                <w:b/>
                                <w:color w:val="000000"/>
                                <w:sz w:val="21"/>
                                <w:szCs w:val="21"/>
                              </w:rPr>
                              <w:t>优化开发区：</w:t>
                            </w:r>
                            <w:r>
                              <w:rPr>
                                <w:rFonts w:hint="eastAsia" w:ascii="楷体_GB2312" w:hAnsi="仿宋" w:eastAsia="楷体_GB2312"/>
                                <w:sz w:val="21"/>
                                <w:szCs w:val="21"/>
                              </w:rPr>
                              <w:t>主要包括国家层面的重点开发区金台区（包括蟠龙新区）、渭滨区、陈仓区（高新区按照行政区划包含在三区之中）。</w:t>
                            </w:r>
                            <w:r>
                              <w:rPr>
                                <w:rFonts w:hint="eastAsia" w:ascii="楷体_GB2312" w:hAnsi="仿宋" w:eastAsia="楷体_GB2312"/>
                                <w:color w:val="000000"/>
                                <w:sz w:val="21"/>
                                <w:szCs w:val="21"/>
                              </w:rPr>
                              <w:t>国土开发密度已经较高、资源环境承载能力开始减弱，</w:t>
                            </w:r>
                            <w:r>
                              <w:rPr>
                                <w:rFonts w:hint="eastAsia" w:ascii="楷体_GB2312" w:hAnsi="仿宋" w:eastAsia="楷体_GB2312"/>
                                <w:sz w:val="21"/>
                                <w:szCs w:val="21"/>
                              </w:rPr>
                              <w:t>率先加快转变经济发展方式，调整优化经济结构，提升经济社会发展的层次和区域整体竞争力。</w:t>
                            </w:r>
                            <w:r>
                              <w:rPr>
                                <w:rFonts w:hint="eastAsia" w:ascii="楷体_GB2312" w:hAnsi="仿宋" w:eastAsia="楷体_GB2312"/>
                                <w:color w:val="000000"/>
                                <w:sz w:val="21"/>
                                <w:szCs w:val="21"/>
                              </w:rPr>
                              <w:t>成为</w:t>
                            </w:r>
                            <w:r>
                              <w:rPr>
                                <w:rFonts w:hint="eastAsia" w:ascii="楷体_GB2312" w:hAnsi="仿宋" w:eastAsia="楷体_GB2312"/>
                                <w:sz w:val="21"/>
                                <w:szCs w:val="21"/>
                              </w:rPr>
                              <w:t>提升全市竞争力的重要区域、带动全市经济社会发展的龙头、全市重要的创新区域、人口和经济密集区。</w:t>
                            </w:r>
                          </w:p>
                          <w:p>
                            <w:pPr>
                              <w:spacing w:after="0" w:line="240" w:lineRule="exact"/>
                              <w:ind w:firstLine="422" w:firstLineChars="200"/>
                              <w:jc w:val="both"/>
                              <w:rPr>
                                <w:rFonts w:ascii="楷体_GB2312" w:hAnsi="仿宋" w:eastAsia="楷体_GB2312"/>
                                <w:color w:val="000000"/>
                                <w:sz w:val="21"/>
                                <w:szCs w:val="21"/>
                              </w:rPr>
                            </w:pPr>
                            <w:r>
                              <w:rPr>
                                <w:rFonts w:hint="eastAsia" w:ascii="楷体_GB2312" w:hAnsi="仿宋" w:eastAsia="楷体_GB2312"/>
                                <w:b/>
                                <w:color w:val="000000"/>
                                <w:sz w:val="21"/>
                                <w:szCs w:val="21"/>
                              </w:rPr>
                              <w:t>重点开发区</w:t>
                            </w:r>
                            <w:r>
                              <w:rPr>
                                <w:rFonts w:ascii="楷体_GB2312" w:hAnsi="仿宋" w:eastAsia="楷体_GB2312"/>
                                <w:b/>
                                <w:color w:val="000000"/>
                                <w:sz w:val="21"/>
                                <w:szCs w:val="21"/>
                              </w:rPr>
                              <w:t>:</w:t>
                            </w:r>
                            <w:r>
                              <w:rPr>
                                <w:rFonts w:hint="eastAsia" w:ascii="楷体_GB2312" w:hAnsi="仿宋" w:eastAsia="楷体_GB2312"/>
                                <w:sz w:val="21"/>
                                <w:szCs w:val="21"/>
                              </w:rPr>
                              <w:t>主要包括凤翔县、岐山县、眉县、扶风县的国家层面的重点开发区域（</w:t>
                            </w:r>
                            <w:r>
                              <w:rPr>
                                <w:rFonts w:ascii="楷体_GB2312" w:hAnsi="仿宋" w:eastAsia="楷体_GB2312"/>
                                <w:sz w:val="21"/>
                                <w:szCs w:val="21"/>
                              </w:rPr>
                              <w:t>15</w:t>
                            </w:r>
                            <w:r>
                              <w:rPr>
                                <w:rFonts w:hint="eastAsia" w:ascii="楷体_GB2312" w:hAnsi="仿宋" w:eastAsia="楷体_GB2312"/>
                                <w:sz w:val="21"/>
                                <w:szCs w:val="21"/>
                              </w:rPr>
                              <w:t>个重点开发城镇），是全市重要的人口和经济密集区。要完善提升重点镇城镇功能，有序拓展发展空间，壮大渭河两岸主轴，培育关中环线、西宝南线副轴，提升交通通道综合能力，促进人口合理集聚，强化产业配套功能，形成分工协作、优势互补、集约高效的城镇群和产业带。</w:t>
                            </w:r>
                          </w:p>
                          <w:p>
                            <w:pPr>
                              <w:spacing w:after="0" w:line="240" w:lineRule="exact"/>
                              <w:ind w:firstLine="422" w:firstLineChars="200"/>
                              <w:jc w:val="both"/>
                              <w:rPr>
                                <w:rFonts w:ascii="楷体_GB2312" w:hAnsi="仿宋" w:eastAsia="楷体_GB2312"/>
                                <w:sz w:val="21"/>
                                <w:szCs w:val="21"/>
                              </w:rPr>
                            </w:pPr>
                            <w:r>
                              <w:rPr>
                                <w:rFonts w:hint="eastAsia" w:ascii="楷体_GB2312" w:hAnsi="仿宋" w:eastAsia="楷体_GB2312"/>
                                <w:b/>
                                <w:color w:val="000000"/>
                                <w:sz w:val="21"/>
                                <w:szCs w:val="21"/>
                              </w:rPr>
                              <w:t>限制开发区</w:t>
                            </w:r>
                            <w:r>
                              <w:rPr>
                                <w:rFonts w:ascii="楷体_GB2312" w:hAnsi="仿宋" w:eastAsia="楷体_GB2312"/>
                                <w:b/>
                                <w:color w:val="000000"/>
                                <w:sz w:val="21"/>
                                <w:szCs w:val="21"/>
                              </w:rPr>
                              <w:t>:</w:t>
                            </w:r>
                            <w:r>
                              <w:rPr>
                                <w:rFonts w:hint="eastAsia" w:ascii="楷体_GB2312" w:hAnsi="仿宋" w:eastAsia="楷体_GB2312"/>
                                <w:sz w:val="21"/>
                                <w:szCs w:val="21"/>
                              </w:rPr>
                              <w:t>主要包括省级限制开发区（农产品主产区）的陇县、千阳县、麟游县，国家生态功能区的凤县、太白县以及陈仓区的西山地区，要提升生态服务功能，提高农业综合生产能力，加快现代农业发展，保障农产品供给，大力发展循环经济，限制进行大规模高强度工业化城镇化开发，因地制宜发展不影响生态系统功能的绿色产业和服务业，按照园区化承载、集约化发展、据点式开发的原则，科学发展能源资源开发等环境友好型工业。</w:t>
                            </w:r>
                          </w:p>
                          <w:p>
                            <w:pPr>
                              <w:spacing w:after="0" w:line="240" w:lineRule="exact"/>
                              <w:ind w:firstLine="413" w:firstLineChars="196"/>
                              <w:jc w:val="both"/>
                            </w:pPr>
                            <w:r>
                              <w:rPr>
                                <w:rFonts w:hint="eastAsia" w:ascii="楷体_GB2312" w:hAnsi="仿宋" w:eastAsia="楷体_GB2312"/>
                                <w:b/>
                                <w:sz w:val="21"/>
                                <w:szCs w:val="21"/>
                              </w:rPr>
                              <w:t>禁止开发区</w:t>
                            </w:r>
                            <w:r>
                              <w:rPr>
                                <w:rFonts w:hint="eastAsia" w:ascii="楷体_GB2312" w:hAnsi="仿宋" w:eastAsia="楷体_GB2312"/>
                                <w:sz w:val="21"/>
                                <w:szCs w:val="21"/>
                              </w:rPr>
                              <w:t>：主要包括市级以上自然保护区、森林公园、风景名胜区、水产种质资源保护区、自然文化遗产、重要湿地和重要水源地。禁止进行工业化城镇化开发，依据法律法规和相关规划实施强制性保护，严格控制人为因素对自然生态和文化自然遗产原真性、完整性的干扰，严禁不符合主体功能的开发活动，实现环境污染“零排放”，提高生态环境质量。</w:t>
                            </w:r>
                          </w:p>
                        </w:txbxContent>
                      </wps:txbx>
                      <wps:bodyPr wrap="square" upright="1"/>
                    </wps:wsp>
                  </a:graphicData>
                </a:graphic>
              </wp:anchor>
            </w:drawing>
          </mc:Choice>
          <mc:Fallback>
            <w:pict>
              <v:shape id="文本框 14" o:spid="_x0000_s1026" o:spt="202" type="#_x0000_t202" style="position:absolute;left:0pt;margin-left:0.55pt;margin-top:125.95pt;height:247.7pt;width:441pt;mso-wrap-distance-bottom:0pt;mso-wrap-distance-left:9pt;mso-wrap-distance-right:9pt;mso-wrap-distance-top:0pt;z-index:251666432;mso-width-relative:page;mso-height-relative:page;" fillcolor="#FFFFFF" filled="t" stroked="t" coordsize="21600,21600" wrapcoords="-38 -58 -38 21542 21638 21542 21638 -58 -38 -58" o:allowoverlap="f" o:gfxdata="UEsDBAoAAAAAAIdO4kAAAAAAAAAAAAAAAAAEAAAAZHJzL1BLAwQUAAAACACHTuJAH9H2itgAAAAJ&#10;AQAADwAAAGRycy9kb3ducmV2LnhtbE2PwU7DMBBE70j8g7VIXBB10pQmDXF6QALBDQpqr268TSLi&#10;dbDdtPw9ywmOszOafVOtz3YQE/rQO1KQzhIQSI0zPbUKPt4fbwsQIWoyenCECr4xwLq+vKh0adyJ&#10;3nDaxFZwCYVSK+hiHEspQ9Oh1WHmRiT2Ds5bHVn6VhqvT1xuBzlPkqW0uif+0OkRHzpsPjdHq6BY&#10;PE+78JK9bpvlYVjFm3x6+vJKXV+lyT2IiOf4F4ZffEaHmpn27kgmiIF1ykEF87t0BYL9osj4sleQ&#10;L/IMZF3J/wvqH1BLAwQUAAAACACHTuJAeFz14BgCAABGBAAADgAAAGRycy9lMm9Eb2MueG1srVNL&#10;jhMxEN0jcQfLe9KdMJlhWumMBCFsECANHMBxu9OW/MN20p0LwA1YsWHPuXIOnp1M5gOLLOiFu+wq&#10;v6r3qjy7GbQiW+GDtKam41FJiTDcNtKsa/rl8/LFK0pCZKZhyhpR050I9Gb+/Nmsd5WY2M6qRngC&#10;EBOq3tW0i9FVRRF4JzQLI+uEgbO1XrOIrV8XjWc90LUqJmV5WfTWN85bLkLA6eLgpEdEfw6gbVvJ&#10;xcLyjRYmHlC9UCyCUuikC3Seq21bwePHtg0iElVTMI15RRLYq7QW8xmr1p65TvJjCeycEp5w0kwa&#10;JD1BLVhkZOPlX1Bacm+DbeOIW10ciGRFwGJcPtHmtmNOZC6QOriT6OH/wfIP20+eyKamaLthGg3f&#10;//i+//l7/+sbGV8kfXoXKoTdOgTG4bUdMDV35wGHifbQep3+IETgh7q7k7piiITjcHpZllclXBy+&#10;l+OL6dV11r+4v+58iO+E1SQZNfVoX1aVbd+HiFIQeheSsgWrZLOUSuWNX6/eKE+2DK1e5i9ViSuP&#10;wpQhfU2vp5MpCmGY3xZzA1M7aBDMOud7dCM8BC7z9y/gVNiChe5QQEZIYazSMgqfrU6w5q1pSNw5&#10;6GzwvGgqRouGEiXwGpOVIyOT6pxIsFMGJFOPDr1IVhxWA2CSubLNDn3rMeGg93XDPHJunJfrDgLn&#10;PubLGK+s1fEppPl9uM8p7p///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0faK2AAAAAkBAAAP&#10;AAAAAAAAAAEAIAAAACIAAABkcnMvZG93bnJldi54bWxQSwECFAAUAAAACACHTuJAeFz14BgCAABG&#10;BAAADgAAAAAAAAABACAAAAAnAQAAZHJzL2Uyb0RvYy54bWxQSwUGAAAAAAYABgBZAQAAsQUAAAAA&#10;">
                <v:fill on="t" focussize="0,0"/>
                <v:stroke color="#000000" joinstyle="miter"/>
                <v:imagedata o:title=""/>
                <o:lock v:ext="edit" aspectratio="f"/>
                <v:textbox>
                  <w:txbxContent>
                    <w:p>
                      <w:pPr>
                        <w:spacing w:after="0" w:line="240" w:lineRule="exact"/>
                        <w:rPr>
                          <w:rFonts w:hint="eastAsia" w:ascii="楷体_GB2312" w:hAnsi="黑体" w:eastAsia="楷体_GB2312" w:cs="仿宋_GB2312"/>
                          <w:b/>
                          <w:bCs/>
                          <w:sz w:val="21"/>
                          <w:szCs w:val="21"/>
                        </w:rPr>
                      </w:pPr>
                      <w:r>
                        <w:rPr>
                          <w:rFonts w:hint="eastAsia" w:ascii="楷体_GB2312" w:hAnsi="黑体" w:eastAsia="楷体_GB2312" w:cs="仿宋_GB2312"/>
                          <w:b/>
                          <w:bCs/>
                          <w:sz w:val="21"/>
                          <w:szCs w:val="21"/>
                        </w:rPr>
                        <w:t>专栏1</w:t>
                      </w:r>
                    </w:p>
                    <w:p>
                      <w:pPr>
                        <w:spacing w:after="0" w:line="240" w:lineRule="exact"/>
                        <w:jc w:val="center"/>
                        <w:rPr>
                          <w:rFonts w:ascii="黑体" w:hAnsi="黑体" w:eastAsia="黑体" w:cs="仿宋"/>
                          <w:sz w:val="21"/>
                          <w:szCs w:val="21"/>
                        </w:rPr>
                      </w:pPr>
                      <w:r>
                        <w:rPr>
                          <w:rFonts w:hint="eastAsia" w:ascii="黑体" w:hAnsi="黑体" w:eastAsia="黑体" w:cs="仿宋_GB2312"/>
                          <w:b/>
                          <w:bCs/>
                          <w:sz w:val="21"/>
                          <w:szCs w:val="21"/>
                        </w:rPr>
                        <w:t>四大主体功能区布局</w:t>
                      </w:r>
                    </w:p>
                    <w:p>
                      <w:pPr>
                        <w:spacing w:after="0" w:line="240" w:lineRule="exact"/>
                        <w:ind w:firstLine="413" w:firstLineChars="196"/>
                        <w:jc w:val="both"/>
                        <w:rPr>
                          <w:rFonts w:ascii="楷体_GB2312" w:hAnsi="仿宋" w:eastAsia="楷体_GB2312"/>
                          <w:color w:val="000000"/>
                          <w:sz w:val="21"/>
                          <w:szCs w:val="21"/>
                        </w:rPr>
                      </w:pPr>
                      <w:r>
                        <w:rPr>
                          <w:rFonts w:hint="eastAsia" w:ascii="楷体_GB2312" w:hAnsi="仿宋" w:eastAsia="楷体_GB2312"/>
                          <w:b/>
                          <w:color w:val="000000"/>
                          <w:sz w:val="21"/>
                          <w:szCs w:val="21"/>
                        </w:rPr>
                        <w:t>优化开发区：</w:t>
                      </w:r>
                      <w:r>
                        <w:rPr>
                          <w:rFonts w:hint="eastAsia" w:ascii="楷体_GB2312" w:hAnsi="仿宋" w:eastAsia="楷体_GB2312"/>
                          <w:sz w:val="21"/>
                          <w:szCs w:val="21"/>
                        </w:rPr>
                        <w:t>主要包括国家层面的重点开发区金台区（包括蟠龙新区）、渭滨区、陈仓区（高新区按照行政区划包含在三区之中）。</w:t>
                      </w:r>
                      <w:r>
                        <w:rPr>
                          <w:rFonts w:hint="eastAsia" w:ascii="楷体_GB2312" w:hAnsi="仿宋" w:eastAsia="楷体_GB2312"/>
                          <w:color w:val="000000"/>
                          <w:sz w:val="21"/>
                          <w:szCs w:val="21"/>
                        </w:rPr>
                        <w:t>国土开发密度已经较高、资源环境承载能力开始减弱，</w:t>
                      </w:r>
                      <w:r>
                        <w:rPr>
                          <w:rFonts w:hint="eastAsia" w:ascii="楷体_GB2312" w:hAnsi="仿宋" w:eastAsia="楷体_GB2312"/>
                          <w:sz w:val="21"/>
                          <w:szCs w:val="21"/>
                        </w:rPr>
                        <w:t>率先加快转变经济发展方式，调整优化经济结构，提升经济社会发展的层次和区域整体竞争力。</w:t>
                      </w:r>
                      <w:r>
                        <w:rPr>
                          <w:rFonts w:hint="eastAsia" w:ascii="楷体_GB2312" w:hAnsi="仿宋" w:eastAsia="楷体_GB2312"/>
                          <w:color w:val="000000"/>
                          <w:sz w:val="21"/>
                          <w:szCs w:val="21"/>
                        </w:rPr>
                        <w:t>成为</w:t>
                      </w:r>
                      <w:r>
                        <w:rPr>
                          <w:rFonts w:hint="eastAsia" w:ascii="楷体_GB2312" w:hAnsi="仿宋" w:eastAsia="楷体_GB2312"/>
                          <w:sz w:val="21"/>
                          <w:szCs w:val="21"/>
                        </w:rPr>
                        <w:t>提升全市竞争力的重要区域、带动全市经济社会发展的龙头、全市重要的创新区域、人口和经济密集区。</w:t>
                      </w:r>
                    </w:p>
                    <w:p>
                      <w:pPr>
                        <w:spacing w:after="0" w:line="240" w:lineRule="exact"/>
                        <w:ind w:firstLine="422" w:firstLineChars="200"/>
                        <w:jc w:val="both"/>
                        <w:rPr>
                          <w:rFonts w:ascii="楷体_GB2312" w:hAnsi="仿宋" w:eastAsia="楷体_GB2312"/>
                          <w:color w:val="000000"/>
                          <w:sz w:val="21"/>
                          <w:szCs w:val="21"/>
                        </w:rPr>
                      </w:pPr>
                      <w:r>
                        <w:rPr>
                          <w:rFonts w:hint="eastAsia" w:ascii="楷体_GB2312" w:hAnsi="仿宋" w:eastAsia="楷体_GB2312"/>
                          <w:b/>
                          <w:color w:val="000000"/>
                          <w:sz w:val="21"/>
                          <w:szCs w:val="21"/>
                        </w:rPr>
                        <w:t>重点开发区</w:t>
                      </w:r>
                      <w:r>
                        <w:rPr>
                          <w:rFonts w:ascii="楷体_GB2312" w:hAnsi="仿宋" w:eastAsia="楷体_GB2312"/>
                          <w:b/>
                          <w:color w:val="000000"/>
                          <w:sz w:val="21"/>
                          <w:szCs w:val="21"/>
                        </w:rPr>
                        <w:t>:</w:t>
                      </w:r>
                      <w:r>
                        <w:rPr>
                          <w:rFonts w:hint="eastAsia" w:ascii="楷体_GB2312" w:hAnsi="仿宋" w:eastAsia="楷体_GB2312"/>
                          <w:sz w:val="21"/>
                          <w:szCs w:val="21"/>
                        </w:rPr>
                        <w:t>主要包括凤翔县、岐山县、眉县、扶风县的国家层面的重点开发区域（</w:t>
                      </w:r>
                      <w:r>
                        <w:rPr>
                          <w:rFonts w:ascii="楷体_GB2312" w:hAnsi="仿宋" w:eastAsia="楷体_GB2312"/>
                          <w:sz w:val="21"/>
                          <w:szCs w:val="21"/>
                        </w:rPr>
                        <w:t>15</w:t>
                      </w:r>
                      <w:r>
                        <w:rPr>
                          <w:rFonts w:hint="eastAsia" w:ascii="楷体_GB2312" w:hAnsi="仿宋" w:eastAsia="楷体_GB2312"/>
                          <w:sz w:val="21"/>
                          <w:szCs w:val="21"/>
                        </w:rPr>
                        <w:t>个重点开发城镇），是全市重要的人口和经济密集区。要完善提升重点镇城镇功能，有序拓展发展空间，壮大渭河两岸主轴，培育关中环线、西宝南线副轴，提升交通通道综合能力，促进人口合理集聚，强化产业配套功能，形成分工协作、优势互补、集约高效的城镇群和产业带。</w:t>
                      </w:r>
                    </w:p>
                    <w:p>
                      <w:pPr>
                        <w:spacing w:after="0" w:line="240" w:lineRule="exact"/>
                        <w:ind w:firstLine="422" w:firstLineChars="200"/>
                        <w:jc w:val="both"/>
                        <w:rPr>
                          <w:rFonts w:ascii="楷体_GB2312" w:hAnsi="仿宋" w:eastAsia="楷体_GB2312"/>
                          <w:sz w:val="21"/>
                          <w:szCs w:val="21"/>
                        </w:rPr>
                      </w:pPr>
                      <w:r>
                        <w:rPr>
                          <w:rFonts w:hint="eastAsia" w:ascii="楷体_GB2312" w:hAnsi="仿宋" w:eastAsia="楷体_GB2312"/>
                          <w:b/>
                          <w:color w:val="000000"/>
                          <w:sz w:val="21"/>
                          <w:szCs w:val="21"/>
                        </w:rPr>
                        <w:t>限制开发区</w:t>
                      </w:r>
                      <w:r>
                        <w:rPr>
                          <w:rFonts w:ascii="楷体_GB2312" w:hAnsi="仿宋" w:eastAsia="楷体_GB2312"/>
                          <w:b/>
                          <w:color w:val="000000"/>
                          <w:sz w:val="21"/>
                          <w:szCs w:val="21"/>
                        </w:rPr>
                        <w:t>:</w:t>
                      </w:r>
                      <w:r>
                        <w:rPr>
                          <w:rFonts w:hint="eastAsia" w:ascii="楷体_GB2312" w:hAnsi="仿宋" w:eastAsia="楷体_GB2312"/>
                          <w:sz w:val="21"/>
                          <w:szCs w:val="21"/>
                        </w:rPr>
                        <w:t>主要包括省级限制开发区（农产品主产区）的陇县、千阳县、麟游县，国家生态功能区的凤县、太白县以及陈仓区的西山地区，要提升生态服务功能，提高农业综合生产能力，加快现代农业发展，保障农产品供给，大力发展循环经济，限制进行大规模高强度工业化城镇化开发，因地制宜发展不影响生态系统功能的绿色产业和服务业，按照园区化承载、集约化发展、据点式开发的原则，科学发展能源资源开发等环境友好型工业。</w:t>
                      </w:r>
                    </w:p>
                    <w:p>
                      <w:pPr>
                        <w:spacing w:after="0" w:line="240" w:lineRule="exact"/>
                        <w:ind w:firstLine="413" w:firstLineChars="196"/>
                        <w:jc w:val="both"/>
                      </w:pPr>
                      <w:r>
                        <w:rPr>
                          <w:rFonts w:hint="eastAsia" w:ascii="楷体_GB2312" w:hAnsi="仿宋" w:eastAsia="楷体_GB2312"/>
                          <w:b/>
                          <w:sz w:val="21"/>
                          <w:szCs w:val="21"/>
                        </w:rPr>
                        <w:t>禁止开发区</w:t>
                      </w:r>
                      <w:r>
                        <w:rPr>
                          <w:rFonts w:hint="eastAsia" w:ascii="楷体_GB2312" w:hAnsi="仿宋" w:eastAsia="楷体_GB2312"/>
                          <w:sz w:val="21"/>
                          <w:szCs w:val="21"/>
                        </w:rPr>
                        <w:t>：主要包括市级以上自然保护区、森林公园、风景名胜区、水产种质资源保护区、自然文化遗产、重要湿地和重要水源地。禁止进行工业化城镇化开发，依据法律法规和相关规划实施强制性保护，严格控制人为因素对自然生态和文化自然遗产原真性、完整性的干扰，严禁不符合主体功能的开发活动，实现环境污染“零排放”，提高生态环境质量。</w:t>
                      </w:r>
                    </w:p>
                  </w:txbxContent>
                </v:textbox>
                <w10:wrap type="square"/>
              </v:shape>
            </w:pict>
          </mc:Fallback>
        </mc:AlternateContent>
      </w:r>
      <w:r>
        <w:rPr>
          <w:rFonts w:hint="eastAsia" w:ascii="仿宋_GB2312" w:hAnsi="宋体" w:eastAsia="仿宋_GB2312"/>
          <w:sz w:val="32"/>
          <w:szCs w:val="32"/>
        </w:rPr>
        <w:t>按照国家和</w:t>
      </w:r>
      <w:r>
        <w:rPr>
          <w:rFonts w:ascii="仿宋_GB2312" w:hAnsi="宋体" w:eastAsia="仿宋_GB2312"/>
          <w:sz w:val="32"/>
          <w:szCs w:val="32"/>
        </w:rPr>
        <w:t>省上</w:t>
      </w:r>
      <w:r>
        <w:rPr>
          <w:rFonts w:hint="eastAsia" w:ascii="仿宋_GB2312" w:hAnsi="宋体" w:eastAsia="仿宋_GB2312"/>
          <w:sz w:val="32"/>
          <w:szCs w:val="32"/>
        </w:rPr>
        <w:t>主体功能区规划对我市的功能定位，结合我市国土空间开发现状，将全市国土空间规划为优化开发区、重点开发区、限制开发区、禁止开发区四个功能区，引导产业合理布局和人口科学集聚。</w:t>
      </w:r>
    </w:p>
    <w:p>
      <w:pPr>
        <w:spacing w:after="0" w:line="560" w:lineRule="exact"/>
        <w:jc w:val="center"/>
        <w:rPr>
          <w:rFonts w:ascii="黑体" w:hAnsi="黑体" w:eastAsia="黑体"/>
          <w:spacing w:val="-20"/>
          <w:sz w:val="32"/>
          <w:szCs w:val="32"/>
        </w:rPr>
        <w:sectPr>
          <w:pgSz w:w="11906" w:h="16838"/>
          <w:pgMar w:top="1418" w:right="1588" w:bottom="1418" w:left="1588" w:header="851" w:footer="397" w:gutter="0"/>
          <w:cols w:space="425" w:num="1"/>
          <w:docGrid w:type="lines" w:linePitch="312" w:charSpace="0"/>
        </w:sectPr>
      </w:pPr>
    </w:p>
    <w:p>
      <w:pPr>
        <w:sectPr>
          <w:pgSz w:w="11906" w:h="16838"/>
          <w:pgMar w:top="1418" w:right="1588" w:bottom="1418" w:left="1588" w:header="851" w:footer="397" w:gutter="0"/>
          <w:cols w:space="425" w:num="1"/>
          <w:docGrid w:type="lines" w:linePitch="312" w:charSpace="0"/>
        </w:sectPr>
      </w:pPr>
      <w:r>
        <w:rPr>
          <w:lang/>
        </w:rPr>
        <w:drawing>
          <wp:anchor distT="0" distB="0" distL="114300" distR="114300" simplePos="0" relativeHeight="251716608" behindDoc="0" locked="0" layoutInCell="1" allowOverlap="1">
            <wp:simplePos x="0" y="0"/>
            <wp:positionH relativeFrom="column">
              <wp:posOffset>0</wp:posOffset>
            </wp:positionH>
            <wp:positionV relativeFrom="paragraph">
              <wp:posOffset>5715</wp:posOffset>
            </wp:positionV>
            <wp:extent cx="5554980" cy="8816340"/>
            <wp:effectExtent l="0" t="0" r="7620" b="3810"/>
            <wp:wrapSquare wrapText="bothSides"/>
            <wp:docPr id="57" name="图片 1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3" descr="8"/>
                    <pic:cNvPicPr>
                      <a:picLocks noChangeAspect="1"/>
                    </pic:cNvPicPr>
                  </pic:nvPicPr>
                  <pic:blipFill>
                    <a:blip r:embed="rId17"/>
                    <a:stretch>
                      <a:fillRect/>
                    </a:stretch>
                  </pic:blipFill>
                  <pic:spPr>
                    <a:xfrm>
                      <a:off x="0" y="0"/>
                      <a:ext cx="5554980" cy="8816340"/>
                    </a:xfrm>
                    <a:prstGeom prst="rect">
                      <a:avLst/>
                    </a:prstGeom>
                    <a:noFill/>
                    <a:ln>
                      <a:noFill/>
                    </a:ln>
                  </pic:spPr>
                </pic:pic>
              </a:graphicData>
            </a:graphic>
          </wp:anchor>
        </w:drawing>
      </w:r>
    </w:p>
    <w:p>
      <w:pPr>
        <w:spacing w:after="0" w:line="560" w:lineRule="exact"/>
        <w:jc w:val="center"/>
        <w:rPr>
          <w:rFonts w:hint="eastAsia" w:ascii="黑体" w:hAnsi="黑体" w:eastAsia="黑体" w:cs="仿宋"/>
          <w:sz w:val="32"/>
          <w:szCs w:val="32"/>
        </w:rPr>
      </w:pPr>
      <w:r>
        <w:rPr>
          <w:rFonts w:hint="eastAsia" w:ascii="黑体" w:hAnsi="黑体" w:eastAsia="黑体"/>
          <w:sz w:val="32"/>
          <w:szCs w:val="32"/>
        </w:rPr>
        <w:t>第五章   产业发展空间布局</w:t>
      </w:r>
    </w:p>
    <w:p>
      <w:pPr>
        <w:spacing w:after="0" w:line="600" w:lineRule="exact"/>
        <w:ind w:firstLine="440" w:firstLineChars="200"/>
        <w:jc w:val="both"/>
        <w:rPr>
          <w:rFonts w:hint="eastAsia" w:ascii="仿宋_GB2312" w:hAnsi="仿宋" w:eastAsia="仿宋_GB2312" w:cs="仿宋"/>
          <w:color w:val="FFFFFF"/>
        </w:rPr>
      </w:pPr>
      <w:r>
        <w:rPr>
          <w:rFonts w:hint="eastAsia" w:ascii="仿宋_GB2312" w:eastAsia="仿宋_GB2312"/>
          <w:color w:val="FFFFFF"/>
          <w:lang/>
        </w:rPr>
        <mc:AlternateContent>
          <mc:Choice Requires="wps">
            <w:drawing>
              <wp:anchor distT="0" distB="0" distL="114300" distR="114300" simplePos="0" relativeHeight="251667456" behindDoc="1" locked="0" layoutInCell="1" allowOverlap="0">
                <wp:simplePos x="0" y="0"/>
                <wp:positionH relativeFrom="column">
                  <wp:posOffset>0</wp:posOffset>
                </wp:positionH>
                <wp:positionV relativeFrom="paragraph">
                  <wp:posOffset>1630680</wp:posOffset>
                </wp:positionV>
                <wp:extent cx="5600700" cy="4578350"/>
                <wp:effectExtent l="4445" t="5080" r="14605" b="7620"/>
                <wp:wrapSquare wrapText="bothSides"/>
                <wp:docPr id="9" name="文本框 15"/>
                <wp:cNvGraphicFramePr/>
                <a:graphic xmlns:a="http://schemas.openxmlformats.org/drawingml/2006/main">
                  <a:graphicData uri="http://schemas.microsoft.com/office/word/2010/wordprocessingShape">
                    <wps:wsp>
                      <wps:cNvSpPr txBox="1"/>
                      <wps:spPr>
                        <a:xfrm>
                          <a:off x="0" y="0"/>
                          <a:ext cx="5600700" cy="4578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cs="仿宋_GB2312"/>
                                <w:b/>
                                <w:bCs/>
                                <w:spacing w:val="-20"/>
                                <w:sz w:val="21"/>
                                <w:szCs w:val="21"/>
                              </w:rPr>
                            </w:pPr>
                            <w:r>
                              <w:rPr>
                                <w:rFonts w:hint="eastAsia" w:ascii="楷体_GB2312" w:hAnsi="黑体" w:eastAsia="楷体_GB2312" w:cs="仿宋_GB2312"/>
                                <w:b/>
                                <w:bCs/>
                                <w:sz w:val="21"/>
                                <w:szCs w:val="21"/>
                              </w:rPr>
                              <w:t>专栏2</w:t>
                            </w:r>
                          </w:p>
                          <w:p>
                            <w:pPr>
                              <w:spacing w:after="0" w:line="320" w:lineRule="exact"/>
                              <w:jc w:val="center"/>
                              <w:rPr>
                                <w:rFonts w:hint="eastAsia" w:ascii="楷体_GB2312" w:hAnsi="仿宋" w:eastAsia="楷体_GB2312" w:cs="仿宋"/>
                                <w:b/>
                                <w:sz w:val="21"/>
                                <w:szCs w:val="21"/>
                              </w:rPr>
                            </w:pPr>
                            <w:r>
                              <w:rPr>
                                <w:rFonts w:hint="eastAsia" w:ascii="黑体" w:hAnsi="黑体" w:eastAsia="黑体" w:cs="仿宋_GB2312"/>
                                <w:b/>
                                <w:bCs/>
                                <w:sz w:val="21"/>
                                <w:szCs w:val="21"/>
                              </w:rPr>
                              <w:t>四大经济带布局</w:t>
                            </w:r>
                          </w:p>
                          <w:p>
                            <w:pPr>
                              <w:spacing w:after="0" w:line="320" w:lineRule="exact"/>
                              <w:ind w:firstLine="413" w:firstLineChars="196"/>
                              <w:jc w:val="both"/>
                              <w:rPr>
                                <w:rFonts w:ascii="楷体_GB2312" w:hAnsi="仿宋" w:eastAsia="楷体_GB2312" w:cs="仿宋"/>
                                <w:sz w:val="21"/>
                                <w:szCs w:val="21"/>
                              </w:rPr>
                            </w:pPr>
                            <w:r>
                              <w:rPr>
                                <w:rFonts w:hint="eastAsia" w:ascii="楷体_GB2312" w:hAnsi="仿宋" w:eastAsia="楷体_GB2312" w:cs="仿宋"/>
                                <w:b/>
                                <w:sz w:val="21"/>
                                <w:szCs w:val="21"/>
                              </w:rPr>
                              <w:t>渭河高端产业创新发展带：</w:t>
                            </w:r>
                            <w:r>
                              <w:rPr>
                                <w:rFonts w:hint="eastAsia" w:ascii="楷体_GB2312" w:hAnsi="仿宋" w:eastAsia="楷体_GB2312" w:cs="仿宋"/>
                                <w:sz w:val="21"/>
                                <w:szCs w:val="21"/>
                              </w:rPr>
                              <w:t>该区域包括市区至绛帐段的渭河两岸。产业基础雄厚，交通比较发达，生产要素成本较低，是宝鸡发展的“黄金地带”。根据发展基础，区别发展重点，完善城市功能，优化开发区把提高增长质量和效益放在首位，实施城区国际化、产业高端化、城乡一体化战略，通过产业结构转型与升级，实现区域集约化发展，使其成为我国西部地区最具竞争力的产业集聚带之一、现代装备制造业基地和创新发展的示范区、内陆开放发展的先导区。</w:t>
                            </w:r>
                          </w:p>
                          <w:p>
                            <w:pPr>
                              <w:spacing w:after="0" w:line="320" w:lineRule="exact"/>
                              <w:ind w:firstLine="413" w:firstLineChars="196"/>
                              <w:jc w:val="both"/>
                              <w:rPr>
                                <w:rFonts w:ascii="楷体_GB2312" w:hAnsi="仿宋" w:eastAsia="楷体_GB2312" w:cs="仿宋"/>
                                <w:sz w:val="21"/>
                                <w:szCs w:val="21"/>
                              </w:rPr>
                            </w:pPr>
                            <w:r>
                              <w:rPr>
                                <w:rFonts w:hint="eastAsia" w:ascii="楷体_GB2312" w:hAnsi="仿宋" w:eastAsia="楷体_GB2312" w:cs="仿宋"/>
                                <w:b/>
                                <w:sz w:val="21"/>
                                <w:szCs w:val="21"/>
                              </w:rPr>
                              <w:t>渭北现代产业融合发展带：</w:t>
                            </w:r>
                            <w:r>
                              <w:rPr>
                                <w:rFonts w:hint="eastAsia" w:ascii="楷体_GB2312" w:hAnsi="仿宋" w:eastAsia="楷体_GB2312" w:cs="仿宋"/>
                                <w:sz w:val="21"/>
                                <w:szCs w:val="21"/>
                              </w:rPr>
                              <w:t>该区域主要包括凤翔、岐山、眉县、扶风等县渭北台塬区域。具有一定的产业发展基础和空间，要统筹谋划基础设施，融合发展区域内能源化工、现代农业、高端食品、冶金建材等优势产业，以园区为依托，加快建设产业集聚区，打造未来宝鸡现代产业承接集聚基地。</w:t>
                            </w:r>
                          </w:p>
                          <w:p>
                            <w:pPr>
                              <w:spacing w:after="0" w:line="320" w:lineRule="exact"/>
                              <w:ind w:firstLine="413" w:firstLineChars="196"/>
                              <w:jc w:val="both"/>
                              <w:rPr>
                                <w:rFonts w:hint="eastAsia" w:ascii="楷体_GB2312" w:hAnsi="仿宋" w:eastAsia="楷体_GB2312" w:cs="仿宋"/>
                                <w:b/>
                                <w:color w:val="000000"/>
                                <w:sz w:val="21"/>
                                <w:szCs w:val="21"/>
                              </w:rPr>
                            </w:pPr>
                            <w:r>
                              <w:rPr>
                                <w:rFonts w:hint="eastAsia" w:ascii="楷体_GB2312" w:hAnsi="仿宋" w:eastAsia="楷体_GB2312" w:cs="仿宋"/>
                                <w:b/>
                                <w:sz w:val="21"/>
                                <w:szCs w:val="21"/>
                              </w:rPr>
                              <w:t>麟陇新型能源开发带：</w:t>
                            </w:r>
                            <w:r>
                              <w:rPr>
                                <w:rFonts w:hint="eastAsia" w:ascii="楷体_GB2312" w:hAnsi="仿宋" w:eastAsia="楷体_GB2312" w:cs="仿宋"/>
                                <w:sz w:val="21"/>
                                <w:szCs w:val="21"/>
                              </w:rPr>
                              <w:t>该区域位于永陇矿区（永寿至陇县），为国家</w:t>
                            </w:r>
                            <w:r>
                              <w:rPr>
                                <w:rFonts w:ascii="楷体_GB2312" w:hAnsi="仿宋" w:eastAsia="楷体_GB2312" w:cs="仿宋"/>
                                <w:sz w:val="21"/>
                                <w:szCs w:val="21"/>
                              </w:rPr>
                              <w:t>14</w:t>
                            </w:r>
                            <w:r>
                              <w:rPr>
                                <w:rFonts w:hint="eastAsia" w:ascii="楷体_GB2312" w:hAnsi="仿宋" w:eastAsia="楷体_GB2312" w:cs="仿宋"/>
                                <w:sz w:val="21"/>
                                <w:szCs w:val="21"/>
                              </w:rPr>
                              <w:t>个大型煤炭基地之一，在我市主要包括麟游、凤翔（北部）、千阳（北部）、陇县地区。按照煤电一体化、煤化工一体化的原则，科学、合理、有序地开发煤炭资源，延长煤炭开发加工产业链，力争形成产能</w:t>
                            </w:r>
                            <w:r>
                              <w:rPr>
                                <w:rFonts w:ascii="楷体_GB2312" w:hAnsi="仿宋" w:eastAsia="楷体_GB2312" w:cs="仿宋"/>
                                <w:sz w:val="21"/>
                                <w:szCs w:val="21"/>
                              </w:rPr>
                              <w:t>2500</w:t>
                            </w:r>
                            <w:r>
                              <w:rPr>
                                <w:rFonts w:hint="eastAsia" w:ascii="楷体_GB2312" w:hAnsi="仿宋" w:eastAsia="楷体_GB2312" w:cs="仿宋"/>
                                <w:sz w:val="21"/>
                                <w:szCs w:val="21"/>
                              </w:rPr>
                              <w:t>万吨；依托地域优势，在千阳、陇县等地大力发展太阳能光伏、风能等新能源产业。将该区域打造为我市经济跨越发展的增长极。</w:t>
                            </w:r>
                          </w:p>
                          <w:p>
                            <w:pPr>
                              <w:spacing w:after="0" w:line="320" w:lineRule="exact"/>
                              <w:ind w:firstLine="413" w:firstLineChars="196"/>
                              <w:jc w:val="both"/>
                              <w:rPr>
                                <w:rFonts w:hint="eastAsia" w:ascii="楷体_GB2312" w:eastAsia="楷体_GB2312"/>
                              </w:rPr>
                            </w:pPr>
                            <w:r>
                              <w:rPr>
                                <w:rFonts w:hint="eastAsia" w:ascii="楷体_GB2312" w:hAnsi="仿宋" w:eastAsia="楷体_GB2312" w:cs="仿宋"/>
                                <w:b/>
                                <w:sz w:val="21"/>
                                <w:szCs w:val="21"/>
                              </w:rPr>
                              <w:t>秦岭生态休闲旅游带：</w:t>
                            </w:r>
                            <w:r>
                              <w:rPr>
                                <w:rFonts w:hint="eastAsia" w:ascii="楷体_GB2312" w:hAnsi="仿宋" w:eastAsia="楷体_GB2312" w:cs="仿宋"/>
                                <w:sz w:val="21"/>
                                <w:szCs w:val="21"/>
                              </w:rPr>
                              <w:t>该区域主要包括太白县、凤县、陈仓区西部和秦岭北麓地带，大部分地区处于北亚热带和暖温带的分界线以及长江水系和黄河水系的分水岭上。适宜山区林业、优质杂粮和特色果品、蔬菜生产、旅游休闲产业的发展。大力提升生态服务功能，提高农业综合生产能力，保障农产品供给，因地制宜的发展不影响生态系统功能的绿色产业和服务业，形成文化、旅游、产业、生态四位一体的城市特色区域带。</w:t>
                            </w:r>
                          </w:p>
                        </w:txbxContent>
                      </wps:txbx>
                      <wps:bodyPr wrap="square" upright="1"/>
                    </wps:wsp>
                  </a:graphicData>
                </a:graphic>
              </wp:anchor>
            </w:drawing>
          </mc:Choice>
          <mc:Fallback>
            <w:pict>
              <v:shape id="文本框 15" o:spid="_x0000_s1026" o:spt="202" type="#_x0000_t202" style="position:absolute;left:0pt;margin-left:0pt;margin-top:128.4pt;height:360.5pt;width:441pt;mso-wrap-distance-bottom:0pt;mso-wrap-distance-left:9pt;mso-wrap-distance-right:9pt;mso-wrap-distance-top:0pt;z-index:-251649024;mso-width-relative:page;mso-height-relative:page;" fillcolor="#FFFFFF" filled="t" stroked="t" coordsize="21600,21600" wrapcoords="-37 -58 -37 21542 21637 21542 21637 -58 -37 -58" o:allowoverlap="f" o:gfxdata="UEsDBAoAAAAAAIdO4kAAAAAAAAAAAAAAAAAEAAAAZHJzL1BLAwQUAAAACACHTuJAQ9u0oNcAAAAI&#10;AQAADwAAAGRycy9kb3ducmV2LnhtbE2PwU7DMAyG70i8Q2QkLoilK9BmpekOSCC4wUBwzRqvrWic&#10;kmTdeHvMCY72b/3+vnp9dKOYMcTBk4blIgOB1Ho7UKfh7fX+UoGIyZA1oyfU8I0R1s3pSW0q6w/0&#10;gvMmdYJLKFZGQ5/SVEkZ2x6diQs/IXG288GZxGPopA3mwOVulHmWFdKZgfhDbya867H93OydBnX9&#10;OH/Ep6vn97bYjat0Uc4PX0Hr87Nldgsi4TH9HcMvPqNDw0xbvycbxaiBRZKG/KZgAY6Vynmz1bAq&#10;SwWyqeV/geYHUEsDBBQAAAAIAIdO4kDJwy5vGAIAAEYEAAAOAAAAZHJzL2Uyb0RvYy54bWytU0uS&#10;0zAQ3VPFHVTaEzsBzwyuOFMFIWwooGrgAIot26rSD0mJnQvADVixYT/nyjl4UjKZDyyywAu5pW69&#10;7ve6Nb8elSRb7rwwuqLTSU4J17VphO4q+vXL6sUVJT4w3TBpNK/ojnt6vXj+bD7Yks9Mb2TDHQGI&#10;9uVgK9qHYMss83XPFfMTY7mGszVOsYCt67LGsQHoSmazPL/IBuMa60zNvcfp8uCkR0R3DqBpW1Hz&#10;pak3iutwQHVcsgBKvhfW00Wqtm15HT61reeByIqCaUgrksBexzVbzFnZOWZ7UR9LYOeU8ISTYkIj&#10;6QlqyQIjGyf+glKidsabNkxqo7IDkaQIWEzzJ9rc9MzyxAVSe3sS3f8/2Prj9rMjoqnoa0o0U2j4&#10;/ueP/a/b/e/vZFpEfQbrS4TdWASG8Y0ZMTV35x6HkfbYOhX/IETgh7q7k7p8DKTGYXGR55c5XDV8&#10;r4rLq5dF0j+7v26dD++5USQaFXVoX1KVbT/4gFIQehcSs3kjRbMSUqaN69ZvpSNbhlav0herxJVH&#10;YVKTAWSLWYFCGOa3xdzAVBYaeN2lfI9u+IfAefr+BRwLWzLfHwpICDGMlUoE7pLVc9a80w0JOwud&#10;NZ4XjcUo3lAiOV5jtFJkYEKeEwl2UoNk7NGhF9EK43oETDTXptmhbwMmHPS+bZhDzo11oushcOpj&#10;uozxSlodn0Kc34f7lOL++S/+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btKDXAAAACAEAAA8A&#10;AAAAAAAAAQAgAAAAIgAAAGRycy9kb3ducmV2LnhtbFBLAQIUABQAAAAIAIdO4kDJwy5vGAIAAEYE&#10;AAAOAAAAAAAAAAEAIAAAACYBAABkcnMvZTJvRG9jLnhtbFBLBQYAAAAABgAGAFkBAACwBQAAAAA=&#10;">
                <v:fill on="t" focussize="0,0"/>
                <v:stroke color="#000000" joinstyle="miter"/>
                <v:imagedata o:title=""/>
                <o:lock v:ext="edit" aspectratio="f"/>
                <v:textbox>
                  <w:txbxContent>
                    <w:p>
                      <w:pPr>
                        <w:spacing w:after="0" w:line="300" w:lineRule="exact"/>
                        <w:rPr>
                          <w:rFonts w:hint="eastAsia" w:ascii="黑体" w:hAnsi="黑体" w:eastAsia="黑体" w:cs="仿宋_GB2312"/>
                          <w:b/>
                          <w:bCs/>
                          <w:spacing w:val="-20"/>
                          <w:sz w:val="21"/>
                          <w:szCs w:val="21"/>
                        </w:rPr>
                      </w:pPr>
                      <w:r>
                        <w:rPr>
                          <w:rFonts w:hint="eastAsia" w:ascii="楷体_GB2312" w:hAnsi="黑体" w:eastAsia="楷体_GB2312" w:cs="仿宋_GB2312"/>
                          <w:b/>
                          <w:bCs/>
                          <w:sz w:val="21"/>
                          <w:szCs w:val="21"/>
                        </w:rPr>
                        <w:t>专栏2</w:t>
                      </w:r>
                    </w:p>
                    <w:p>
                      <w:pPr>
                        <w:spacing w:after="0" w:line="320" w:lineRule="exact"/>
                        <w:jc w:val="center"/>
                        <w:rPr>
                          <w:rFonts w:hint="eastAsia" w:ascii="楷体_GB2312" w:hAnsi="仿宋" w:eastAsia="楷体_GB2312" w:cs="仿宋"/>
                          <w:b/>
                          <w:sz w:val="21"/>
                          <w:szCs w:val="21"/>
                        </w:rPr>
                      </w:pPr>
                      <w:r>
                        <w:rPr>
                          <w:rFonts w:hint="eastAsia" w:ascii="黑体" w:hAnsi="黑体" w:eastAsia="黑体" w:cs="仿宋_GB2312"/>
                          <w:b/>
                          <w:bCs/>
                          <w:sz w:val="21"/>
                          <w:szCs w:val="21"/>
                        </w:rPr>
                        <w:t>四大经济带布局</w:t>
                      </w:r>
                    </w:p>
                    <w:p>
                      <w:pPr>
                        <w:spacing w:after="0" w:line="320" w:lineRule="exact"/>
                        <w:ind w:firstLine="413" w:firstLineChars="196"/>
                        <w:jc w:val="both"/>
                        <w:rPr>
                          <w:rFonts w:ascii="楷体_GB2312" w:hAnsi="仿宋" w:eastAsia="楷体_GB2312" w:cs="仿宋"/>
                          <w:sz w:val="21"/>
                          <w:szCs w:val="21"/>
                        </w:rPr>
                      </w:pPr>
                      <w:r>
                        <w:rPr>
                          <w:rFonts w:hint="eastAsia" w:ascii="楷体_GB2312" w:hAnsi="仿宋" w:eastAsia="楷体_GB2312" w:cs="仿宋"/>
                          <w:b/>
                          <w:sz w:val="21"/>
                          <w:szCs w:val="21"/>
                        </w:rPr>
                        <w:t>渭河高端产业创新发展带：</w:t>
                      </w:r>
                      <w:r>
                        <w:rPr>
                          <w:rFonts w:hint="eastAsia" w:ascii="楷体_GB2312" w:hAnsi="仿宋" w:eastAsia="楷体_GB2312" w:cs="仿宋"/>
                          <w:sz w:val="21"/>
                          <w:szCs w:val="21"/>
                        </w:rPr>
                        <w:t>该区域包括市区至绛帐段的渭河两岸。产业基础雄厚，交通比较发达，生产要素成本较低，是宝鸡发展的“黄金地带”。根据发展基础，区别发展重点，完善城市功能，优化开发区把提高增长质量和效益放在首位，实施城区国际化、产业高端化、城乡一体化战略，通过产业结构转型与升级，实现区域集约化发展，使其成为我国西部地区最具竞争力的产业集聚带之一、现代装备制造业基地和创新发展的示范区、内陆开放发展的先导区。</w:t>
                      </w:r>
                    </w:p>
                    <w:p>
                      <w:pPr>
                        <w:spacing w:after="0" w:line="320" w:lineRule="exact"/>
                        <w:ind w:firstLine="413" w:firstLineChars="196"/>
                        <w:jc w:val="both"/>
                        <w:rPr>
                          <w:rFonts w:ascii="楷体_GB2312" w:hAnsi="仿宋" w:eastAsia="楷体_GB2312" w:cs="仿宋"/>
                          <w:sz w:val="21"/>
                          <w:szCs w:val="21"/>
                        </w:rPr>
                      </w:pPr>
                      <w:r>
                        <w:rPr>
                          <w:rFonts w:hint="eastAsia" w:ascii="楷体_GB2312" w:hAnsi="仿宋" w:eastAsia="楷体_GB2312" w:cs="仿宋"/>
                          <w:b/>
                          <w:sz w:val="21"/>
                          <w:szCs w:val="21"/>
                        </w:rPr>
                        <w:t>渭北现代产业融合发展带：</w:t>
                      </w:r>
                      <w:r>
                        <w:rPr>
                          <w:rFonts w:hint="eastAsia" w:ascii="楷体_GB2312" w:hAnsi="仿宋" w:eastAsia="楷体_GB2312" w:cs="仿宋"/>
                          <w:sz w:val="21"/>
                          <w:szCs w:val="21"/>
                        </w:rPr>
                        <w:t>该区域主要包括凤翔、岐山、眉县、扶风等县渭北台塬区域。具有一定的产业发展基础和空间，要统筹谋划基础设施，融合发展区域内能源化工、现代农业、高端食品、冶金建材等优势产业，以园区为依托，加快建设产业集聚区，打造未来宝鸡现代产业承接集聚基地。</w:t>
                      </w:r>
                    </w:p>
                    <w:p>
                      <w:pPr>
                        <w:spacing w:after="0" w:line="320" w:lineRule="exact"/>
                        <w:ind w:firstLine="413" w:firstLineChars="196"/>
                        <w:jc w:val="both"/>
                        <w:rPr>
                          <w:rFonts w:hint="eastAsia" w:ascii="楷体_GB2312" w:hAnsi="仿宋" w:eastAsia="楷体_GB2312" w:cs="仿宋"/>
                          <w:b/>
                          <w:color w:val="000000"/>
                          <w:sz w:val="21"/>
                          <w:szCs w:val="21"/>
                        </w:rPr>
                      </w:pPr>
                      <w:r>
                        <w:rPr>
                          <w:rFonts w:hint="eastAsia" w:ascii="楷体_GB2312" w:hAnsi="仿宋" w:eastAsia="楷体_GB2312" w:cs="仿宋"/>
                          <w:b/>
                          <w:sz w:val="21"/>
                          <w:szCs w:val="21"/>
                        </w:rPr>
                        <w:t>麟陇新型能源开发带：</w:t>
                      </w:r>
                      <w:r>
                        <w:rPr>
                          <w:rFonts w:hint="eastAsia" w:ascii="楷体_GB2312" w:hAnsi="仿宋" w:eastAsia="楷体_GB2312" w:cs="仿宋"/>
                          <w:sz w:val="21"/>
                          <w:szCs w:val="21"/>
                        </w:rPr>
                        <w:t>该区域位于永陇矿区（永寿至陇县），为国家</w:t>
                      </w:r>
                      <w:r>
                        <w:rPr>
                          <w:rFonts w:ascii="楷体_GB2312" w:hAnsi="仿宋" w:eastAsia="楷体_GB2312" w:cs="仿宋"/>
                          <w:sz w:val="21"/>
                          <w:szCs w:val="21"/>
                        </w:rPr>
                        <w:t>14</w:t>
                      </w:r>
                      <w:r>
                        <w:rPr>
                          <w:rFonts w:hint="eastAsia" w:ascii="楷体_GB2312" w:hAnsi="仿宋" w:eastAsia="楷体_GB2312" w:cs="仿宋"/>
                          <w:sz w:val="21"/>
                          <w:szCs w:val="21"/>
                        </w:rPr>
                        <w:t>个大型煤炭基地之一，在我市主要包括麟游、凤翔（北部）、千阳（北部）、陇县地区。按照煤电一体化、煤化工一体化的原则，科学、合理、有序地开发煤炭资源，延长煤炭开发加工产业链，力争形成产能</w:t>
                      </w:r>
                      <w:r>
                        <w:rPr>
                          <w:rFonts w:ascii="楷体_GB2312" w:hAnsi="仿宋" w:eastAsia="楷体_GB2312" w:cs="仿宋"/>
                          <w:sz w:val="21"/>
                          <w:szCs w:val="21"/>
                        </w:rPr>
                        <w:t>2500</w:t>
                      </w:r>
                      <w:r>
                        <w:rPr>
                          <w:rFonts w:hint="eastAsia" w:ascii="楷体_GB2312" w:hAnsi="仿宋" w:eastAsia="楷体_GB2312" w:cs="仿宋"/>
                          <w:sz w:val="21"/>
                          <w:szCs w:val="21"/>
                        </w:rPr>
                        <w:t>万吨；依托地域优势，在千阳、陇县等地大力发展太阳能光伏、风能等新能源产业。将该区域打造为我市经济跨越发展的增长极。</w:t>
                      </w:r>
                    </w:p>
                    <w:p>
                      <w:pPr>
                        <w:spacing w:after="0" w:line="320" w:lineRule="exact"/>
                        <w:ind w:firstLine="413" w:firstLineChars="196"/>
                        <w:jc w:val="both"/>
                        <w:rPr>
                          <w:rFonts w:hint="eastAsia" w:ascii="楷体_GB2312" w:eastAsia="楷体_GB2312"/>
                        </w:rPr>
                      </w:pPr>
                      <w:r>
                        <w:rPr>
                          <w:rFonts w:hint="eastAsia" w:ascii="楷体_GB2312" w:hAnsi="仿宋" w:eastAsia="楷体_GB2312" w:cs="仿宋"/>
                          <w:b/>
                          <w:sz w:val="21"/>
                          <w:szCs w:val="21"/>
                        </w:rPr>
                        <w:t>秦岭生态休闲旅游带：</w:t>
                      </w:r>
                      <w:r>
                        <w:rPr>
                          <w:rFonts w:hint="eastAsia" w:ascii="楷体_GB2312" w:hAnsi="仿宋" w:eastAsia="楷体_GB2312" w:cs="仿宋"/>
                          <w:sz w:val="21"/>
                          <w:szCs w:val="21"/>
                        </w:rPr>
                        <w:t>该区域主要包括太白县、凤县、陈仓区西部和秦岭北麓地带，大部分地区处于北亚热带和暖温带的分界线以及长江水系和黄河水系的分水岭上。适宜山区林业、优质杂粮和特色果品、蔬菜生产、旅游休闲产业的发展。大力提升生态服务功能，提高农业综合生产能力，保障农产品供给，因地制宜的发展不影响生态系统功能的绿色产业和服务业，形成文化、旅游、产业、生态四位一体的城市特色区域带。</w:t>
                      </w:r>
                    </w:p>
                  </w:txbxContent>
                </v:textbox>
                <w10:wrap type="square"/>
              </v:shape>
            </w:pict>
          </mc:Fallback>
        </mc:AlternateContent>
      </w:r>
      <w:r>
        <w:rPr>
          <w:rFonts w:hint="eastAsia" w:ascii="仿宋_GB2312" w:hAnsi="仿宋" w:eastAsia="仿宋_GB2312" w:cs="仿宋"/>
          <w:sz w:val="32"/>
          <w:szCs w:val="32"/>
        </w:rPr>
        <w:t>按照主体功能区规划定位要求，结合现有产业发展基础，全域规划产业开发空间，形成特色鲜明、功能齐备的“四大经济带”，优先突破“核心发展板块”，实现科学布局、突出优势、以点带面、推动全局、错位发展。</w:t>
      </w:r>
    </w:p>
    <w:p>
      <w:pPr>
        <w:spacing w:after="0" w:line="600" w:lineRule="exact"/>
        <w:ind w:firstLine="640" w:firstLineChars="200"/>
        <w:jc w:val="both"/>
        <w:rPr>
          <w:rFonts w:ascii="仿宋_GB2312" w:hAnsi="仿宋" w:eastAsia="仿宋_GB2312" w:cs="仿宋"/>
          <w:sz w:val="32"/>
          <w:szCs w:val="32"/>
        </w:rPr>
        <w:sectPr>
          <w:pgSz w:w="11906" w:h="16838"/>
          <w:pgMar w:top="1418" w:right="1588" w:bottom="1418" w:left="1588" w:header="851" w:footer="397" w:gutter="0"/>
          <w:cols w:space="425" w:num="1"/>
          <w:docGrid w:type="lines" w:linePitch="312" w:charSpace="0"/>
        </w:sectPr>
      </w:pPr>
      <w:r>
        <w:rPr>
          <w:rFonts w:hint="eastAsia" w:ascii="仿宋_GB2312" w:hAnsi="仿宋" w:eastAsia="仿宋_GB2312" w:cs="仿宋"/>
          <w:sz w:val="32"/>
          <w:szCs w:val="32"/>
        </w:rPr>
        <w:t>核心发展板块是各经济带发展的突破点，按照经济总量大、带动能力强、发展前景好、产城</w:t>
      </w:r>
      <w:r>
        <w:rPr>
          <w:rFonts w:hint="eastAsia" w:ascii="仿宋_GB2312" w:hAnsi="仿宋" w:eastAsia="仿宋_GB2312" w:cs="仿宋"/>
          <w:color w:val="000000"/>
          <w:sz w:val="32"/>
          <w:szCs w:val="32"/>
        </w:rPr>
        <w:t>一体化的要求，在经济发展带中率先突破，带动和引领经济带快速形</w:t>
      </w:r>
      <w:r>
        <w:rPr>
          <w:rFonts w:hint="eastAsia" w:ascii="仿宋_GB2312" w:hAnsi="仿宋" w:eastAsia="仿宋_GB2312" w:cs="仿宋"/>
          <w:sz w:val="32"/>
          <w:szCs w:val="32"/>
        </w:rPr>
        <w:t>成和发展。</w:t>
      </w:r>
    </w:p>
    <w:p>
      <w:pPr>
        <w:sectPr>
          <w:pgSz w:w="11906" w:h="16838"/>
          <w:pgMar w:top="1418" w:right="1588" w:bottom="1418" w:left="1588" w:header="851" w:footer="397" w:gutter="0"/>
          <w:cols w:space="425" w:num="1"/>
          <w:docGrid w:type="lines" w:linePitch="312" w:charSpace="0"/>
        </w:sectPr>
      </w:pPr>
      <w:r>
        <w:rPr>
          <w:lang/>
        </w:rPr>
        <w:drawing>
          <wp:anchor distT="0" distB="0" distL="114300" distR="114300" simplePos="0" relativeHeight="251717632" behindDoc="0" locked="0" layoutInCell="1" allowOverlap="1">
            <wp:simplePos x="0" y="0"/>
            <wp:positionH relativeFrom="column">
              <wp:posOffset>0</wp:posOffset>
            </wp:positionH>
            <wp:positionV relativeFrom="paragraph">
              <wp:posOffset>5715</wp:posOffset>
            </wp:positionV>
            <wp:extent cx="5554980" cy="8816340"/>
            <wp:effectExtent l="0" t="0" r="7620" b="3810"/>
            <wp:wrapSquare wrapText="bothSides"/>
            <wp:docPr id="58" name="图片 1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9" descr="5"/>
                    <pic:cNvPicPr>
                      <a:picLocks noChangeAspect="1"/>
                    </pic:cNvPicPr>
                  </pic:nvPicPr>
                  <pic:blipFill>
                    <a:blip r:embed="rId18"/>
                    <a:stretch>
                      <a:fillRect/>
                    </a:stretch>
                  </pic:blipFill>
                  <pic:spPr>
                    <a:xfrm>
                      <a:off x="0" y="0"/>
                      <a:ext cx="5554980" cy="8816340"/>
                    </a:xfrm>
                    <a:prstGeom prst="rect">
                      <a:avLst/>
                    </a:prstGeom>
                    <a:noFill/>
                    <a:ln>
                      <a:noFill/>
                    </a:ln>
                  </pic:spPr>
                </pic:pic>
              </a:graphicData>
            </a:graphic>
          </wp:anchor>
        </w:drawing>
      </w:r>
    </w:p>
    <w:p>
      <w:pPr>
        <w:rPr>
          <w:rFonts w:hint="eastAsia"/>
        </w:rPr>
      </w:pPr>
      <w:r>
        <w:rPr>
          <w:lang/>
        </w:rPr>
        <w:drawing>
          <wp:anchor distT="0" distB="0" distL="114300" distR="114300" simplePos="0" relativeHeight="251701248" behindDoc="0" locked="0" layoutInCell="1" allowOverlap="1">
            <wp:simplePos x="0" y="0"/>
            <wp:positionH relativeFrom="column">
              <wp:posOffset>53340</wp:posOffset>
            </wp:positionH>
            <wp:positionV relativeFrom="paragraph">
              <wp:posOffset>4556760</wp:posOffset>
            </wp:positionV>
            <wp:extent cx="5448300" cy="4259580"/>
            <wp:effectExtent l="57150" t="57150" r="57150" b="64770"/>
            <wp:wrapSquare wrapText="bothSides"/>
            <wp:docPr id="42" name="图片 13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3" descr="13"/>
                    <pic:cNvPicPr>
                      <a:picLocks noChangeAspect="1"/>
                    </pic:cNvPicPr>
                  </pic:nvPicPr>
                  <pic:blipFill>
                    <a:blip r:embed="rId19"/>
                    <a:stretch>
                      <a:fillRect/>
                    </a:stretch>
                  </pic:blipFill>
                  <pic:spPr>
                    <a:xfrm>
                      <a:off x="0" y="0"/>
                      <a:ext cx="5448300" cy="4259580"/>
                    </a:xfrm>
                    <a:prstGeom prst="rect">
                      <a:avLst/>
                    </a:prstGeom>
                    <a:noFill/>
                    <a:ln w="57150" cap="flat" cmpd="thickThin">
                      <a:solidFill>
                        <a:srgbClr val="808080"/>
                      </a:solidFill>
                      <a:prstDash val="solid"/>
                      <a:miter/>
                      <a:headEnd type="none" w="med" len="med"/>
                      <a:tailEnd type="none" w="med" len="med"/>
                    </a:ln>
                  </pic:spPr>
                </pic:pic>
              </a:graphicData>
            </a:graphic>
          </wp:anchor>
        </w:drawing>
      </w:r>
      <w:r>
        <w:rPr>
          <w:rFonts w:hint="eastAsia" w:ascii="仿宋_GB2312" w:hAnsi="仿宋" w:eastAsia="仿宋_GB2312" w:cs="仿宋"/>
          <w:sz w:val="32"/>
          <w:szCs w:val="32"/>
          <w:lang/>
        </w:rPr>
        <mc:AlternateContent>
          <mc:Choice Requires="wps">
            <w:drawing>
              <wp:anchor distT="45720" distB="45720" distL="114300" distR="114300" simplePos="0" relativeHeight="251676672" behindDoc="0" locked="0" layoutInCell="1" allowOverlap="1">
                <wp:simplePos x="0" y="0"/>
                <wp:positionH relativeFrom="margin">
                  <wp:posOffset>1270</wp:posOffset>
                </wp:positionH>
                <wp:positionV relativeFrom="margin">
                  <wp:posOffset>4445</wp:posOffset>
                </wp:positionV>
                <wp:extent cx="5519420" cy="4368165"/>
                <wp:effectExtent l="4445" t="4445" r="19685" b="8890"/>
                <wp:wrapSquare wrapText="bothSides"/>
                <wp:docPr id="18" name="文本框 2"/>
                <wp:cNvGraphicFramePr/>
                <a:graphic xmlns:a="http://schemas.openxmlformats.org/drawingml/2006/main">
                  <a:graphicData uri="http://schemas.microsoft.com/office/word/2010/wordprocessingShape">
                    <wps:wsp>
                      <wps:cNvSpPr txBox="1"/>
                      <wps:spPr>
                        <a:xfrm>
                          <a:off x="0" y="0"/>
                          <a:ext cx="5519420" cy="4368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专栏3</w:t>
                            </w:r>
                          </w:p>
                          <w:p>
                            <w:pPr>
                              <w:spacing w:after="0" w:line="240" w:lineRule="exact"/>
                              <w:jc w:val="center"/>
                              <w:rPr>
                                <w:rFonts w:ascii="黑体" w:hAnsi="黑体" w:eastAsia="黑体" w:cs="仿宋_GB2312"/>
                                <w:b/>
                                <w:bCs/>
                                <w:sz w:val="21"/>
                                <w:szCs w:val="21"/>
                              </w:rPr>
                            </w:pPr>
                            <w:r>
                              <w:rPr>
                                <w:rFonts w:hint="eastAsia" w:ascii="黑体" w:hAnsi="黑体" w:eastAsia="黑体" w:cs="仿宋_GB2312"/>
                                <w:b/>
                                <w:bCs/>
                                <w:sz w:val="21"/>
                                <w:szCs w:val="21"/>
                              </w:rPr>
                              <w:t>渭河高端产业创新发展带核心发展板块</w:t>
                            </w:r>
                          </w:p>
                          <w:p>
                            <w:pPr>
                              <w:spacing w:after="0" w:line="240" w:lineRule="exact"/>
                              <w:ind w:firstLine="422" w:firstLineChars="200"/>
                              <w:jc w:val="both"/>
                              <w:rPr>
                                <w:rFonts w:hint="eastAsia" w:ascii="楷体_GB2312" w:hAnsi="仿宋" w:eastAsia="楷体_GB2312"/>
                                <w:sz w:val="21"/>
                                <w:szCs w:val="21"/>
                              </w:rPr>
                            </w:pPr>
                            <w:r>
                              <w:rPr>
                                <w:rFonts w:hint="eastAsia" w:ascii="楷体_GB2312" w:hAnsi="仿宋" w:eastAsia="楷体_GB2312"/>
                                <w:b/>
                                <w:sz w:val="21"/>
                                <w:szCs w:val="21"/>
                              </w:rPr>
                              <w:t>蟠龙新区</w:t>
                            </w:r>
                            <w:r>
                              <w:rPr>
                                <w:rFonts w:hint="eastAsia" w:ascii="楷体_GB2312" w:hAnsi="仿宋" w:eastAsia="楷体_GB2312"/>
                                <w:sz w:val="21"/>
                                <w:szCs w:val="21"/>
                              </w:rPr>
                              <w:t>：以光通信产业为支柱，以绿色产业及智慧产业为主导，以通用航空服务产业为潜力，以其他产业为配套，打造成为产业高端、全国知名、西部一流的新兴智慧园区，以循环、低碳、生态为生活方式的宜居宜业示范城。综合竞争力显著提高，发展规模及主要评价指标跻身全国省级先进高新区行列。到</w:t>
                            </w:r>
                            <w:r>
                              <w:rPr>
                                <w:rFonts w:ascii="楷体_GB2312" w:hAnsi="仿宋" w:eastAsia="楷体_GB2312"/>
                                <w:sz w:val="21"/>
                                <w:szCs w:val="21"/>
                              </w:rPr>
                              <w:t>2020</w:t>
                            </w:r>
                            <w:r>
                              <w:rPr>
                                <w:rFonts w:hint="eastAsia" w:ascii="楷体_GB2312" w:hAnsi="仿宋" w:eastAsia="楷体_GB2312"/>
                                <w:sz w:val="21"/>
                                <w:szCs w:val="21"/>
                              </w:rPr>
                              <w:t>年，建成创新资源集聚、特色产业突出、生态环境优美，在宝鸡及周边地区带动作用显著的现代化、生态型的高新技术产业新城区。</w:t>
                            </w:r>
                          </w:p>
                          <w:p>
                            <w:pPr>
                              <w:spacing w:after="0" w:line="240" w:lineRule="exact"/>
                              <w:ind w:firstLine="422" w:firstLineChars="200"/>
                              <w:jc w:val="both"/>
                              <w:rPr>
                                <w:rFonts w:ascii="楷体_GB2312" w:hAnsi="仿宋" w:eastAsia="楷体_GB2312"/>
                                <w:sz w:val="21"/>
                                <w:szCs w:val="21"/>
                              </w:rPr>
                            </w:pPr>
                            <w:r>
                              <w:rPr>
                                <w:rFonts w:hint="eastAsia" w:ascii="楷体_GB2312" w:hAnsi="仿宋" w:eastAsia="楷体_GB2312"/>
                                <w:b/>
                                <w:sz w:val="21"/>
                                <w:szCs w:val="21"/>
                              </w:rPr>
                              <w:t>茵香河</w:t>
                            </w:r>
                            <w:r>
                              <w:rPr>
                                <w:rFonts w:ascii="楷体_GB2312" w:hAnsi="仿宋" w:eastAsia="楷体_GB2312"/>
                                <w:b/>
                                <w:sz w:val="21"/>
                                <w:szCs w:val="21"/>
                              </w:rPr>
                              <w:t>—</w:t>
                            </w:r>
                            <w:r>
                              <w:rPr>
                                <w:rFonts w:hint="eastAsia" w:ascii="楷体_GB2312" w:hAnsi="仿宋" w:eastAsia="楷体_GB2312"/>
                                <w:b/>
                                <w:sz w:val="21"/>
                                <w:szCs w:val="21"/>
                              </w:rPr>
                              <w:t>南客站片区：</w:t>
                            </w:r>
                            <w:r>
                              <w:rPr>
                                <w:rFonts w:hint="eastAsia" w:ascii="楷体_GB2312" w:hAnsi="仿宋" w:eastAsia="楷体_GB2312"/>
                                <w:sz w:val="21"/>
                                <w:szCs w:val="21"/>
                              </w:rPr>
                              <w:t>按照区域总体规划布局，加快茵香河区域开发建设，以发展生态文化旅游产业为核心，集旅游观光、休闲度假、高端居住、文化娱乐等多种功能为一体</w:t>
                            </w:r>
                            <w:r>
                              <w:rPr>
                                <w:rFonts w:hint="eastAsia" w:ascii="楷体_GB2312" w:hAnsi="仿宋" w:eastAsia="楷体_GB2312"/>
                                <w:color w:val="000000"/>
                                <w:sz w:val="21"/>
                                <w:szCs w:val="21"/>
                              </w:rPr>
                              <w:t>，连接石鼓山与鸡峰山打造城市高端综合休闲度假中心。完成南客站配套设施建设，综合开发周边建设</w:t>
                            </w:r>
                            <w:r>
                              <w:rPr>
                                <w:rFonts w:ascii="楷体_GB2312" w:hAnsi="仿宋" w:eastAsia="楷体_GB2312"/>
                                <w:color w:val="000000"/>
                                <w:sz w:val="21"/>
                                <w:szCs w:val="21"/>
                              </w:rPr>
                              <w:t>15</w:t>
                            </w:r>
                            <w:r>
                              <w:rPr>
                                <w:rFonts w:hint="eastAsia" w:ascii="楷体_GB2312" w:hAnsi="仿宋" w:eastAsia="楷体_GB2312"/>
                                <w:color w:val="000000"/>
                                <w:sz w:val="21"/>
                                <w:szCs w:val="21"/>
                              </w:rPr>
                              <w:t>平方公里</w:t>
                            </w:r>
                            <w:r>
                              <w:rPr>
                                <w:rFonts w:hint="eastAsia" w:ascii="楷体_GB2312" w:hAnsi="仿宋" w:eastAsia="楷体_GB2312"/>
                                <w:sz w:val="21"/>
                                <w:szCs w:val="21"/>
                              </w:rPr>
                              <w:t>的区域，形成</w:t>
                            </w:r>
                            <w:r>
                              <w:rPr>
                                <w:rFonts w:ascii="楷体_GB2312" w:hAnsi="仿宋" w:eastAsia="楷体_GB2312"/>
                                <w:sz w:val="21"/>
                                <w:szCs w:val="21"/>
                              </w:rPr>
                              <w:t>20</w:t>
                            </w:r>
                            <w:r>
                              <w:rPr>
                                <w:rFonts w:hint="eastAsia" w:ascii="楷体_GB2312" w:hAnsi="仿宋" w:eastAsia="楷体_GB2312"/>
                                <w:sz w:val="21"/>
                                <w:szCs w:val="21"/>
                              </w:rPr>
                              <w:t>万左右人口的生态新城，使茵香河</w:t>
                            </w:r>
                            <w:r>
                              <w:rPr>
                                <w:rFonts w:ascii="楷体_GB2312" w:hAnsi="仿宋" w:eastAsia="楷体_GB2312"/>
                                <w:sz w:val="21"/>
                                <w:szCs w:val="21"/>
                              </w:rPr>
                              <w:t>—</w:t>
                            </w:r>
                            <w:r>
                              <w:rPr>
                                <w:rFonts w:hint="eastAsia" w:ascii="楷体_GB2312" w:hAnsi="仿宋" w:eastAsia="楷体_GB2312"/>
                                <w:sz w:val="21"/>
                                <w:szCs w:val="21"/>
                              </w:rPr>
                              <w:t>南客站片区成为宝鸡新的城市名片。</w:t>
                            </w:r>
                          </w:p>
                          <w:p>
                            <w:pPr>
                              <w:spacing w:after="0" w:line="240" w:lineRule="exact"/>
                              <w:ind w:firstLine="422" w:firstLineChars="200"/>
                              <w:jc w:val="both"/>
                              <w:rPr>
                                <w:rFonts w:ascii="楷体_GB2312" w:hAnsi="仿宋" w:eastAsia="楷体_GB2312"/>
                                <w:sz w:val="21"/>
                                <w:szCs w:val="21"/>
                              </w:rPr>
                            </w:pPr>
                            <w:r>
                              <w:rPr>
                                <w:rFonts w:hint="eastAsia" w:ascii="楷体_GB2312" w:hAnsi="仿宋" w:eastAsia="楷体_GB2312" w:cs="仿宋_GB2312"/>
                                <w:b/>
                                <w:sz w:val="21"/>
                                <w:szCs w:val="21"/>
                              </w:rPr>
                              <w:t>中国钛谷</w:t>
                            </w:r>
                            <w:r>
                              <w:rPr>
                                <w:rFonts w:hint="eastAsia" w:ascii="楷体_GB2312" w:hAnsi="仿宋" w:eastAsia="楷体_GB2312" w:cs="仿宋_GB2312"/>
                                <w:sz w:val="21"/>
                                <w:szCs w:val="21"/>
                              </w:rPr>
                              <w:t>：</w:t>
                            </w:r>
                            <w:r>
                              <w:rPr>
                                <w:rFonts w:hint="eastAsia" w:ascii="楷体_GB2312" w:hAnsi="仿宋" w:eastAsia="楷体_GB2312"/>
                                <w:sz w:val="21"/>
                                <w:szCs w:val="21"/>
                              </w:rPr>
                              <w:t>按照产城一体化建设的理念，通过政府引导，宝钛领军，在现有产业基础上，以企业为主体，通过市场化运作方式，整合现有资源，打造中国钛工业研发和生产核心基地，国家</w:t>
                            </w:r>
                            <w:r>
                              <w:rPr>
                                <w:rFonts w:ascii="楷体_GB2312" w:hAnsi="仿宋" w:eastAsia="楷体_GB2312"/>
                                <w:sz w:val="21"/>
                                <w:szCs w:val="21"/>
                              </w:rPr>
                              <w:t>新材料基地，</w:t>
                            </w:r>
                            <w:r>
                              <w:rPr>
                                <w:rFonts w:hint="eastAsia" w:ascii="楷体_GB2312" w:hAnsi="仿宋" w:eastAsia="楷体_GB2312"/>
                                <w:sz w:val="21"/>
                                <w:szCs w:val="21"/>
                              </w:rPr>
                              <w:t>成为国内一流、世界领先的现代化钛及稀有金属国际产业聚集区，提升宝鸡钛产业的地域和国际品牌影响力，增强中国在国际钛行业中的话语权。</w:t>
                            </w:r>
                          </w:p>
                          <w:p>
                            <w:pPr>
                              <w:spacing w:after="0" w:line="240" w:lineRule="exact"/>
                              <w:ind w:firstLine="422" w:firstLineChars="200"/>
                              <w:jc w:val="both"/>
                              <w:rPr>
                                <w:rFonts w:hint="eastAsia" w:ascii="楷体_GB2312" w:hAnsi="仿宋" w:eastAsia="楷体_GB2312"/>
                                <w:sz w:val="21"/>
                                <w:szCs w:val="21"/>
                              </w:rPr>
                            </w:pPr>
                            <w:r>
                              <w:rPr>
                                <w:rFonts w:hint="eastAsia" w:ascii="楷体_GB2312" w:hAnsi="仿宋" w:eastAsia="楷体_GB2312"/>
                                <w:b/>
                                <w:sz w:val="21"/>
                                <w:szCs w:val="21"/>
                              </w:rPr>
                              <w:t>陆港新城：</w:t>
                            </w:r>
                            <w:r>
                              <w:rPr>
                                <w:rFonts w:hint="eastAsia" w:ascii="楷体_GB2312" w:hAnsi="仿宋" w:eastAsia="楷体_GB2312"/>
                                <w:sz w:val="21"/>
                                <w:szCs w:val="21"/>
                              </w:rPr>
                              <w:t>在阳平镇地区渭河两岸规划建设宝鸡陆港新城，由南北两大区域板块构成，以海关特殊监管区和综合物流保障区建设为核心，实现</w:t>
                            </w:r>
                            <w:r>
                              <w:rPr>
                                <w:rFonts w:ascii="楷体_GB2312" w:hAnsi="仿宋" w:eastAsia="楷体_GB2312"/>
                                <w:sz w:val="21"/>
                                <w:szCs w:val="21"/>
                              </w:rPr>
                              <w:t>公铁联运，</w:t>
                            </w:r>
                            <w:r>
                              <w:rPr>
                                <w:rFonts w:hint="eastAsia" w:ascii="楷体_GB2312" w:hAnsi="仿宋" w:eastAsia="楷体_GB2312"/>
                                <w:sz w:val="21"/>
                                <w:szCs w:val="21"/>
                              </w:rPr>
                              <w:t>逐步配套建设相关功能区和产业区，形成以出口加工和现代化物流为特色的丝绸之路经济带开放开发高地，提升我市在西部地区对外开放的核心与引领地位。</w:t>
                            </w:r>
                          </w:p>
                          <w:p>
                            <w:pPr>
                              <w:spacing w:after="0" w:line="240" w:lineRule="exact"/>
                              <w:ind w:firstLine="422" w:firstLineChars="200"/>
                              <w:jc w:val="both"/>
                              <w:rPr>
                                <w:rFonts w:ascii="楷体_GB2312" w:hAnsi="仿宋" w:eastAsia="楷体_GB2312"/>
                                <w:sz w:val="21"/>
                                <w:szCs w:val="21"/>
                              </w:rPr>
                            </w:pPr>
                            <w:r>
                              <w:rPr>
                                <w:rFonts w:hint="eastAsia" w:ascii="楷体_GB2312" w:hAnsi="仿宋" w:eastAsia="楷体_GB2312"/>
                                <w:b/>
                                <w:sz w:val="21"/>
                                <w:szCs w:val="21"/>
                              </w:rPr>
                              <w:t>科技新城：</w:t>
                            </w:r>
                            <w:r>
                              <w:rPr>
                                <w:rFonts w:hint="eastAsia" w:ascii="楷体_GB2312" w:hAnsi="仿宋" w:eastAsia="楷体_GB2312"/>
                                <w:sz w:val="21"/>
                                <w:szCs w:val="21"/>
                              </w:rPr>
                              <w:t>以高新技术及汽车、航空航天等产业为基础，以生态建设为特色，以融研发、服务、生产、教育、居住、游憩为一体的多元复合产业为支撑，实行梯次发展战略，努力打造集高新技术产业、研发创意和第三产业发达的科技新城综合组团，成为提升宝鸡高新区综合实力和产业竞争力的核心区，引领科技创新和推动经济发展方式转变的示范区。</w:t>
                            </w:r>
                          </w:p>
                          <w:p>
                            <w:pPr>
                              <w:spacing w:after="0" w:line="240" w:lineRule="exact"/>
                              <w:ind w:firstLine="422" w:firstLineChars="200"/>
                              <w:jc w:val="both"/>
                            </w:pPr>
                            <w:r>
                              <w:rPr>
                                <w:rFonts w:hint="eastAsia" w:ascii="楷体_GB2312" w:hAnsi="仿宋" w:eastAsia="楷体_GB2312"/>
                                <w:b/>
                                <w:sz w:val="21"/>
                                <w:szCs w:val="21"/>
                              </w:rPr>
                              <w:t>蔡家坡区域：</w:t>
                            </w:r>
                            <w:r>
                              <w:rPr>
                                <w:rFonts w:hint="eastAsia" w:ascii="楷体_GB2312" w:hAnsi="仿宋" w:eastAsia="楷体_GB2312"/>
                                <w:sz w:val="21"/>
                                <w:szCs w:val="21"/>
                              </w:rPr>
                              <w:t>以“打造副中心、重塑蔡家坡”为发展目标，以生态环境承载力、基础设施承载力等城镇综合承载能力为支撑，完善汽车制造产业链，将蔡家坡经济技术开发区建成国家级经济技术开发区，将蔡家坡区域打造成中国西部汽车及零部件产业基地，关天经济区中等工业城市，宝鸡市副中心和统筹城乡发展示范区。</w:t>
                            </w:r>
                          </w:p>
                        </w:txbxContent>
                      </wps:txbx>
                      <wps:bodyPr wrap="square"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0.1pt;margin-top:0.35pt;height:343.95pt;width:434.6pt;mso-position-horizontal-relative:margin;mso-position-vertical-relative:margin;mso-wrap-distance-bottom:3.6pt;mso-wrap-distance-left:9pt;mso-wrap-distance-right:9pt;mso-wrap-distance-top:3.6pt;z-index:251676672;mso-width-relative:margin;mso-height-relative:margin;mso-height-percent:200;" fillcolor="#FFFFFF" filled="t" stroked="t" coordsize="21600,21600" o:gfxdata="UEsDBAoAAAAAAIdO4kAAAAAAAAAAAAAAAAAEAAAAZHJzL1BLAwQUAAAACACHTuJAsNEFedMAAAAF&#10;AQAADwAAAGRycy9kb3ducmV2LnhtbE2OTW/CMBBE75X4D9Yi9YKKAy1pCHGQisSpJ1J6N/GSRMTr&#10;1DZf/77bUzmOZvTmFeub7cUFfegcKZhNExBItTMdNQr2X9uXDESImozuHaGCOwZYl6OnQufGXWmH&#10;lyo2giEUcq2gjXHIpQx1i1aHqRuQuDs6b3Xk6BtpvL4y3PZyniSptLojfmj1gJsW61N1tgrSn+p1&#10;8vltJrS7bz98bRdms18o9TyeJSsQEW/xfwx/+qwOJTsd3JlMEL2COe8UvIPgLkuXbyAODM6yFGRZ&#10;yEf78hdQSwMEFAAAAAgAh07iQP/WzMEhAgAAYAQAAA4AAABkcnMvZTJvRG9jLnhtbK1UzY7TMBC+&#10;I/EOlu80bdlWu1HTFVDKBQHSwgO4tpNY8h8et0lfAN6AExfuPFefg7HTbXcXDj2QQzL2jL+Z75tx&#10;Fre90WQnAyhnKzoZjSmRljuhbFPRL5/XL64pgcisYNpZWdG9BHq7fP5s0flSTl3rtJCBIIiFsvMV&#10;bWP0ZVEAb6VhMHJeWnTWLhgWcRmaQgTWIbrRxXQ8nhedC8IHxyUA7q4GJz0ihksAXV0rLleOb420&#10;cUANUrOIlKBVHugyV1vXksePdQ0yEl1RZBrzG5OgvUnvYrlgZROYbxU/lsAuKeEJJ8OUxaQnqBWL&#10;jGyD+gvKKB4cuDqOuDPFQCQrgiwm4yfa3LXMy8wFpQZ/Eh3+Hyz/sPsUiBI4Cdh3ywx2/PDj++Hn&#10;78Ovb2Sa9Ok8lBh25zEw9q9dj7H3+4CbiXZfB5O+SIigH9Xdn9SVfSQcN2ezyc3VFF0cfVcv59eT&#10;+SzhFOfjPkB8J50hyahowPZlVdnuPcQh9D4kZQOnlVgrrfMiNJs3OpAdw1av83NEfxSmLekqejOb&#10;zrAQhvNb49ygaTxqALbJ+R6dgIfA4/z8CzgVtmLQDgVkhBTGSqOiDNlqJRNvrSBx71Fmi9eLpmKM&#10;FJRoibcxWTkyMqUviUTttEUJU4+GXiQr9pseYZK5cWKPfetwwpHe1y0LmHPrg2paFHgysPWvttGt&#10;VVb4fOgIi4OXe3S8JGmyH65z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NEFedMAAAAF&#10;AQAADwAAAAAAAAABACAAAAAiAAAAZHJzL2Rvd25yZXYueG1sUEsBAhQAFAAAAAgAh07iQP/WzMEh&#10;AgAAYAQAAA4AAAAAAAAAAQAgAAAAIgEAAGRycy9lMm9Eb2MueG1sUEsFBgAAAAAGAAYAWQEAALUF&#10;AAAAAA==&#10;">
                <v:fill on="t" focussize="0,0"/>
                <v:stroke color="#000000" joinstyle="miter"/>
                <v:imagedata o:title=""/>
                <o:lock v:ext="edit" aspectratio="f"/>
                <v:textbox style="mso-fit-shape-to-text:t;">
                  <w:txbxContent>
                    <w:p>
                      <w:pPr>
                        <w:spacing w:after="0" w:line="24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专栏3</w:t>
                      </w:r>
                    </w:p>
                    <w:p>
                      <w:pPr>
                        <w:spacing w:after="0" w:line="240" w:lineRule="exact"/>
                        <w:jc w:val="center"/>
                        <w:rPr>
                          <w:rFonts w:ascii="黑体" w:hAnsi="黑体" w:eastAsia="黑体" w:cs="仿宋_GB2312"/>
                          <w:b/>
                          <w:bCs/>
                          <w:sz w:val="21"/>
                          <w:szCs w:val="21"/>
                        </w:rPr>
                      </w:pPr>
                      <w:r>
                        <w:rPr>
                          <w:rFonts w:hint="eastAsia" w:ascii="黑体" w:hAnsi="黑体" w:eastAsia="黑体" w:cs="仿宋_GB2312"/>
                          <w:b/>
                          <w:bCs/>
                          <w:sz w:val="21"/>
                          <w:szCs w:val="21"/>
                        </w:rPr>
                        <w:t>渭河高端产业创新发展带核心发展板块</w:t>
                      </w:r>
                    </w:p>
                    <w:p>
                      <w:pPr>
                        <w:spacing w:after="0" w:line="240" w:lineRule="exact"/>
                        <w:ind w:firstLine="422" w:firstLineChars="200"/>
                        <w:jc w:val="both"/>
                        <w:rPr>
                          <w:rFonts w:hint="eastAsia" w:ascii="楷体_GB2312" w:hAnsi="仿宋" w:eastAsia="楷体_GB2312"/>
                          <w:sz w:val="21"/>
                          <w:szCs w:val="21"/>
                        </w:rPr>
                      </w:pPr>
                      <w:r>
                        <w:rPr>
                          <w:rFonts w:hint="eastAsia" w:ascii="楷体_GB2312" w:hAnsi="仿宋" w:eastAsia="楷体_GB2312"/>
                          <w:b/>
                          <w:sz w:val="21"/>
                          <w:szCs w:val="21"/>
                        </w:rPr>
                        <w:t>蟠龙新区</w:t>
                      </w:r>
                      <w:r>
                        <w:rPr>
                          <w:rFonts w:hint="eastAsia" w:ascii="楷体_GB2312" w:hAnsi="仿宋" w:eastAsia="楷体_GB2312"/>
                          <w:sz w:val="21"/>
                          <w:szCs w:val="21"/>
                        </w:rPr>
                        <w:t>：以光通信产业为支柱，以绿色产业及智慧产业为主导，以通用航空服务产业为潜力，以其他产业为配套，打造成为产业高端、全国知名、西部一流的新兴智慧园区，以循环、低碳、生态为生活方式的宜居宜业示范城。综合竞争力显著提高，发展规模及主要评价指标跻身全国省级先进高新区行列。到</w:t>
                      </w:r>
                      <w:r>
                        <w:rPr>
                          <w:rFonts w:ascii="楷体_GB2312" w:hAnsi="仿宋" w:eastAsia="楷体_GB2312"/>
                          <w:sz w:val="21"/>
                          <w:szCs w:val="21"/>
                        </w:rPr>
                        <w:t>2020</w:t>
                      </w:r>
                      <w:r>
                        <w:rPr>
                          <w:rFonts w:hint="eastAsia" w:ascii="楷体_GB2312" w:hAnsi="仿宋" w:eastAsia="楷体_GB2312"/>
                          <w:sz w:val="21"/>
                          <w:szCs w:val="21"/>
                        </w:rPr>
                        <w:t>年，建成创新资源集聚、特色产业突出、生态环境优美，在宝鸡及周边地区带动作用显著的现代化、生态型的高新技术产业新城区。</w:t>
                      </w:r>
                    </w:p>
                    <w:p>
                      <w:pPr>
                        <w:spacing w:after="0" w:line="240" w:lineRule="exact"/>
                        <w:ind w:firstLine="422" w:firstLineChars="200"/>
                        <w:jc w:val="both"/>
                        <w:rPr>
                          <w:rFonts w:ascii="楷体_GB2312" w:hAnsi="仿宋" w:eastAsia="楷体_GB2312"/>
                          <w:sz w:val="21"/>
                          <w:szCs w:val="21"/>
                        </w:rPr>
                      </w:pPr>
                      <w:r>
                        <w:rPr>
                          <w:rFonts w:hint="eastAsia" w:ascii="楷体_GB2312" w:hAnsi="仿宋" w:eastAsia="楷体_GB2312"/>
                          <w:b/>
                          <w:sz w:val="21"/>
                          <w:szCs w:val="21"/>
                        </w:rPr>
                        <w:t>茵香河</w:t>
                      </w:r>
                      <w:r>
                        <w:rPr>
                          <w:rFonts w:ascii="楷体_GB2312" w:hAnsi="仿宋" w:eastAsia="楷体_GB2312"/>
                          <w:b/>
                          <w:sz w:val="21"/>
                          <w:szCs w:val="21"/>
                        </w:rPr>
                        <w:t>—</w:t>
                      </w:r>
                      <w:r>
                        <w:rPr>
                          <w:rFonts w:hint="eastAsia" w:ascii="楷体_GB2312" w:hAnsi="仿宋" w:eastAsia="楷体_GB2312"/>
                          <w:b/>
                          <w:sz w:val="21"/>
                          <w:szCs w:val="21"/>
                        </w:rPr>
                        <w:t>南客站片区：</w:t>
                      </w:r>
                      <w:r>
                        <w:rPr>
                          <w:rFonts w:hint="eastAsia" w:ascii="楷体_GB2312" w:hAnsi="仿宋" w:eastAsia="楷体_GB2312"/>
                          <w:sz w:val="21"/>
                          <w:szCs w:val="21"/>
                        </w:rPr>
                        <w:t>按照区域总体规划布局，加快茵香河区域开发建设，以发展生态文化旅游产业为核心，集旅游观光、休闲度假、高端居住、文化娱乐等多种功能为一体</w:t>
                      </w:r>
                      <w:r>
                        <w:rPr>
                          <w:rFonts w:hint="eastAsia" w:ascii="楷体_GB2312" w:hAnsi="仿宋" w:eastAsia="楷体_GB2312"/>
                          <w:color w:val="000000"/>
                          <w:sz w:val="21"/>
                          <w:szCs w:val="21"/>
                        </w:rPr>
                        <w:t>，连接石鼓山与鸡峰山打造城市高端综合休闲度假中心。完成南客站配套设施建设，综合开发周边建设</w:t>
                      </w:r>
                      <w:r>
                        <w:rPr>
                          <w:rFonts w:ascii="楷体_GB2312" w:hAnsi="仿宋" w:eastAsia="楷体_GB2312"/>
                          <w:color w:val="000000"/>
                          <w:sz w:val="21"/>
                          <w:szCs w:val="21"/>
                        </w:rPr>
                        <w:t>15</w:t>
                      </w:r>
                      <w:r>
                        <w:rPr>
                          <w:rFonts w:hint="eastAsia" w:ascii="楷体_GB2312" w:hAnsi="仿宋" w:eastAsia="楷体_GB2312"/>
                          <w:color w:val="000000"/>
                          <w:sz w:val="21"/>
                          <w:szCs w:val="21"/>
                        </w:rPr>
                        <w:t>平方公里</w:t>
                      </w:r>
                      <w:r>
                        <w:rPr>
                          <w:rFonts w:hint="eastAsia" w:ascii="楷体_GB2312" w:hAnsi="仿宋" w:eastAsia="楷体_GB2312"/>
                          <w:sz w:val="21"/>
                          <w:szCs w:val="21"/>
                        </w:rPr>
                        <w:t>的区域，形成</w:t>
                      </w:r>
                      <w:r>
                        <w:rPr>
                          <w:rFonts w:ascii="楷体_GB2312" w:hAnsi="仿宋" w:eastAsia="楷体_GB2312"/>
                          <w:sz w:val="21"/>
                          <w:szCs w:val="21"/>
                        </w:rPr>
                        <w:t>20</w:t>
                      </w:r>
                      <w:r>
                        <w:rPr>
                          <w:rFonts w:hint="eastAsia" w:ascii="楷体_GB2312" w:hAnsi="仿宋" w:eastAsia="楷体_GB2312"/>
                          <w:sz w:val="21"/>
                          <w:szCs w:val="21"/>
                        </w:rPr>
                        <w:t>万左右人口的生态新城，使茵香河</w:t>
                      </w:r>
                      <w:r>
                        <w:rPr>
                          <w:rFonts w:ascii="楷体_GB2312" w:hAnsi="仿宋" w:eastAsia="楷体_GB2312"/>
                          <w:sz w:val="21"/>
                          <w:szCs w:val="21"/>
                        </w:rPr>
                        <w:t>—</w:t>
                      </w:r>
                      <w:r>
                        <w:rPr>
                          <w:rFonts w:hint="eastAsia" w:ascii="楷体_GB2312" w:hAnsi="仿宋" w:eastAsia="楷体_GB2312"/>
                          <w:sz w:val="21"/>
                          <w:szCs w:val="21"/>
                        </w:rPr>
                        <w:t>南客站片区成为宝鸡新的城市名片。</w:t>
                      </w:r>
                    </w:p>
                    <w:p>
                      <w:pPr>
                        <w:spacing w:after="0" w:line="240" w:lineRule="exact"/>
                        <w:ind w:firstLine="422" w:firstLineChars="200"/>
                        <w:jc w:val="both"/>
                        <w:rPr>
                          <w:rFonts w:ascii="楷体_GB2312" w:hAnsi="仿宋" w:eastAsia="楷体_GB2312"/>
                          <w:sz w:val="21"/>
                          <w:szCs w:val="21"/>
                        </w:rPr>
                      </w:pPr>
                      <w:r>
                        <w:rPr>
                          <w:rFonts w:hint="eastAsia" w:ascii="楷体_GB2312" w:hAnsi="仿宋" w:eastAsia="楷体_GB2312" w:cs="仿宋_GB2312"/>
                          <w:b/>
                          <w:sz w:val="21"/>
                          <w:szCs w:val="21"/>
                        </w:rPr>
                        <w:t>中国钛谷</w:t>
                      </w:r>
                      <w:r>
                        <w:rPr>
                          <w:rFonts w:hint="eastAsia" w:ascii="楷体_GB2312" w:hAnsi="仿宋" w:eastAsia="楷体_GB2312" w:cs="仿宋_GB2312"/>
                          <w:sz w:val="21"/>
                          <w:szCs w:val="21"/>
                        </w:rPr>
                        <w:t>：</w:t>
                      </w:r>
                      <w:r>
                        <w:rPr>
                          <w:rFonts w:hint="eastAsia" w:ascii="楷体_GB2312" w:hAnsi="仿宋" w:eastAsia="楷体_GB2312"/>
                          <w:sz w:val="21"/>
                          <w:szCs w:val="21"/>
                        </w:rPr>
                        <w:t>按照产城一体化建设的理念，通过政府引导，宝钛领军，在现有产业基础上，以企业为主体，通过市场化运作方式，整合现有资源，打造中国钛工业研发和生产核心基地，国家</w:t>
                      </w:r>
                      <w:r>
                        <w:rPr>
                          <w:rFonts w:ascii="楷体_GB2312" w:hAnsi="仿宋" w:eastAsia="楷体_GB2312"/>
                          <w:sz w:val="21"/>
                          <w:szCs w:val="21"/>
                        </w:rPr>
                        <w:t>新材料基地，</w:t>
                      </w:r>
                      <w:r>
                        <w:rPr>
                          <w:rFonts w:hint="eastAsia" w:ascii="楷体_GB2312" w:hAnsi="仿宋" w:eastAsia="楷体_GB2312"/>
                          <w:sz w:val="21"/>
                          <w:szCs w:val="21"/>
                        </w:rPr>
                        <w:t>成为国内一流、世界领先的现代化钛及稀有金属国际产业聚集区，提升宝鸡钛产业的地域和国际品牌影响力，增强中国在国际钛行业中的话语权。</w:t>
                      </w:r>
                    </w:p>
                    <w:p>
                      <w:pPr>
                        <w:spacing w:after="0" w:line="240" w:lineRule="exact"/>
                        <w:ind w:firstLine="422" w:firstLineChars="200"/>
                        <w:jc w:val="both"/>
                        <w:rPr>
                          <w:rFonts w:hint="eastAsia" w:ascii="楷体_GB2312" w:hAnsi="仿宋" w:eastAsia="楷体_GB2312"/>
                          <w:sz w:val="21"/>
                          <w:szCs w:val="21"/>
                        </w:rPr>
                      </w:pPr>
                      <w:r>
                        <w:rPr>
                          <w:rFonts w:hint="eastAsia" w:ascii="楷体_GB2312" w:hAnsi="仿宋" w:eastAsia="楷体_GB2312"/>
                          <w:b/>
                          <w:sz w:val="21"/>
                          <w:szCs w:val="21"/>
                        </w:rPr>
                        <w:t>陆港新城：</w:t>
                      </w:r>
                      <w:r>
                        <w:rPr>
                          <w:rFonts w:hint="eastAsia" w:ascii="楷体_GB2312" w:hAnsi="仿宋" w:eastAsia="楷体_GB2312"/>
                          <w:sz w:val="21"/>
                          <w:szCs w:val="21"/>
                        </w:rPr>
                        <w:t>在阳平镇地区渭河两岸规划建设宝鸡陆港新城，由南北两大区域板块构成，以海关特殊监管区和综合物流保障区建设为核心，实现</w:t>
                      </w:r>
                      <w:r>
                        <w:rPr>
                          <w:rFonts w:ascii="楷体_GB2312" w:hAnsi="仿宋" w:eastAsia="楷体_GB2312"/>
                          <w:sz w:val="21"/>
                          <w:szCs w:val="21"/>
                        </w:rPr>
                        <w:t>公铁联运，</w:t>
                      </w:r>
                      <w:r>
                        <w:rPr>
                          <w:rFonts w:hint="eastAsia" w:ascii="楷体_GB2312" w:hAnsi="仿宋" w:eastAsia="楷体_GB2312"/>
                          <w:sz w:val="21"/>
                          <w:szCs w:val="21"/>
                        </w:rPr>
                        <w:t>逐步配套建设相关功能区和产业区，形成以出口加工和现代化物流为特色的丝绸之路经济带开放开发高地，提升我市在西部地区对外开放的核心与引领地位。</w:t>
                      </w:r>
                    </w:p>
                    <w:p>
                      <w:pPr>
                        <w:spacing w:after="0" w:line="240" w:lineRule="exact"/>
                        <w:ind w:firstLine="422" w:firstLineChars="200"/>
                        <w:jc w:val="both"/>
                        <w:rPr>
                          <w:rFonts w:ascii="楷体_GB2312" w:hAnsi="仿宋" w:eastAsia="楷体_GB2312"/>
                          <w:sz w:val="21"/>
                          <w:szCs w:val="21"/>
                        </w:rPr>
                      </w:pPr>
                      <w:r>
                        <w:rPr>
                          <w:rFonts w:hint="eastAsia" w:ascii="楷体_GB2312" w:hAnsi="仿宋" w:eastAsia="楷体_GB2312"/>
                          <w:b/>
                          <w:sz w:val="21"/>
                          <w:szCs w:val="21"/>
                        </w:rPr>
                        <w:t>科技新城：</w:t>
                      </w:r>
                      <w:r>
                        <w:rPr>
                          <w:rFonts w:hint="eastAsia" w:ascii="楷体_GB2312" w:hAnsi="仿宋" w:eastAsia="楷体_GB2312"/>
                          <w:sz w:val="21"/>
                          <w:szCs w:val="21"/>
                        </w:rPr>
                        <w:t>以高新技术及汽车、航空航天等产业为基础，以生态建设为特色，以融研发、服务、生产、教育、居住、游憩为一体的多元复合产业为支撑，实行梯次发展战略，努力打造集高新技术产业、研发创意和第三产业发达的科技新城综合组团，成为提升宝鸡高新区综合实力和产业竞争力的核心区，引领科技创新和推动经济发展方式转变的示范区。</w:t>
                      </w:r>
                    </w:p>
                    <w:p>
                      <w:pPr>
                        <w:spacing w:after="0" w:line="240" w:lineRule="exact"/>
                        <w:ind w:firstLine="422" w:firstLineChars="200"/>
                        <w:jc w:val="both"/>
                      </w:pPr>
                      <w:r>
                        <w:rPr>
                          <w:rFonts w:hint="eastAsia" w:ascii="楷体_GB2312" w:hAnsi="仿宋" w:eastAsia="楷体_GB2312"/>
                          <w:b/>
                          <w:sz w:val="21"/>
                          <w:szCs w:val="21"/>
                        </w:rPr>
                        <w:t>蔡家坡区域：</w:t>
                      </w:r>
                      <w:r>
                        <w:rPr>
                          <w:rFonts w:hint="eastAsia" w:ascii="楷体_GB2312" w:hAnsi="仿宋" w:eastAsia="楷体_GB2312"/>
                          <w:sz w:val="21"/>
                          <w:szCs w:val="21"/>
                        </w:rPr>
                        <w:t>以“打造副中心、重塑蔡家坡”为发展目标，以生态环境承载力、基础设施承载力等城镇综合承载能力为支撑，完善汽车制造产业链，将蔡家坡经济技术开发区建成国家级经济技术开发区，将蔡家坡区域打造成中国西部汽车及零部件产业基地，关天经济区中等工业城市，宝鸡市副中心和统筹城乡发展示范区。</w:t>
                      </w:r>
                    </w:p>
                  </w:txbxContent>
                </v:textbox>
                <w10:wrap type="square"/>
              </v:shape>
            </w:pict>
          </mc:Fallback>
        </mc:AlternateContent>
      </w:r>
    </w:p>
    <w:p>
      <w:pPr>
        <w:spacing w:after="0" w:line="560" w:lineRule="exact"/>
        <w:ind w:firstLine="352" w:firstLineChars="196"/>
        <w:rPr>
          <w:rFonts w:ascii="宋体" w:hAnsi="宋体" w:eastAsia="宋体" w:cs="宋体"/>
          <w:sz w:val="18"/>
          <w:szCs w:val="18"/>
        </w:rPr>
      </w:pPr>
      <w:r>
        <w:rPr>
          <w:rFonts w:ascii="宋体" w:hAnsi="宋体" w:eastAsia="宋体" w:cs="宋体"/>
          <w:sz w:val="18"/>
          <w:szCs w:val="18"/>
          <w:lang/>
        </w:rPr>
        <mc:AlternateContent>
          <mc:Choice Requires="wps">
            <w:drawing>
              <wp:anchor distT="0" distB="0" distL="114300" distR="114300" simplePos="0" relativeHeight="251669504" behindDoc="0" locked="0" layoutInCell="1" allowOverlap="0">
                <wp:simplePos x="0" y="0"/>
                <wp:positionH relativeFrom="margin">
                  <wp:posOffset>9525</wp:posOffset>
                </wp:positionH>
                <wp:positionV relativeFrom="margin">
                  <wp:posOffset>6350</wp:posOffset>
                </wp:positionV>
                <wp:extent cx="5519420" cy="3461385"/>
                <wp:effectExtent l="4445" t="4445" r="19685" b="20320"/>
                <wp:wrapSquare wrapText="bothSides"/>
                <wp:docPr id="11" name="文本框 19"/>
                <wp:cNvGraphicFramePr/>
                <a:graphic xmlns:a="http://schemas.openxmlformats.org/drawingml/2006/main">
                  <a:graphicData uri="http://schemas.microsoft.com/office/word/2010/wordprocessingShape">
                    <wps:wsp>
                      <wps:cNvSpPr txBox="1"/>
                      <wps:spPr>
                        <a:xfrm>
                          <a:off x="0" y="0"/>
                          <a:ext cx="5519420" cy="3461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rPr>
                                <w:rFonts w:ascii="黑体" w:hAnsi="黑体" w:eastAsia="黑体" w:cs="仿宋_GB2312"/>
                                <w:b/>
                                <w:bCs/>
                                <w:sz w:val="21"/>
                                <w:szCs w:val="21"/>
                              </w:rPr>
                            </w:pPr>
                            <w:r>
                              <w:rPr>
                                <w:rFonts w:hint="eastAsia" w:ascii="楷体_GB2312" w:hAnsi="黑体" w:eastAsia="楷体_GB2312" w:cs="仿宋_GB2312"/>
                                <w:b/>
                                <w:bCs/>
                                <w:sz w:val="21"/>
                                <w:szCs w:val="21"/>
                              </w:rPr>
                              <w:t>专栏4</w:t>
                            </w:r>
                          </w:p>
                          <w:p>
                            <w:pPr>
                              <w:spacing w:after="0" w:line="240" w:lineRule="exact"/>
                              <w:jc w:val="center"/>
                              <w:rPr>
                                <w:rFonts w:hint="eastAsia" w:ascii="黑体" w:hAnsi="黑体" w:eastAsia="黑体" w:cs="仿宋_GB2312"/>
                                <w:b/>
                                <w:bCs/>
                                <w:sz w:val="21"/>
                                <w:szCs w:val="21"/>
                              </w:rPr>
                            </w:pPr>
                            <w:r>
                              <w:rPr>
                                <w:rFonts w:hint="eastAsia" w:ascii="黑体" w:hAnsi="黑体" w:eastAsia="黑体" w:cs="仿宋_GB2312"/>
                                <w:b/>
                                <w:bCs/>
                                <w:sz w:val="21"/>
                                <w:szCs w:val="21"/>
                              </w:rPr>
                              <w:t>渭北现代产业融合发展带核心发展板块</w:t>
                            </w:r>
                          </w:p>
                          <w:p>
                            <w:pPr>
                              <w:spacing w:after="0" w:line="300" w:lineRule="exact"/>
                              <w:jc w:val="both"/>
                              <w:rPr>
                                <w:rFonts w:ascii="楷体_GB2312" w:hAnsi="仿宋" w:eastAsia="楷体_GB2312"/>
                                <w:sz w:val="21"/>
                                <w:szCs w:val="21"/>
                              </w:rPr>
                            </w:pPr>
                            <w:r>
                              <w:rPr>
                                <w:rFonts w:hint="eastAsia" w:ascii="黑体" w:hAnsi="黑体" w:eastAsia="黑体" w:cs="仿宋_GB2312"/>
                                <w:b/>
                                <w:bCs/>
                                <w:sz w:val="21"/>
                                <w:szCs w:val="21"/>
                              </w:rPr>
                              <w:t xml:space="preserve">    </w:t>
                            </w:r>
                            <w:r>
                              <w:rPr>
                                <w:rFonts w:hint="eastAsia" w:ascii="楷体_GB2312" w:hAnsi="仿宋" w:eastAsia="楷体_GB2312"/>
                                <w:b/>
                                <w:sz w:val="21"/>
                                <w:szCs w:val="21"/>
                              </w:rPr>
                              <w:t>凤翔高新技术产业开发区：</w:t>
                            </w:r>
                            <w:r>
                              <w:rPr>
                                <w:rFonts w:hint="eastAsia" w:ascii="楷体_GB2312" w:hAnsi="仿宋" w:eastAsia="楷体_GB2312"/>
                                <w:sz w:val="21"/>
                                <w:szCs w:val="21"/>
                              </w:rPr>
                              <w:t>以科技生态新城、柳林工业园以及长青工业园为三大板块，结合资源禀赋和发展基础，重点发展工业机器人、新材料、新型能化和白酒产业、文化产业等五大产业，建设成为陕西智能化工业装备制造中心、关天经济区能化材一体化发展引领区、西部科技产业带动城乡统筹发展示范区和中国凤香型白酒酒业创新中心。</w:t>
                            </w:r>
                          </w:p>
                          <w:p>
                            <w:pPr>
                              <w:spacing w:after="0" w:line="300" w:lineRule="exact"/>
                              <w:ind w:firstLine="413" w:firstLineChars="196"/>
                              <w:jc w:val="both"/>
                              <w:rPr>
                                <w:rFonts w:ascii="楷体_GB2312" w:hAnsi="仿宋" w:eastAsia="楷体_GB2312"/>
                                <w:sz w:val="21"/>
                                <w:szCs w:val="21"/>
                              </w:rPr>
                            </w:pPr>
                            <w:r>
                              <w:rPr>
                                <w:rFonts w:hint="eastAsia" w:ascii="楷体_GB2312" w:hAnsi="仿宋" w:eastAsia="楷体_GB2312"/>
                                <w:b/>
                                <w:sz w:val="21"/>
                                <w:szCs w:val="21"/>
                              </w:rPr>
                              <w:t>法门寺景区：</w:t>
                            </w:r>
                            <w:r>
                              <w:rPr>
                                <w:rFonts w:hint="eastAsia" w:ascii="楷体_GB2312" w:hAnsi="仿宋" w:eastAsia="楷体_GB2312"/>
                                <w:sz w:val="21"/>
                                <w:szCs w:val="21"/>
                              </w:rPr>
                              <w:t>统筹开发建设法门寺景区，依托法门镇建设规划，以法门寺为核心，科学统筹法门寺周边旅游资源，完善法门寺佛区建设，进一步开发法区和僧区，提高管理水平，扩大营销宣传，打造“国家级文化生态旅游示范区”。</w:t>
                            </w:r>
                          </w:p>
                          <w:p>
                            <w:pPr>
                              <w:autoSpaceDE w:val="0"/>
                              <w:autoSpaceDN w:val="0"/>
                              <w:spacing w:after="0" w:line="300" w:lineRule="exact"/>
                              <w:ind w:firstLine="422" w:firstLineChars="200"/>
                              <w:jc w:val="both"/>
                              <w:rPr>
                                <w:rFonts w:ascii="楷体_GB2312" w:hAnsi="仿宋" w:eastAsia="楷体_GB2312"/>
                                <w:sz w:val="21"/>
                                <w:szCs w:val="21"/>
                              </w:rPr>
                            </w:pPr>
                            <w:r>
                              <w:rPr>
                                <w:rFonts w:hint="eastAsia" w:ascii="楷体_GB2312" w:hAnsi="仿宋" w:eastAsia="楷体_GB2312" w:cs="仿宋_GB2312"/>
                                <w:b/>
                                <w:sz w:val="21"/>
                                <w:szCs w:val="21"/>
                              </w:rPr>
                              <w:t>西周文化景区：</w:t>
                            </w:r>
                            <w:r>
                              <w:rPr>
                                <w:rFonts w:hint="eastAsia" w:ascii="楷体_GB2312" w:hAnsi="仿宋" w:eastAsia="楷体_GB2312"/>
                                <w:sz w:val="21"/>
                                <w:szCs w:val="21"/>
                              </w:rPr>
                              <w:t>启动实施凤凰山遗址公园、中华周文化城等项目，完善游客接待服务体系，加快周公庙</w:t>
                            </w:r>
                            <w:r>
                              <w:rPr>
                                <w:rFonts w:ascii="楷体_GB2312" w:hAnsi="仿宋" w:eastAsia="楷体_GB2312"/>
                                <w:sz w:val="21"/>
                                <w:szCs w:val="21"/>
                              </w:rPr>
                              <w:t>5A</w:t>
                            </w:r>
                            <w:r>
                              <w:rPr>
                                <w:rFonts w:hint="eastAsia" w:ascii="楷体_GB2312" w:hAnsi="仿宋" w:eastAsia="楷体_GB2312"/>
                                <w:sz w:val="21"/>
                                <w:szCs w:val="21"/>
                              </w:rPr>
                              <w:t>级景区及</w:t>
                            </w:r>
                            <w:r>
                              <w:rPr>
                                <w:rFonts w:ascii="楷体_GB2312" w:hAnsi="仿宋" w:eastAsia="楷体_GB2312"/>
                                <w:sz w:val="21"/>
                                <w:szCs w:val="21"/>
                              </w:rPr>
                              <w:t>周文化博物院</w:t>
                            </w:r>
                            <w:r>
                              <w:rPr>
                                <w:rFonts w:hint="eastAsia" w:ascii="楷体_GB2312" w:hAnsi="仿宋" w:eastAsia="楷体_GB2312"/>
                                <w:sz w:val="21"/>
                                <w:szCs w:val="21"/>
                              </w:rPr>
                              <w:t>建设步伐。借助北京大学高端人才优势，实施周原凤雏遗址宫殿复原及展示、考古研究基地等项目，申请建设周原国家考古遗址公园。启动西岐古镇建设，规划建设周文化演艺厅、岐山历史陈列馆，做活周文化一条街，打造特色文化旅游街区，把西周文化景区打造成国内知名的文化旅游品牌。</w:t>
                            </w:r>
                          </w:p>
                          <w:p>
                            <w:pPr>
                              <w:spacing w:after="0" w:line="300" w:lineRule="exact"/>
                              <w:ind w:firstLine="422" w:firstLineChars="200"/>
                              <w:jc w:val="both"/>
                              <w:rPr>
                                <w:rFonts w:ascii="楷体_GB2312" w:hAnsi="仿宋" w:eastAsia="楷体_GB2312"/>
                                <w:sz w:val="21"/>
                                <w:szCs w:val="21"/>
                              </w:rPr>
                            </w:pPr>
                            <w:r>
                              <w:rPr>
                                <w:rFonts w:hint="eastAsia" w:ascii="楷体_GB2312" w:hAnsi="华文中宋" w:eastAsia="楷体_GB2312"/>
                                <w:b/>
                                <w:sz w:val="21"/>
                                <w:szCs w:val="21"/>
                              </w:rPr>
                              <w:t>临空产业经济区</w:t>
                            </w:r>
                            <w:r>
                              <w:rPr>
                                <w:rFonts w:hint="eastAsia" w:ascii="楷体_GB2312" w:hAnsi="仿宋" w:eastAsia="楷体_GB2312"/>
                                <w:b/>
                                <w:sz w:val="21"/>
                                <w:szCs w:val="21"/>
                              </w:rPr>
                              <w:t>：</w:t>
                            </w:r>
                            <w:r>
                              <w:rPr>
                                <w:rFonts w:hint="eastAsia" w:ascii="楷体_GB2312" w:hAnsi="华文中宋" w:eastAsia="楷体_GB2312"/>
                                <w:sz w:val="21"/>
                                <w:szCs w:val="21"/>
                              </w:rPr>
                              <w:t>依托宝鸡机场建设航空物流园区和飞行培训基地，完成临空经济区水、电、路等基础设施建设，</w:t>
                            </w:r>
                            <w:r>
                              <w:rPr>
                                <w:rFonts w:hint="eastAsia" w:ascii="楷体_GB2312" w:hAnsi="仿宋" w:eastAsia="楷体_GB2312"/>
                                <w:sz w:val="21"/>
                                <w:szCs w:val="21"/>
                              </w:rPr>
                              <w:t>完善空港与公路物流网、铁路物流网及省市物流园区等之间的连接，实现多层次、多维度整合，建成以空港物流服务、信息金融服务、商贸会展服务为一体的现代临空产业经济区。</w:t>
                            </w:r>
                            <w:r>
                              <w:rPr>
                                <w:rFonts w:hint="eastAsia" w:ascii="楷体_GB2312" w:hAnsi="华文中宋" w:eastAsia="楷体_GB2312"/>
                                <w:sz w:val="21"/>
                                <w:szCs w:val="21"/>
                              </w:rPr>
                              <w:t xml:space="preserve"> </w:t>
                            </w:r>
                          </w:p>
                        </w:txbxContent>
                      </wps:txbx>
                      <wps:bodyPr wrap="square" upright="1"/>
                    </wps:wsp>
                  </a:graphicData>
                </a:graphic>
              </wp:anchor>
            </w:drawing>
          </mc:Choice>
          <mc:Fallback>
            <w:pict>
              <v:shape id="文本框 19" o:spid="_x0000_s1026" o:spt="202" type="#_x0000_t202" style="position:absolute;left:0pt;margin-left:0.75pt;margin-top:0.5pt;height:272.55pt;width:434.6pt;mso-position-horizontal-relative:margin;mso-position-vertical-relative:margin;mso-wrap-distance-bottom:0pt;mso-wrap-distance-left:9pt;mso-wrap-distance-right:9pt;mso-wrap-distance-top:0pt;z-index:251669504;mso-width-relative:page;mso-height-relative:page;" fillcolor="#FFFFFF" filled="t" stroked="t" coordsize="21600,21600" o:allowoverlap="f" o:gfxdata="UEsDBAoAAAAAAIdO4kAAAAAAAAAAAAAAAAAEAAAAZHJzL1BLAwQUAAAACACHTuJAGUBs99YAAAAH&#10;AQAADwAAAGRycy9kb3ducmV2LnhtbE2PwU7DMBBE70j8g7VIXBC1A20SQpwekEBwg4Lg6sbbJCJe&#10;B9tNy9+znOC0Gs1o9k29PrpRzBji4ElDtlAgkFpvB+o0vL3eX5YgYjJkzegJNXxjhHVzelKbyvoD&#10;veC8SZ3gEoqV0dCnNFVSxrZHZ+LCT0js7XxwJrEMnbTBHLjcjfJKqVw6MxB/6M2Edz22n5u901Au&#10;H+eP+HT9/N7mu/EmXRTzw1fQ+vwsU7cgEh7TXxh+8RkdGmba+j3ZKEbWKw7y4UHsloUqQGw1rJZ5&#10;BrKp5X/+5gdQSwMEFAAAAAgAh07iQC+e9qQXAgAARwQAAA4AAABkcnMvZTJvRG9jLnhtbK1TzY7T&#10;MBC+I/EOlu80TXe72kabrgSlXBAgLTyAazuJJf/hcZv0BeANOHHhznP1ORg73e4PHHogB2fs+fzN&#10;zDfjm9vBaLKTAZSzNS0nU0qk5U4o29b0y+f1q2tKIDIrmHZW1nQvgd4uX7646X0lZ65zWshAkMRC&#10;1fuadjH6qiiAd9IwmDgvLTobFwyLuA1tIQLrkd3oYjadXhW9C8IHxyUAnq5GJz0yhnMIXdMoLleO&#10;b420cWQNUrOIJUGnPNBlzrZpJI8fmwZkJLqmWGnMKwZBe5PWYnnDqjYw3yl+TIGdk8KzmgxTFoOe&#10;qFYsMrIN6i8qo3hw4Jo44c4UYyFZEayinD7T5q5jXuZaUGrwJ9Hh/9HyD7tPgSiBk1BSYpnBjh9+&#10;fD/8/H349Y2UiyRQ76FC3J1HZBxeuwHB9+eAh6nuoQkm/bEign6Ud3+SVw6RcDycz8vF5QxdHH0X&#10;l1flxfU88RQP132A+E46Q5JR04D9y7Ky3XuII/QekqKB00qsldZ5E9rNGx3IjmGv1/k7sj+BaUv6&#10;mi7mszkmwnCAGxwcNI1HEcC2Od6TG/CYeJq/fxGnxFYMujGBzJBgrDIqypCtTjLx1goS9x51tvi+&#10;aErGSEGJlvgck5WRkSl9DhK10xYlTD0ae5GsOGwGpEnmxok99q3HEcfyvm5ZwJhbH1TbocC5j/ky&#10;zlfuxPEtpAF+vM8hHt7/8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QGz31gAAAAcBAAAPAAAA&#10;AAAAAAEAIAAAACIAAABkcnMvZG93bnJldi54bWxQSwECFAAUAAAACACHTuJAL572pBcCAABHBAAA&#10;DgAAAAAAAAABACAAAAAlAQAAZHJzL2Uyb0RvYy54bWxQSwUGAAAAAAYABgBZAQAArgUAAAAA&#10;">
                <v:fill on="t" focussize="0,0"/>
                <v:stroke color="#000000" joinstyle="miter"/>
                <v:imagedata o:title=""/>
                <o:lock v:ext="edit" aspectratio="f"/>
                <v:textbox>
                  <w:txbxContent>
                    <w:p>
                      <w:pPr>
                        <w:spacing w:after="0" w:line="240" w:lineRule="exact"/>
                        <w:rPr>
                          <w:rFonts w:ascii="黑体" w:hAnsi="黑体" w:eastAsia="黑体" w:cs="仿宋_GB2312"/>
                          <w:b/>
                          <w:bCs/>
                          <w:sz w:val="21"/>
                          <w:szCs w:val="21"/>
                        </w:rPr>
                      </w:pPr>
                      <w:r>
                        <w:rPr>
                          <w:rFonts w:hint="eastAsia" w:ascii="楷体_GB2312" w:hAnsi="黑体" w:eastAsia="楷体_GB2312" w:cs="仿宋_GB2312"/>
                          <w:b/>
                          <w:bCs/>
                          <w:sz w:val="21"/>
                          <w:szCs w:val="21"/>
                        </w:rPr>
                        <w:t>专栏4</w:t>
                      </w:r>
                    </w:p>
                    <w:p>
                      <w:pPr>
                        <w:spacing w:after="0" w:line="240" w:lineRule="exact"/>
                        <w:jc w:val="center"/>
                        <w:rPr>
                          <w:rFonts w:hint="eastAsia" w:ascii="黑体" w:hAnsi="黑体" w:eastAsia="黑体" w:cs="仿宋_GB2312"/>
                          <w:b/>
                          <w:bCs/>
                          <w:sz w:val="21"/>
                          <w:szCs w:val="21"/>
                        </w:rPr>
                      </w:pPr>
                      <w:r>
                        <w:rPr>
                          <w:rFonts w:hint="eastAsia" w:ascii="黑体" w:hAnsi="黑体" w:eastAsia="黑体" w:cs="仿宋_GB2312"/>
                          <w:b/>
                          <w:bCs/>
                          <w:sz w:val="21"/>
                          <w:szCs w:val="21"/>
                        </w:rPr>
                        <w:t>渭北现代产业融合发展带核心发展板块</w:t>
                      </w:r>
                    </w:p>
                    <w:p>
                      <w:pPr>
                        <w:spacing w:after="0" w:line="300" w:lineRule="exact"/>
                        <w:jc w:val="both"/>
                        <w:rPr>
                          <w:rFonts w:ascii="楷体_GB2312" w:hAnsi="仿宋" w:eastAsia="楷体_GB2312"/>
                          <w:sz w:val="21"/>
                          <w:szCs w:val="21"/>
                        </w:rPr>
                      </w:pPr>
                      <w:r>
                        <w:rPr>
                          <w:rFonts w:hint="eastAsia" w:ascii="黑体" w:hAnsi="黑体" w:eastAsia="黑体" w:cs="仿宋_GB2312"/>
                          <w:b/>
                          <w:bCs/>
                          <w:sz w:val="21"/>
                          <w:szCs w:val="21"/>
                        </w:rPr>
                        <w:t xml:space="preserve">    </w:t>
                      </w:r>
                      <w:r>
                        <w:rPr>
                          <w:rFonts w:hint="eastAsia" w:ascii="楷体_GB2312" w:hAnsi="仿宋" w:eastAsia="楷体_GB2312"/>
                          <w:b/>
                          <w:sz w:val="21"/>
                          <w:szCs w:val="21"/>
                        </w:rPr>
                        <w:t>凤翔高新技术产业开发区：</w:t>
                      </w:r>
                      <w:r>
                        <w:rPr>
                          <w:rFonts w:hint="eastAsia" w:ascii="楷体_GB2312" w:hAnsi="仿宋" w:eastAsia="楷体_GB2312"/>
                          <w:sz w:val="21"/>
                          <w:szCs w:val="21"/>
                        </w:rPr>
                        <w:t>以科技生态新城、柳林工业园以及长青工业园为三大板块，结合资源禀赋和发展基础，重点发展工业机器人、新材料、新型能化和白酒产业、文化产业等五大产业，建设成为陕西智能化工业装备制造中心、关天经济区能化材一体化发展引领区、西部科技产业带动城乡统筹发展示范区和中国凤香型白酒酒业创新中心。</w:t>
                      </w:r>
                    </w:p>
                    <w:p>
                      <w:pPr>
                        <w:spacing w:after="0" w:line="300" w:lineRule="exact"/>
                        <w:ind w:firstLine="413" w:firstLineChars="196"/>
                        <w:jc w:val="both"/>
                        <w:rPr>
                          <w:rFonts w:ascii="楷体_GB2312" w:hAnsi="仿宋" w:eastAsia="楷体_GB2312"/>
                          <w:sz w:val="21"/>
                          <w:szCs w:val="21"/>
                        </w:rPr>
                      </w:pPr>
                      <w:r>
                        <w:rPr>
                          <w:rFonts w:hint="eastAsia" w:ascii="楷体_GB2312" w:hAnsi="仿宋" w:eastAsia="楷体_GB2312"/>
                          <w:b/>
                          <w:sz w:val="21"/>
                          <w:szCs w:val="21"/>
                        </w:rPr>
                        <w:t>法门寺景区：</w:t>
                      </w:r>
                      <w:r>
                        <w:rPr>
                          <w:rFonts w:hint="eastAsia" w:ascii="楷体_GB2312" w:hAnsi="仿宋" w:eastAsia="楷体_GB2312"/>
                          <w:sz w:val="21"/>
                          <w:szCs w:val="21"/>
                        </w:rPr>
                        <w:t>统筹开发建设法门寺景区，依托法门镇建设规划，以法门寺为核心，科学统筹法门寺周边旅游资源，完善法门寺佛区建设，进一步开发法区和僧区，提高管理水平，扩大营销宣传，打造“国家级文化生态旅游示范区”。</w:t>
                      </w:r>
                    </w:p>
                    <w:p>
                      <w:pPr>
                        <w:autoSpaceDE w:val="0"/>
                        <w:autoSpaceDN w:val="0"/>
                        <w:spacing w:after="0" w:line="300" w:lineRule="exact"/>
                        <w:ind w:firstLine="422" w:firstLineChars="200"/>
                        <w:jc w:val="both"/>
                        <w:rPr>
                          <w:rFonts w:ascii="楷体_GB2312" w:hAnsi="仿宋" w:eastAsia="楷体_GB2312"/>
                          <w:sz w:val="21"/>
                          <w:szCs w:val="21"/>
                        </w:rPr>
                      </w:pPr>
                      <w:r>
                        <w:rPr>
                          <w:rFonts w:hint="eastAsia" w:ascii="楷体_GB2312" w:hAnsi="仿宋" w:eastAsia="楷体_GB2312" w:cs="仿宋_GB2312"/>
                          <w:b/>
                          <w:sz w:val="21"/>
                          <w:szCs w:val="21"/>
                        </w:rPr>
                        <w:t>西周文化景区：</w:t>
                      </w:r>
                      <w:r>
                        <w:rPr>
                          <w:rFonts w:hint="eastAsia" w:ascii="楷体_GB2312" w:hAnsi="仿宋" w:eastAsia="楷体_GB2312"/>
                          <w:sz w:val="21"/>
                          <w:szCs w:val="21"/>
                        </w:rPr>
                        <w:t>启动实施凤凰山遗址公园、中华周文化城等项目，完善游客接待服务体系，加快周公庙</w:t>
                      </w:r>
                      <w:r>
                        <w:rPr>
                          <w:rFonts w:ascii="楷体_GB2312" w:hAnsi="仿宋" w:eastAsia="楷体_GB2312"/>
                          <w:sz w:val="21"/>
                          <w:szCs w:val="21"/>
                        </w:rPr>
                        <w:t>5A</w:t>
                      </w:r>
                      <w:r>
                        <w:rPr>
                          <w:rFonts w:hint="eastAsia" w:ascii="楷体_GB2312" w:hAnsi="仿宋" w:eastAsia="楷体_GB2312"/>
                          <w:sz w:val="21"/>
                          <w:szCs w:val="21"/>
                        </w:rPr>
                        <w:t>级景区及</w:t>
                      </w:r>
                      <w:r>
                        <w:rPr>
                          <w:rFonts w:ascii="楷体_GB2312" w:hAnsi="仿宋" w:eastAsia="楷体_GB2312"/>
                          <w:sz w:val="21"/>
                          <w:szCs w:val="21"/>
                        </w:rPr>
                        <w:t>周文化博物院</w:t>
                      </w:r>
                      <w:r>
                        <w:rPr>
                          <w:rFonts w:hint="eastAsia" w:ascii="楷体_GB2312" w:hAnsi="仿宋" w:eastAsia="楷体_GB2312"/>
                          <w:sz w:val="21"/>
                          <w:szCs w:val="21"/>
                        </w:rPr>
                        <w:t>建设步伐。借助北京大学高端人才优势，实施周原凤雏遗址宫殿复原及展示、考古研究基地等项目，申请建设周原国家考古遗址公园。启动西岐古镇建设，规划建设周文化演艺厅、岐山历史陈列馆，做活周文化一条街，打造特色文化旅游街区，把西周文化景区打造成国内知名的文化旅游品牌。</w:t>
                      </w:r>
                    </w:p>
                    <w:p>
                      <w:pPr>
                        <w:spacing w:after="0" w:line="300" w:lineRule="exact"/>
                        <w:ind w:firstLine="422" w:firstLineChars="200"/>
                        <w:jc w:val="both"/>
                        <w:rPr>
                          <w:rFonts w:ascii="楷体_GB2312" w:hAnsi="仿宋" w:eastAsia="楷体_GB2312"/>
                          <w:sz w:val="21"/>
                          <w:szCs w:val="21"/>
                        </w:rPr>
                      </w:pPr>
                      <w:r>
                        <w:rPr>
                          <w:rFonts w:hint="eastAsia" w:ascii="楷体_GB2312" w:hAnsi="华文中宋" w:eastAsia="楷体_GB2312"/>
                          <w:b/>
                          <w:sz w:val="21"/>
                          <w:szCs w:val="21"/>
                        </w:rPr>
                        <w:t>临空产业经济区</w:t>
                      </w:r>
                      <w:r>
                        <w:rPr>
                          <w:rFonts w:hint="eastAsia" w:ascii="楷体_GB2312" w:hAnsi="仿宋" w:eastAsia="楷体_GB2312"/>
                          <w:b/>
                          <w:sz w:val="21"/>
                          <w:szCs w:val="21"/>
                        </w:rPr>
                        <w:t>：</w:t>
                      </w:r>
                      <w:r>
                        <w:rPr>
                          <w:rFonts w:hint="eastAsia" w:ascii="楷体_GB2312" w:hAnsi="华文中宋" w:eastAsia="楷体_GB2312"/>
                          <w:sz w:val="21"/>
                          <w:szCs w:val="21"/>
                        </w:rPr>
                        <w:t>依托宝鸡机场建设航空物流园区和飞行培训基地，完成临空经济区水、电、路等基础设施建设，</w:t>
                      </w:r>
                      <w:r>
                        <w:rPr>
                          <w:rFonts w:hint="eastAsia" w:ascii="楷体_GB2312" w:hAnsi="仿宋" w:eastAsia="楷体_GB2312"/>
                          <w:sz w:val="21"/>
                          <w:szCs w:val="21"/>
                        </w:rPr>
                        <w:t>完善空港与公路物流网、铁路物流网及省市物流园区等之间的连接，实现多层次、多维度整合，建成以空港物流服务、信息金融服务、商贸会展服务为一体的现代临空产业经济区。</w:t>
                      </w:r>
                      <w:r>
                        <w:rPr>
                          <w:rFonts w:hint="eastAsia" w:ascii="楷体_GB2312" w:hAnsi="华文中宋" w:eastAsia="楷体_GB2312"/>
                          <w:sz w:val="21"/>
                          <w:szCs w:val="21"/>
                        </w:rPr>
                        <w:t xml:space="preserve"> </w:t>
                      </w:r>
                    </w:p>
                  </w:txbxContent>
                </v:textbox>
                <w10:wrap type="square"/>
              </v:shape>
            </w:pict>
          </mc:Fallback>
        </mc:AlternateContent>
      </w:r>
      <w:r>
        <w:rPr>
          <w:lang/>
        </w:rPr>
        <w:drawing>
          <wp:anchor distT="0" distB="0" distL="114300" distR="114300" simplePos="0" relativeHeight="251702272" behindDoc="0" locked="0" layoutInCell="1" allowOverlap="1">
            <wp:simplePos x="0" y="0"/>
            <wp:positionH relativeFrom="column">
              <wp:posOffset>69850</wp:posOffset>
            </wp:positionH>
            <wp:positionV relativeFrom="paragraph">
              <wp:posOffset>3665220</wp:posOffset>
            </wp:positionV>
            <wp:extent cx="5400040" cy="4993640"/>
            <wp:effectExtent l="57150" t="57150" r="67310" b="73660"/>
            <wp:wrapSquare wrapText="bothSides"/>
            <wp:docPr id="43" name="图片 13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4" descr="14"/>
                    <pic:cNvPicPr>
                      <a:picLocks noChangeAspect="1"/>
                    </pic:cNvPicPr>
                  </pic:nvPicPr>
                  <pic:blipFill>
                    <a:blip r:embed="rId20"/>
                    <a:stretch>
                      <a:fillRect/>
                    </a:stretch>
                  </pic:blipFill>
                  <pic:spPr>
                    <a:xfrm>
                      <a:off x="0" y="0"/>
                      <a:ext cx="5400040" cy="4993640"/>
                    </a:xfrm>
                    <a:prstGeom prst="rect">
                      <a:avLst/>
                    </a:prstGeom>
                    <a:noFill/>
                    <a:ln w="57150" cap="flat" cmpd="thickThin">
                      <a:solidFill>
                        <a:srgbClr val="808080"/>
                      </a:solidFill>
                      <a:prstDash val="solid"/>
                      <a:miter/>
                      <a:headEnd type="none" w="med" len="med"/>
                      <a:tailEnd type="none" w="med" len="med"/>
                    </a:ln>
                  </pic:spPr>
                </pic:pic>
              </a:graphicData>
            </a:graphic>
          </wp:anchor>
        </w:drawing>
      </w:r>
    </w:p>
    <w:p>
      <w:pPr>
        <w:spacing w:after="0" w:line="560" w:lineRule="exact"/>
        <w:ind w:firstLine="431" w:firstLineChars="196"/>
        <w:rPr>
          <w:rFonts w:hint="eastAsia" w:ascii="宋体" w:hAnsi="宋体" w:eastAsia="宋体" w:cs="宋体"/>
          <w:sz w:val="18"/>
          <w:szCs w:val="18"/>
        </w:rPr>
      </w:pPr>
      <w:r>
        <w:rPr>
          <w:lang/>
        </w:rPr>
        <w:drawing>
          <wp:anchor distT="0" distB="0" distL="114300" distR="114300" simplePos="0" relativeHeight="251703296" behindDoc="0" locked="0" layoutInCell="1" allowOverlap="1">
            <wp:simplePos x="0" y="0"/>
            <wp:positionH relativeFrom="column">
              <wp:posOffset>53340</wp:posOffset>
            </wp:positionH>
            <wp:positionV relativeFrom="paragraph">
              <wp:posOffset>3528060</wp:posOffset>
            </wp:positionV>
            <wp:extent cx="5400040" cy="5135880"/>
            <wp:effectExtent l="57150" t="57150" r="67310" b="64770"/>
            <wp:wrapSquare wrapText="bothSides"/>
            <wp:docPr id="44" name="图片 13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7" descr="15"/>
                    <pic:cNvPicPr>
                      <a:picLocks noChangeAspect="1"/>
                    </pic:cNvPicPr>
                  </pic:nvPicPr>
                  <pic:blipFill>
                    <a:blip r:embed="rId21"/>
                    <a:stretch>
                      <a:fillRect/>
                    </a:stretch>
                  </pic:blipFill>
                  <pic:spPr>
                    <a:xfrm>
                      <a:off x="0" y="0"/>
                      <a:ext cx="5400040" cy="5135880"/>
                    </a:xfrm>
                    <a:prstGeom prst="rect">
                      <a:avLst/>
                    </a:prstGeom>
                    <a:noFill/>
                    <a:ln w="57150" cap="flat" cmpd="thickThin">
                      <a:solidFill>
                        <a:srgbClr val="808080"/>
                      </a:solidFill>
                      <a:prstDash val="solid"/>
                      <a:miter/>
                      <a:headEnd type="none" w="med" len="med"/>
                      <a:tailEnd type="none" w="med" len="med"/>
                    </a:ln>
                  </pic:spPr>
                </pic:pic>
              </a:graphicData>
            </a:graphic>
          </wp:anchor>
        </w:drawing>
      </w:r>
      <w:r>
        <w:rPr>
          <w:lang/>
        </w:rPr>
        <mc:AlternateContent>
          <mc:Choice Requires="wps">
            <w:drawing>
              <wp:anchor distT="0" distB="0" distL="114300" distR="114300" simplePos="0" relativeHeight="251700224" behindDoc="1" locked="0" layoutInCell="1" allowOverlap="1">
                <wp:simplePos x="0" y="0"/>
                <wp:positionH relativeFrom="margin">
                  <wp:posOffset>8255</wp:posOffset>
                </wp:positionH>
                <wp:positionV relativeFrom="margin">
                  <wp:posOffset>8255</wp:posOffset>
                </wp:positionV>
                <wp:extent cx="5532755" cy="3362325"/>
                <wp:effectExtent l="4445" t="4445" r="6350" b="5080"/>
                <wp:wrapSquare wrapText="bothSides"/>
                <wp:docPr id="41" name="文本框 130"/>
                <wp:cNvGraphicFramePr/>
                <a:graphic xmlns:a="http://schemas.openxmlformats.org/drawingml/2006/main">
                  <a:graphicData uri="http://schemas.microsoft.com/office/word/2010/wordprocessingShape">
                    <wps:wsp>
                      <wps:cNvSpPr txBox="1"/>
                      <wps:spPr>
                        <a:xfrm>
                          <a:off x="0" y="0"/>
                          <a:ext cx="5532755" cy="336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专栏5</w:t>
                            </w:r>
                          </w:p>
                          <w:p>
                            <w:pPr>
                              <w:spacing w:after="0" w:line="240" w:lineRule="exact"/>
                              <w:jc w:val="center"/>
                              <w:rPr>
                                <w:rFonts w:ascii="楷体_GB2312" w:hAnsi="仿宋" w:eastAsia="楷体_GB2312"/>
                                <w:b/>
                                <w:sz w:val="21"/>
                                <w:szCs w:val="21"/>
                              </w:rPr>
                            </w:pPr>
                            <w:r>
                              <w:rPr>
                                <w:rFonts w:hint="eastAsia" w:ascii="黑体" w:hAnsi="黑体" w:eastAsia="黑体" w:cs="仿宋_GB2312"/>
                                <w:b/>
                                <w:bCs/>
                                <w:sz w:val="21"/>
                                <w:szCs w:val="21"/>
                              </w:rPr>
                              <w:t>麟陇新型能源开发带核心发展板块</w:t>
                            </w:r>
                          </w:p>
                          <w:p>
                            <w:pPr>
                              <w:spacing w:after="0" w:line="280" w:lineRule="exact"/>
                              <w:ind w:firstLine="422" w:firstLineChars="200"/>
                              <w:jc w:val="both"/>
                              <w:rPr>
                                <w:rFonts w:ascii="楷体_GB2312" w:hAnsi="仿宋" w:eastAsia="楷体_GB2312"/>
                                <w:sz w:val="21"/>
                                <w:szCs w:val="21"/>
                              </w:rPr>
                            </w:pPr>
                            <w:r>
                              <w:rPr>
                                <w:rFonts w:hint="eastAsia" w:ascii="楷体_GB2312" w:hAnsi="仿宋" w:eastAsia="楷体_GB2312"/>
                                <w:b/>
                                <w:sz w:val="21"/>
                                <w:szCs w:val="21"/>
                              </w:rPr>
                              <w:t>麟北能源开发区：</w:t>
                            </w:r>
                            <w:r>
                              <w:rPr>
                                <w:rFonts w:hint="eastAsia" w:ascii="楷体_GB2312" w:hAnsi="仿宋" w:eastAsia="楷体_GB2312"/>
                                <w:sz w:val="21"/>
                                <w:szCs w:val="21"/>
                              </w:rPr>
                              <w:t>加快麟北煤田建设步伐，采用先进技术装备，设计和建设大型现代化煤矿。推进矿井技术改造，配套完善生产辅助设施，全面提升煤矿安全保障能力。到“十三五”末基本建成年生产规模</w:t>
                            </w:r>
                            <w:r>
                              <w:rPr>
                                <w:rFonts w:ascii="楷体_GB2312" w:hAnsi="仿宋" w:eastAsia="楷体_GB2312"/>
                                <w:sz w:val="21"/>
                                <w:szCs w:val="21"/>
                              </w:rPr>
                              <w:t>2000</w:t>
                            </w:r>
                            <w:r>
                              <w:rPr>
                                <w:rFonts w:hint="eastAsia" w:ascii="楷体_GB2312" w:hAnsi="仿宋" w:eastAsia="楷体_GB2312"/>
                                <w:sz w:val="21"/>
                                <w:szCs w:val="21"/>
                              </w:rPr>
                              <w:t>万吨的大型现代化煤炭生产基地。在矿区积极构建“煤炭</w:t>
                            </w:r>
                            <w:r>
                              <w:rPr>
                                <w:rFonts w:ascii="楷体_GB2312" w:hAnsi="仿宋" w:eastAsia="楷体_GB2312"/>
                                <w:sz w:val="21"/>
                                <w:szCs w:val="21"/>
                              </w:rPr>
                              <w:t>—</w:t>
                            </w:r>
                            <w:r>
                              <w:rPr>
                                <w:rFonts w:hint="eastAsia" w:ascii="楷体_GB2312" w:hAnsi="仿宋" w:eastAsia="楷体_GB2312"/>
                                <w:sz w:val="21"/>
                                <w:szCs w:val="21"/>
                              </w:rPr>
                              <w:t>电力</w:t>
                            </w:r>
                            <w:r>
                              <w:rPr>
                                <w:rFonts w:ascii="楷体_GB2312" w:hAnsi="仿宋" w:eastAsia="楷体_GB2312"/>
                                <w:sz w:val="21"/>
                                <w:szCs w:val="21"/>
                              </w:rPr>
                              <w:t>—</w:t>
                            </w:r>
                            <w:r>
                              <w:rPr>
                                <w:rFonts w:hint="eastAsia" w:ascii="楷体_GB2312" w:hAnsi="仿宋" w:eastAsia="楷体_GB2312"/>
                                <w:sz w:val="21"/>
                                <w:szCs w:val="21"/>
                              </w:rPr>
                              <w:t>建材”产业链，形成“煤为基础、电为支撑、建材为延伸”的循环产业集群，成为全省乃至全国一流的现代化大型能源基地和循环经济示范基地。</w:t>
                            </w:r>
                          </w:p>
                          <w:p>
                            <w:pPr>
                              <w:spacing w:after="0" w:line="280" w:lineRule="exact"/>
                              <w:ind w:firstLine="422" w:firstLineChars="200"/>
                              <w:jc w:val="both"/>
                              <w:rPr>
                                <w:rFonts w:hint="eastAsia" w:ascii="楷体_GB2312" w:hAnsi="仿宋" w:eastAsia="楷体_GB2312"/>
                                <w:color w:val="000000"/>
                                <w:sz w:val="21"/>
                                <w:szCs w:val="21"/>
                              </w:rPr>
                            </w:pPr>
                            <w:r>
                              <w:rPr>
                                <w:rFonts w:hint="eastAsia" w:ascii="楷体_GB2312" w:hAnsi="仿宋" w:eastAsia="楷体_GB2312"/>
                                <w:b/>
                                <w:sz w:val="21"/>
                                <w:szCs w:val="21"/>
                              </w:rPr>
                              <w:t>千阳新能源发展区</w:t>
                            </w:r>
                            <w:r>
                              <w:rPr>
                                <w:rFonts w:hint="eastAsia" w:ascii="楷体_GB2312" w:hAnsi="仿宋" w:eastAsia="楷体_GB2312"/>
                                <w:sz w:val="21"/>
                                <w:szCs w:val="21"/>
                              </w:rPr>
                              <w:t>：依托英利集团等龙头企业，在工业园区、农产品加工园区推广分布式光伏发电，建设光伏产业园，围绕太阳能光伏、光热利用，延伸壮大产业链，重点发展大型并网电站集成系统、建筑一体化光伏并网发电系统，加快太阳能光伏组件生产项目建设，力争“十三五”末，光伏发电总装机容量达到</w:t>
                            </w:r>
                            <w:r>
                              <w:rPr>
                                <w:rFonts w:ascii="楷体_GB2312" w:hAnsi="仿宋" w:eastAsia="楷体_GB2312"/>
                                <w:sz w:val="21"/>
                                <w:szCs w:val="21"/>
                              </w:rPr>
                              <w:t>10</w:t>
                            </w:r>
                            <w:r>
                              <w:rPr>
                                <w:rFonts w:hint="eastAsia" w:ascii="楷体_GB2312" w:hAnsi="仿宋" w:eastAsia="楷体_GB2312"/>
                                <w:sz w:val="21"/>
                                <w:szCs w:val="21"/>
                              </w:rPr>
                              <w:t>万千瓦，发电量达到</w:t>
                            </w:r>
                            <w:r>
                              <w:rPr>
                                <w:rFonts w:ascii="楷体_GB2312" w:hAnsi="仿宋" w:eastAsia="楷体_GB2312"/>
                                <w:sz w:val="21"/>
                                <w:szCs w:val="21"/>
                              </w:rPr>
                              <w:t>1.2</w:t>
                            </w:r>
                            <w:r>
                              <w:rPr>
                                <w:rFonts w:hint="eastAsia" w:ascii="楷体_GB2312" w:hAnsi="仿宋" w:eastAsia="楷体_GB2312"/>
                                <w:sz w:val="21"/>
                                <w:szCs w:val="21"/>
                              </w:rPr>
                              <w:t>亿千瓦</w:t>
                            </w:r>
                            <w:r>
                              <w:rPr>
                                <w:rFonts w:ascii="楷体_GB2312" w:hAnsi="仿宋" w:eastAsia="楷体_GB2312"/>
                                <w:sz w:val="21"/>
                                <w:szCs w:val="21"/>
                              </w:rPr>
                              <w:t>/</w:t>
                            </w:r>
                            <w:r>
                              <w:rPr>
                                <w:rFonts w:hint="eastAsia" w:ascii="楷体_GB2312" w:hAnsi="仿宋" w:eastAsia="楷体_GB2312"/>
                                <w:sz w:val="21"/>
                                <w:szCs w:val="21"/>
                              </w:rPr>
                              <w:t>时，光伏组件生产规模达到</w:t>
                            </w:r>
                            <w:r>
                              <w:rPr>
                                <w:rFonts w:ascii="楷体_GB2312" w:hAnsi="仿宋" w:eastAsia="楷体_GB2312"/>
                                <w:sz w:val="21"/>
                                <w:szCs w:val="21"/>
                              </w:rPr>
                              <w:t>400</w:t>
                            </w:r>
                            <w:r>
                              <w:rPr>
                                <w:rFonts w:hint="eastAsia" w:ascii="楷体_GB2312" w:hAnsi="仿宋" w:eastAsia="楷体_GB2312"/>
                                <w:sz w:val="21"/>
                                <w:szCs w:val="21"/>
                              </w:rPr>
                              <w:t>兆瓦。加快特变电工新疆新能源公司风电项目实施，有序推进风电开发，风电总装机容量达</w:t>
                            </w:r>
                            <w:r>
                              <w:rPr>
                                <w:rFonts w:hint="eastAsia" w:ascii="楷体_GB2312" w:hAnsi="仿宋" w:eastAsia="楷体_GB2312"/>
                                <w:color w:val="000000"/>
                                <w:sz w:val="21"/>
                                <w:szCs w:val="21"/>
                              </w:rPr>
                              <w:t>到</w:t>
                            </w:r>
                            <w:r>
                              <w:rPr>
                                <w:rFonts w:ascii="楷体_GB2312" w:hAnsi="仿宋" w:eastAsia="楷体_GB2312"/>
                                <w:color w:val="000000"/>
                                <w:sz w:val="21"/>
                                <w:szCs w:val="21"/>
                              </w:rPr>
                              <w:t>20</w:t>
                            </w:r>
                            <w:r>
                              <w:rPr>
                                <w:rFonts w:hint="eastAsia" w:ascii="楷体_GB2312" w:hAnsi="仿宋" w:eastAsia="楷体_GB2312"/>
                                <w:color w:val="000000"/>
                                <w:sz w:val="21"/>
                                <w:szCs w:val="21"/>
                              </w:rPr>
                              <w:t>万</w:t>
                            </w:r>
                            <w:r>
                              <w:rPr>
                                <w:rFonts w:ascii="楷体_GB2312" w:hAnsi="仿宋" w:eastAsia="楷体_GB2312"/>
                                <w:color w:val="000000"/>
                                <w:sz w:val="21"/>
                                <w:szCs w:val="21"/>
                              </w:rPr>
                              <w:t>千</w:t>
                            </w:r>
                            <w:r>
                              <w:rPr>
                                <w:rFonts w:hint="eastAsia" w:ascii="楷体_GB2312" w:hAnsi="仿宋" w:eastAsia="楷体_GB2312"/>
                                <w:color w:val="000000"/>
                                <w:sz w:val="21"/>
                                <w:szCs w:val="21"/>
                              </w:rPr>
                              <w:t>瓦。</w:t>
                            </w:r>
                          </w:p>
                          <w:p>
                            <w:pPr>
                              <w:spacing w:after="0" w:line="280" w:lineRule="exact"/>
                              <w:ind w:firstLine="422" w:firstLineChars="200"/>
                              <w:jc w:val="both"/>
                              <w:rPr>
                                <w:rFonts w:ascii="楷体_GB2312" w:hAnsi="仿宋" w:eastAsia="楷体_GB2312"/>
                                <w:sz w:val="21"/>
                                <w:szCs w:val="21"/>
                              </w:rPr>
                            </w:pPr>
                            <w:r>
                              <w:rPr>
                                <w:rFonts w:hint="eastAsia" w:ascii="楷体_GB2312" w:hAnsi="仿宋" w:eastAsia="楷体_GB2312"/>
                                <w:b/>
                                <w:sz w:val="21"/>
                                <w:szCs w:val="21"/>
                              </w:rPr>
                              <w:t>陇县国家级绿色能源示范县：</w:t>
                            </w:r>
                            <w:r>
                              <w:rPr>
                                <w:rFonts w:hint="eastAsia" w:ascii="楷体_GB2312" w:hAnsi="Times New Roman" w:eastAsia="楷体_GB2312"/>
                                <w:sz w:val="21"/>
                                <w:szCs w:val="21"/>
                              </w:rPr>
                              <w:t>培育发展风能、太阳能、水能、生物质、地热等新型能源，着力构建结构优化、布局合理、清洁环保、安全高效的绿色低碳能源供应体系，完成代燃料、风力发电、太阳能发电和太阳能热水器等新能源建设项目，新能源装机总量达300兆瓦，推广太阳能热水器15000台。</w:t>
                            </w:r>
                          </w:p>
                        </w:txbxContent>
                      </wps:txbx>
                      <wps:bodyPr wrap="square" upright="1"/>
                    </wps:wsp>
                  </a:graphicData>
                </a:graphic>
              </wp:anchor>
            </w:drawing>
          </mc:Choice>
          <mc:Fallback>
            <w:pict>
              <v:shape id="文本框 130" o:spid="_x0000_s1026" o:spt="202" type="#_x0000_t202" style="position:absolute;left:0pt;margin-left:0.65pt;margin-top:0.65pt;height:264.75pt;width:435.65pt;mso-position-horizontal-relative:margin;mso-position-vertical-relative:margin;mso-wrap-distance-bottom:0pt;mso-wrap-distance-left:9pt;mso-wrap-distance-right:9pt;mso-wrap-distance-top:0pt;z-index:-251616256;mso-width-relative:page;mso-height-relative:page;" fillcolor="#FFFFFF" filled="t" stroked="t" coordsize="21600,21600" o:gfxdata="UEsDBAoAAAAAAIdO4kAAAAAAAAAAAAAAAAAEAAAAZHJzL1BLAwQUAAAACACHTuJAMCfApdUAAAAH&#10;AQAADwAAAGRycy9kb3ducmV2LnhtbE2OwU7DMBBE70j8g7VIXBC120AaQpwekEBwKwXB1Y23SUS8&#10;Drablr9nEQc4jUYzmnnV6ugGMWGIvScN85kCgdR421Or4fXl/rIAEZMhawZPqOELI6zq05PKlNYf&#10;6BmnTWoFj1AsjYYupbGUMjYdOhNnfkTibOeDM4ltaKUN5sDjbpALpXLpTE/80JkR7zpsPjZ7p6G4&#10;epze41O2fmvy3XCTLpbTw2fQ+vxsrm5BJDymvzL84DM61My09XuyUQzsMy7+CqfFcpGD2Gq4zlQB&#10;sq7kf/76G1BLAwQUAAAACACHTuJA9akAcBgCAABIBAAADgAAAGRycy9lMm9Eb2MueG1srVRLjhMx&#10;EN0jcQfLe9L50APTSmckCGGDAGmYA1Rsd7cl/7CddOcCcANWbNjPuXIOyk5IZgYWWeCFu2yXX9V7&#10;Ve75zaAV2QofpDU1nYzGlAjDLJemrendl9WL15SECIaDskbUdCcCvVk8fzbvXSWmtrOKC08QxISq&#10;dzXtYnRVUQTWCQ1hZJ0weNhYryHi0rcF99AjulbFdDy+KnrrufOWiRBwd3k4pEdEfwmgbRrJxNKy&#10;jRYmHlC9UBCRUuikC3SRs20aweKnpgkiElVTZBrzjEHQXqe5WMyhaj24TrJjCnBJCk84aZAGg56g&#10;lhCBbLz8C0pL5m2wTRwxq4sDkawIspiMn2hz24ETmQtKHdxJ9PD/YNnH7WdPJK/pywklBjRWfP/j&#10;+/7n/f7XNzKZZYV6Fyp0vHXoGoc3dsC+Scql/YCbifjQeJ2+SIngOeq7O+krhkgYbpblbPqqLClh&#10;eDabXU1n0zLhFOfrzof4XlhNklFTjwXMusL2Q4gH1z8uKVqwSvKVVCovfLt+qzzZAhZ7lccR/ZGb&#10;MqSv6XWJsQkD7OAGOwdN7VCFYNoc79GN8BB4nMe/gFNiSwjdIYGMkNyg0jIKn61OAH9nOIk7h0Ib&#10;fGA0JaMFp0QJfI/Jyp4RpLrEE7VTBiU81yJZcVgPCJPMteU7rFuPPY70vm7AY8yN87LtUOBcx3wZ&#10;GyxX4vgYUgc/XOcQ5x/A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J8Cl1QAAAAcBAAAPAAAA&#10;AAAAAAEAIAAAACIAAABkcnMvZG93bnJldi54bWxQSwECFAAUAAAACACHTuJA9akAcBgCAABIBAAA&#10;DgAAAAAAAAABACAAAAAkAQAAZHJzL2Uyb0RvYy54bWxQSwUGAAAAAAYABgBZAQAArgUAAAAA&#10;">
                <v:fill on="t" focussize="0,0"/>
                <v:stroke color="#000000" joinstyle="miter"/>
                <v:imagedata o:title=""/>
                <o:lock v:ext="edit" aspectratio="f"/>
                <v:textbox>
                  <w:txbxContent>
                    <w:p>
                      <w:pPr>
                        <w:spacing w:after="0" w:line="24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专栏5</w:t>
                      </w:r>
                    </w:p>
                    <w:p>
                      <w:pPr>
                        <w:spacing w:after="0" w:line="240" w:lineRule="exact"/>
                        <w:jc w:val="center"/>
                        <w:rPr>
                          <w:rFonts w:ascii="楷体_GB2312" w:hAnsi="仿宋" w:eastAsia="楷体_GB2312"/>
                          <w:b/>
                          <w:sz w:val="21"/>
                          <w:szCs w:val="21"/>
                        </w:rPr>
                      </w:pPr>
                      <w:r>
                        <w:rPr>
                          <w:rFonts w:hint="eastAsia" w:ascii="黑体" w:hAnsi="黑体" w:eastAsia="黑体" w:cs="仿宋_GB2312"/>
                          <w:b/>
                          <w:bCs/>
                          <w:sz w:val="21"/>
                          <w:szCs w:val="21"/>
                        </w:rPr>
                        <w:t>麟陇新型能源开发带核心发展板块</w:t>
                      </w:r>
                    </w:p>
                    <w:p>
                      <w:pPr>
                        <w:spacing w:after="0" w:line="280" w:lineRule="exact"/>
                        <w:ind w:firstLine="422" w:firstLineChars="200"/>
                        <w:jc w:val="both"/>
                        <w:rPr>
                          <w:rFonts w:ascii="楷体_GB2312" w:hAnsi="仿宋" w:eastAsia="楷体_GB2312"/>
                          <w:sz w:val="21"/>
                          <w:szCs w:val="21"/>
                        </w:rPr>
                      </w:pPr>
                      <w:r>
                        <w:rPr>
                          <w:rFonts w:hint="eastAsia" w:ascii="楷体_GB2312" w:hAnsi="仿宋" w:eastAsia="楷体_GB2312"/>
                          <w:b/>
                          <w:sz w:val="21"/>
                          <w:szCs w:val="21"/>
                        </w:rPr>
                        <w:t>麟北能源开发区：</w:t>
                      </w:r>
                      <w:r>
                        <w:rPr>
                          <w:rFonts w:hint="eastAsia" w:ascii="楷体_GB2312" w:hAnsi="仿宋" w:eastAsia="楷体_GB2312"/>
                          <w:sz w:val="21"/>
                          <w:szCs w:val="21"/>
                        </w:rPr>
                        <w:t>加快麟北煤田建设步伐，采用先进技术装备，设计和建设大型现代化煤矿。推进矿井技术改造，配套完善生产辅助设施，全面提升煤矿安全保障能力。到“十三五”末基本建成年生产规模</w:t>
                      </w:r>
                      <w:r>
                        <w:rPr>
                          <w:rFonts w:ascii="楷体_GB2312" w:hAnsi="仿宋" w:eastAsia="楷体_GB2312"/>
                          <w:sz w:val="21"/>
                          <w:szCs w:val="21"/>
                        </w:rPr>
                        <w:t>2000</w:t>
                      </w:r>
                      <w:r>
                        <w:rPr>
                          <w:rFonts w:hint="eastAsia" w:ascii="楷体_GB2312" w:hAnsi="仿宋" w:eastAsia="楷体_GB2312"/>
                          <w:sz w:val="21"/>
                          <w:szCs w:val="21"/>
                        </w:rPr>
                        <w:t>万吨的大型现代化煤炭生产基地。在矿区积极构建“煤炭</w:t>
                      </w:r>
                      <w:r>
                        <w:rPr>
                          <w:rFonts w:ascii="楷体_GB2312" w:hAnsi="仿宋" w:eastAsia="楷体_GB2312"/>
                          <w:sz w:val="21"/>
                          <w:szCs w:val="21"/>
                        </w:rPr>
                        <w:t>—</w:t>
                      </w:r>
                      <w:r>
                        <w:rPr>
                          <w:rFonts w:hint="eastAsia" w:ascii="楷体_GB2312" w:hAnsi="仿宋" w:eastAsia="楷体_GB2312"/>
                          <w:sz w:val="21"/>
                          <w:szCs w:val="21"/>
                        </w:rPr>
                        <w:t>电力</w:t>
                      </w:r>
                      <w:r>
                        <w:rPr>
                          <w:rFonts w:ascii="楷体_GB2312" w:hAnsi="仿宋" w:eastAsia="楷体_GB2312"/>
                          <w:sz w:val="21"/>
                          <w:szCs w:val="21"/>
                        </w:rPr>
                        <w:t>—</w:t>
                      </w:r>
                      <w:r>
                        <w:rPr>
                          <w:rFonts w:hint="eastAsia" w:ascii="楷体_GB2312" w:hAnsi="仿宋" w:eastAsia="楷体_GB2312"/>
                          <w:sz w:val="21"/>
                          <w:szCs w:val="21"/>
                        </w:rPr>
                        <w:t>建材”产业链，形成“煤为基础、电为支撑、建材为延伸”的循环产业集群，成为全省乃至全国一流的现代化大型能源基地和循环经济示范基地。</w:t>
                      </w:r>
                    </w:p>
                    <w:p>
                      <w:pPr>
                        <w:spacing w:after="0" w:line="280" w:lineRule="exact"/>
                        <w:ind w:firstLine="422" w:firstLineChars="200"/>
                        <w:jc w:val="both"/>
                        <w:rPr>
                          <w:rFonts w:hint="eastAsia" w:ascii="楷体_GB2312" w:hAnsi="仿宋" w:eastAsia="楷体_GB2312"/>
                          <w:color w:val="000000"/>
                          <w:sz w:val="21"/>
                          <w:szCs w:val="21"/>
                        </w:rPr>
                      </w:pPr>
                      <w:r>
                        <w:rPr>
                          <w:rFonts w:hint="eastAsia" w:ascii="楷体_GB2312" w:hAnsi="仿宋" w:eastAsia="楷体_GB2312"/>
                          <w:b/>
                          <w:sz w:val="21"/>
                          <w:szCs w:val="21"/>
                        </w:rPr>
                        <w:t>千阳新能源发展区</w:t>
                      </w:r>
                      <w:r>
                        <w:rPr>
                          <w:rFonts w:hint="eastAsia" w:ascii="楷体_GB2312" w:hAnsi="仿宋" w:eastAsia="楷体_GB2312"/>
                          <w:sz w:val="21"/>
                          <w:szCs w:val="21"/>
                        </w:rPr>
                        <w:t>：依托英利集团等龙头企业，在工业园区、农产品加工园区推广分布式光伏发电，建设光伏产业园，围绕太阳能光伏、光热利用，延伸壮大产业链，重点发展大型并网电站集成系统、建筑一体化光伏并网发电系统，加快太阳能光伏组件生产项目建设，力争“十三五”末，光伏发电总装机容量达到</w:t>
                      </w:r>
                      <w:r>
                        <w:rPr>
                          <w:rFonts w:ascii="楷体_GB2312" w:hAnsi="仿宋" w:eastAsia="楷体_GB2312"/>
                          <w:sz w:val="21"/>
                          <w:szCs w:val="21"/>
                        </w:rPr>
                        <w:t>10</w:t>
                      </w:r>
                      <w:r>
                        <w:rPr>
                          <w:rFonts w:hint="eastAsia" w:ascii="楷体_GB2312" w:hAnsi="仿宋" w:eastAsia="楷体_GB2312"/>
                          <w:sz w:val="21"/>
                          <w:szCs w:val="21"/>
                        </w:rPr>
                        <w:t>万千瓦，发电量达到</w:t>
                      </w:r>
                      <w:r>
                        <w:rPr>
                          <w:rFonts w:ascii="楷体_GB2312" w:hAnsi="仿宋" w:eastAsia="楷体_GB2312"/>
                          <w:sz w:val="21"/>
                          <w:szCs w:val="21"/>
                        </w:rPr>
                        <w:t>1.2</w:t>
                      </w:r>
                      <w:r>
                        <w:rPr>
                          <w:rFonts w:hint="eastAsia" w:ascii="楷体_GB2312" w:hAnsi="仿宋" w:eastAsia="楷体_GB2312"/>
                          <w:sz w:val="21"/>
                          <w:szCs w:val="21"/>
                        </w:rPr>
                        <w:t>亿千瓦</w:t>
                      </w:r>
                      <w:r>
                        <w:rPr>
                          <w:rFonts w:ascii="楷体_GB2312" w:hAnsi="仿宋" w:eastAsia="楷体_GB2312"/>
                          <w:sz w:val="21"/>
                          <w:szCs w:val="21"/>
                        </w:rPr>
                        <w:t>/</w:t>
                      </w:r>
                      <w:r>
                        <w:rPr>
                          <w:rFonts w:hint="eastAsia" w:ascii="楷体_GB2312" w:hAnsi="仿宋" w:eastAsia="楷体_GB2312"/>
                          <w:sz w:val="21"/>
                          <w:szCs w:val="21"/>
                        </w:rPr>
                        <w:t>时，光伏组件生产规模达到</w:t>
                      </w:r>
                      <w:r>
                        <w:rPr>
                          <w:rFonts w:ascii="楷体_GB2312" w:hAnsi="仿宋" w:eastAsia="楷体_GB2312"/>
                          <w:sz w:val="21"/>
                          <w:szCs w:val="21"/>
                        </w:rPr>
                        <w:t>400</w:t>
                      </w:r>
                      <w:r>
                        <w:rPr>
                          <w:rFonts w:hint="eastAsia" w:ascii="楷体_GB2312" w:hAnsi="仿宋" w:eastAsia="楷体_GB2312"/>
                          <w:sz w:val="21"/>
                          <w:szCs w:val="21"/>
                        </w:rPr>
                        <w:t>兆瓦。加快特变电工新疆新能源公司风电项目实施，有序推进风电开发，风电总装机容量达</w:t>
                      </w:r>
                      <w:r>
                        <w:rPr>
                          <w:rFonts w:hint="eastAsia" w:ascii="楷体_GB2312" w:hAnsi="仿宋" w:eastAsia="楷体_GB2312"/>
                          <w:color w:val="000000"/>
                          <w:sz w:val="21"/>
                          <w:szCs w:val="21"/>
                        </w:rPr>
                        <w:t>到</w:t>
                      </w:r>
                      <w:r>
                        <w:rPr>
                          <w:rFonts w:ascii="楷体_GB2312" w:hAnsi="仿宋" w:eastAsia="楷体_GB2312"/>
                          <w:color w:val="000000"/>
                          <w:sz w:val="21"/>
                          <w:szCs w:val="21"/>
                        </w:rPr>
                        <w:t>20</w:t>
                      </w:r>
                      <w:r>
                        <w:rPr>
                          <w:rFonts w:hint="eastAsia" w:ascii="楷体_GB2312" w:hAnsi="仿宋" w:eastAsia="楷体_GB2312"/>
                          <w:color w:val="000000"/>
                          <w:sz w:val="21"/>
                          <w:szCs w:val="21"/>
                        </w:rPr>
                        <w:t>万</w:t>
                      </w:r>
                      <w:r>
                        <w:rPr>
                          <w:rFonts w:ascii="楷体_GB2312" w:hAnsi="仿宋" w:eastAsia="楷体_GB2312"/>
                          <w:color w:val="000000"/>
                          <w:sz w:val="21"/>
                          <w:szCs w:val="21"/>
                        </w:rPr>
                        <w:t>千</w:t>
                      </w:r>
                      <w:r>
                        <w:rPr>
                          <w:rFonts w:hint="eastAsia" w:ascii="楷体_GB2312" w:hAnsi="仿宋" w:eastAsia="楷体_GB2312"/>
                          <w:color w:val="000000"/>
                          <w:sz w:val="21"/>
                          <w:szCs w:val="21"/>
                        </w:rPr>
                        <w:t>瓦。</w:t>
                      </w:r>
                    </w:p>
                    <w:p>
                      <w:pPr>
                        <w:spacing w:after="0" w:line="280" w:lineRule="exact"/>
                        <w:ind w:firstLine="422" w:firstLineChars="200"/>
                        <w:jc w:val="both"/>
                        <w:rPr>
                          <w:rFonts w:ascii="楷体_GB2312" w:hAnsi="仿宋" w:eastAsia="楷体_GB2312"/>
                          <w:sz w:val="21"/>
                          <w:szCs w:val="21"/>
                        </w:rPr>
                      </w:pPr>
                      <w:r>
                        <w:rPr>
                          <w:rFonts w:hint="eastAsia" w:ascii="楷体_GB2312" w:hAnsi="仿宋" w:eastAsia="楷体_GB2312"/>
                          <w:b/>
                          <w:sz w:val="21"/>
                          <w:szCs w:val="21"/>
                        </w:rPr>
                        <w:t>陇县国家级绿色能源示范县：</w:t>
                      </w:r>
                      <w:r>
                        <w:rPr>
                          <w:rFonts w:hint="eastAsia" w:ascii="楷体_GB2312" w:hAnsi="Times New Roman" w:eastAsia="楷体_GB2312"/>
                          <w:sz w:val="21"/>
                          <w:szCs w:val="21"/>
                        </w:rPr>
                        <w:t>培育发展风能、太阳能、水能、生物质、地热等新型能源，着力构建结构优化、布局合理、清洁环保、安全高效的绿色低碳能源供应体系，完成代燃料、风力发电、太阳能发电和太阳能热水器等新能源建设项目，新能源装机总量达300兆瓦，推广太阳能热水器15000台。</w:t>
                      </w:r>
                    </w:p>
                  </w:txbxContent>
                </v:textbox>
                <w10:wrap type="square"/>
              </v:shape>
            </w:pict>
          </mc:Fallback>
        </mc:AlternateContent>
      </w:r>
    </w:p>
    <w:p>
      <w:pPr>
        <w:spacing w:after="0" w:line="560" w:lineRule="exact"/>
        <w:ind w:firstLine="431" w:firstLineChars="196"/>
        <w:rPr>
          <w:rFonts w:hint="eastAsia" w:ascii="宋体" w:hAnsi="宋体" w:eastAsia="宋体" w:cs="宋体"/>
          <w:sz w:val="18"/>
          <w:szCs w:val="18"/>
        </w:rPr>
      </w:pPr>
      <w:r>
        <w:rPr>
          <w:lang/>
        </w:rPr>
        <w:drawing>
          <wp:anchor distT="0" distB="0" distL="114300" distR="114300" simplePos="0" relativeHeight="251704320" behindDoc="0" locked="0" layoutInCell="1" allowOverlap="1">
            <wp:simplePos x="0" y="0"/>
            <wp:positionH relativeFrom="column">
              <wp:posOffset>57150</wp:posOffset>
            </wp:positionH>
            <wp:positionV relativeFrom="paragraph">
              <wp:posOffset>3310890</wp:posOffset>
            </wp:positionV>
            <wp:extent cx="5424805" cy="5213985"/>
            <wp:effectExtent l="57150" t="57150" r="61595" b="62865"/>
            <wp:wrapSquare wrapText="bothSides"/>
            <wp:docPr id="45" name="图片 13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8" descr="16"/>
                    <pic:cNvPicPr>
                      <a:picLocks noChangeAspect="1"/>
                    </pic:cNvPicPr>
                  </pic:nvPicPr>
                  <pic:blipFill>
                    <a:blip r:embed="rId22"/>
                    <a:stretch>
                      <a:fillRect/>
                    </a:stretch>
                  </pic:blipFill>
                  <pic:spPr>
                    <a:xfrm>
                      <a:off x="0" y="0"/>
                      <a:ext cx="5424805" cy="5213985"/>
                    </a:xfrm>
                    <a:prstGeom prst="rect">
                      <a:avLst/>
                    </a:prstGeom>
                    <a:noFill/>
                    <a:ln w="57150" cap="flat" cmpd="thickThin">
                      <a:solidFill>
                        <a:srgbClr val="808080"/>
                      </a:solidFill>
                      <a:prstDash val="solid"/>
                      <a:miter/>
                      <a:headEnd type="none" w="med" len="med"/>
                      <a:tailEnd type="none" w="med" len="med"/>
                    </a:ln>
                  </pic:spPr>
                </pic:pic>
              </a:graphicData>
            </a:graphic>
          </wp:anchor>
        </w:drawing>
      </w:r>
      <w:r>
        <w:rPr>
          <w:rFonts w:ascii="宋体" w:hAnsi="宋体" w:eastAsia="宋体" w:cs="宋体"/>
          <w:sz w:val="18"/>
          <w:szCs w:val="18"/>
          <w:lang/>
        </w:rPr>
        <mc:AlternateContent>
          <mc:Choice Requires="wps">
            <w:drawing>
              <wp:anchor distT="0" distB="0" distL="114300" distR="114300" simplePos="0" relativeHeight="251670528" behindDoc="1" locked="0" layoutInCell="1" allowOverlap="1">
                <wp:simplePos x="0" y="0"/>
                <wp:positionH relativeFrom="margin">
                  <wp:posOffset>3810</wp:posOffset>
                </wp:positionH>
                <wp:positionV relativeFrom="margin">
                  <wp:posOffset>19685</wp:posOffset>
                </wp:positionV>
                <wp:extent cx="5527675" cy="3075940"/>
                <wp:effectExtent l="4445" t="4445" r="11430" b="5715"/>
                <wp:wrapSquare wrapText="bothSides"/>
                <wp:docPr id="12" name="文本框 21"/>
                <wp:cNvGraphicFramePr/>
                <a:graphic xmlns:a="http://schemas.openxmlformats.org/drawingml/2006/main">
                  <a:graphicData uri="http://schemas.microsoft.com/office/word/2010/wordprocessingShape">
                    <wps:wsp>
                      <wps:cNvSpPr txBox="1"/>
                      <wps:spPr>
                        <a:xfrm>
                          <a:off x="0" y="0"/>
                          <a:ext cx="5527675" cy="3075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专栏6</w:t>
                            </w:r>
                          </w:p>
                          <w:p>
                            <w:pPr>
                              <w:spacing w:after="0" w:line="240" w:lineRule="exact"/>
                              <w:jc w:val="center"/>
                              <w:rPr>
                                <w:rFonts w:ascii="楷体_GB2312" w:hAnsi="仿宋" w:eastAsia="楷体_GB2312"/>
                                <w:b/>
                                <w:bCs/>
                                <w:sz w:val="21"/>
                                <w:szCs w:val="21"/>
                              </w:rPr>
                            </w:pPr>
                            <w:r>
                              <w:rPr>
                                <w:rFonts w:hint="eastAsia" w:ascii="黑体" w:hAnsi="黑体" w:eastAsia="黑体" w:cs="仿宋_GB2312"/>
                                <w:b/>
                                <w:bCs/>
                                <w:sz w:val="21"/>
                                <w:szCs w:val="21"/>
                              </w:rPr>
                              <w:t>秦岭生态休闲旅游带核心发展板块</w:t>
                            </w:r>
                          </w:p>
                          <w:p>
                            <w:pPr>
                              <w:spacing w:after="0" w:line="280" w:lineRule="exact"/>
                              <w:ind w:firstLine="422" w:firstLineChars="200"/>
                              <w:jc w:val="both"/>
                              <w:rPr>
                                <w:rFonts w:ascii="楷体_GB2312" w:hAnsi="仿宋" w:eastAsia="楷体_GB2312"/>
                                <w:sz w:val="21"/>
                                <w:szCs w:val="21"/>
                              </w:rPr>
                            </w:pPr>
                            <w:r>
                              <w:rPr>
                                <w:rFonts w:hint="eastAsia" w:ascii="楷体_GB2312" w:hAnsi="仿宋" w:eastAsia="楷体_GB2312"/>
                                <w:b/>
                                <w:bCs/>
                                <w:sz w:val="21"/>
                                <w:szCs w:val="21"/>
                              </w:rPr>
                              <w:t>太白山国家级旅游产业新区：</w:t>
                            </w:r>
                            <w:r>
                              <w:rPr>
                                <w:rFonts w:hint="eastAsia" w:ascii="楷体_GB2312" w:hAnsi="仿宋" w:eastAsia="楷体_GB2312"/>
                                <w:sz w:val="21"/>
                                <w:szCs w:val="21"/>
                              </w:rPr>
                              <w:t>由太白山国家森林公园、红河谷森林公园和太白山旅游服务区三大板块构成。以建设国家</w:t>
                            </w:r>
                            <w:r>
                              <w:rPr>
                                <w:rFonts w:ascii="楷体_GB2312" w:hAnsi="仿宋" w:eastAsia="楷体_GB2312"/>
                                <w:sz w:val="21"/>
                                <w:szCs w:val="21"/>
                              </w:rPr>
                              <w:t>5A</w:t>
                            </w:r>
                            <w:r>
                              <w:rPr>
                                <w:rFonts w:hint="eastAsia" w:ascii="楷体_GB2312" w:hAnsi="仿宋" w:eastAsia="楷体_GB2312"/>
                                <w:sz w:val="21"/>
                                <w:szCs w:val="21"/>
                              </w:rPr>
                              <w:t>级景区为引领，倾力打造“一廊五境八区”的景观格局，成为秦岭国家公园核心区，关中西部旅游集散地，国家级生态旅游示范区和全国休闲度假旅游区。</w:t>
                            </w:r>
                          </w:p>
                          <w:p>
                            <w:pPr>
                              <w:spacing w:after="0" w:line="280" w:lineRule="exact"/>
                              <w:ind w:firstLine="422" w:firstLineChars="200"/>
                              <w:jc w:val="both"/>
                              <w:rPr>
                                <w:rFonts w:ascii="楷体_GB2312" w:hAnsi="仿宋" w:eastAsia="楷体_GB2312"/>
                                <w:sz w:val="21"/>
                                <w:szCs w:val="21"/>
                              </w:rPr>
                            </w:pPr>
                            <w:r>
                              <w:rPr>
                                <w:rFonts w:hint="eastAsia" w:ascii="楷体_GB2312" w:hAnsi="仿宋" w:eastAsia="楷体_GB2312"/>
                                <w:b/>
                                <w:bCs/>
                                <w:sz w:val="21"/>
                                <w:szCs w:val="21"/>
                              </w:rPr>
                              <w:t>凤县藏羌彝文化产业走廊：</w:t>
                            </w:r>
                            <w:r>
                              <w:rPr>
                                <w:rFonts w:hint="eastAsia" w:ascii="楷体_GB2312" w:hAnsi="仿宋" w:eastAsia="楷体_GB2312"/>
                                <w:sz w:val="21"/>
                                <w:szCs w:val="21"/>
                              </w:rPr>
                              <w:t>充分挖掘凤县拥有丰富的羌文化资源，加大对凤县羌文化传承保护的资金投入力度，加快建设藏羌彝文化走廊文化旅游项目，加快古栈道保护性开发、长坪羌族文化原生态体验区项目建设，使其成为推动区域经济支柱性产业，培育特色鲜明的民族文化产业品牌。</w:t>
                            </w:r>
                          </w:p>
                          <w:p>
                            <w:pPr>
                              <w:spacing w:after="0" w:line="280" w:lineRule="exact"/>
                              <w:ind w:firstLine="422" w:firstLineChars="200"/>
                              <w:jc w:val="both"/>
                            </w:pPr>
                            <w:r>
                              <w:rPr>
                                <w:rFonts w:hint="eastAsia" w:ascii="楷体_GB2312" w:hAnsi="仿宋" w:eastAsia="楷体_GB2312"/>
                                <w:b/>
                                <w:bCs/>
                                <w:sz w:val="21"/>
                                <w:szCs w:val="21"/>
                              </w:rPr>
                              <w:t>太白县全域景区：</w:t>
                            </w:r>
                            <w:r>
                              <w:rPr>
                                <w:rFonts w:hint="eastAsia" w:ascii="楷体_GB2312" w:hAnsi="仿宋" w:eastAsia="楷体_GB2312"/>
                                <w:sz w:val="21"/>
                                <w:szCs w:val="21"/>
                              </w:rPr>
                              <w:t>围绕“一核两线四板块”（以县城为核心，以姜眉公路和太洋公路为轴线，打造户外运动、避暑度假、农业观光、原生态民俗四大板块）总体布局，加快推进黄柏塬原生态景区、青峰峡森林公园和太白国际滑雪场建设，全面完善旅游基础设施，以生态旅游为主的第三产业占地区</w:t>
                            </w:r>
                            <w:r>
                              <w:rPr>
                                <w:rFonts w:ascii="楷体_GB2312" w:hAnsi="仿宋" w:eastAsia="楷体_GB2312"/>
                                <w:sz w:val="21"/>
                                <w:szCs w:val="21"/>
                              </w:rPr>
                              <w:t>生产总值</w:t>
                            </w:r>
                            <w:r>
                              <w:rPr>
                                <w:rFonts w:hint="eastAsia" w:ascii="楷体_GB2312" w:hAnsi="仿宋" w:eastAsia="楷体_GB2312"/>
                                <w:sz w:val="21"/>
                                <w:szCs w:val="21"/>
                              </w:rPr>
                              <w:t>的比重达到</w:t>
                            </w:r>
                            <w:r>
                              <w:rPr>
                                <w:rFonts w:ascii="楷体_GB2312" w:hAnsi="仿宋" w:eastAsia="楷体_GB2312"/>
                                <w:sz w:val="21"/>
                                <w:szCs w:val="21"/>
                              </w:rPr>
                              <w:t>27%</w:t>
                            </w:r>
                            <w:r>
                              <w:rPr>
                                <w:rFonts w:hint="eastAsia" w:ascii="楷体_GB2312" w:hAnsi="仿宋" w:eastAsia="楷体_GB2312"/>
                                <w:sz w:val="21"/>
                                <w:szCs w:val="21"/>
                              </w:rPr>
                              <w:t>以上。把太白打造成为全国驰名的避暑度假胜地、户外运动高地和休闲养生首选目的地。实现全域景区化、景区品牌化、产业融合化的旅游新业态。</w:t>
                            </w:r>
                          </w:p>
                        </w:txbxContent>
                      </wps:txbx>
                      <wps:bodyPr wrap="square" upright="1"/>
                    </wps:wsp>
                  </a:graphicData>
                </a:graphic>
              </wp:anchor>
            </w:drawing>
          </mc:Choice>
          <mc:Fallback>
            <w:pict>
              <v:shape id="文本框 21" o:spid="_x0000_s1026" o:spt="202" type="#_x0000_t202" style="position:absolute;left:0pt;margin-left:0.3pt;margin-top:1.55pt;height:242.2pt;width:435.25pt;mso-position-horizontal-relative:margin;mso-position-vertical-relative:margin;mso-wrap-distance-bottom:0pt;mso-wrap-distance-left:9pt;mso-wrap-distance-right:9pt;mso-wrap-distance-top:0pt;z-index:-251645952;mso-width-relative:page;mso-height-relative:page;" fillcolor="#FFFFFF" filled="t" stroked="t" coordsize="21600,21600" o:gfxdata="UEsDBAoAAAAAAIdO4kAAAAAAAAAAAAAAAAAEAAAAZHJzL1BLAwQUAAAACACHTuJA2HSHH9UAAAAG&#10;AQAADwAAAGRycy9kb3ducmV2LnhtbE2OwU7DMBBE70j8g7VIXBB1QksSQpwekEBwg4Lg6sbbJMJe&#10;B9tNy9+znOA2oxnNvGZ9dFbMGOLoSUG+yEAgdd6M1Ct4e72/rEDEpMlo6wkVfGOEdXt60uja+AO9&#10;4LxJveARirVWMKQ01VLGbkCn48JPSJztfHA6sQ29NEEfeNxZeZVlhXR6JH4Y9IR3A3afm71TUK0e&#10;54/4tHx+74qdvUkX5fzwFZQ6P8uzWxAJj+mvDL/4jA4tM239nkwUVkHBPQXLHASHVZmz2CpYVeU1&#10;yLaR//HbH1BLAwQUAAAACACHTuJAgi2dgxkCAABHBAAADgAAAGRycy9lMm9Eb2MueG1srVNLktMw&#10;EN1TxR1U2hM7hswwrjhTBSFsKKBq4AAdSbZVpR+SEjsXgBuwYsN+zpVz0FIymQ8sssALuSW1Xvd7&#10;3T2/HrUiW+GDtKah00lJiTDMcmm6hn79snrxmpIQwXBQ1oiG7kSg14vnz+aDq0Vle6u48ARBTKgH&#10;19A+RlcXRWC90BAm1gmDl631GiJufVdwDwOia1VUZXlRDNZz5y0TIeDp8nBJj4j+HEDbtpKJpWUb&#10;LUw8oHqhICKl0EsX6CJn27aCxU9tG0QkqqHINOYVg6C9TmuxmEPdeXC9ZMcU4JwUnnDSIA0GPUEt&#10;IQLZePkXlJbM22DbOGFWFwciWRFkMS2faHPTgxOZC0od3En08P9g2cftZ08kx06oKDGgseL7nz/2&#10;v273v7+TapoEGlyo0e/GoWcc39gRne/OAx4m3mPrdfojI4L3KO/uJK8YI2F4OJtVlxeXM0oY3r0s&#10;L2dXr3IBivvnzof4XlhNktFQj/XLssL2Q4iYCrreuaRowSrJV1KpvPHd+q3yZAtY61X+Upb45JGb&#10;MmRo6NWsSokANnCLjYOmdihCMF2O9+hFeAhc5u9fwCmxJYT+kEBGSG5QaxmFz1YvgL8znMSdQ50N&#10;zhdNyWjBKVECxzFZ2TOCVOd4IjtlkGSq0aEWyYrjekSYZK4t32HdBmxxpPdtAx5jbpyXXY8C5zrm&#10;x9hfWavjLKQGfrjPIe7nf/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HSHH9UAAAAGAQAADwAA&#10;AAAAAAABACAAAAAiAAAAZHJzL2Rvd25yZXYueG1sUEsBAhQAFAAAAAgAh07iQIItnYMZAgAARwQA&#10;AA4AAAAAAAAAAQAgAAAAJAEAAGRycy9lMm9Eb2MueG1sUEsFBgAAAAAGAAYAWQEAAK8FAAAAAA==&#10;">
                <v:fill on="t" focussize="0,0"/>
                <v:stroke color="#000000" joinstyle="miter"/>
                <v:imagedata o:title=""/>
                <o:lock v:ext="edit" aspectratio="f"/>
                <v:textbox>
                  <w:txbxContent>
                    <w:p>
                      <w:pPr>
                        <w:spacing w:after="0" w:line="24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专栏6</w:t>
                      </w:r>
                    </w:p>
                    <w:p>
                      <w:pPr>
                        <w:spacing w:after="0" w:line="240" w:lineRule="exact"/>
                        <w:jc w:val="center"/>
                        <w:rPr>
                          <w:rFonts w:ascii="楷体_GB2312" w:hAnsi="仿宋" w:eastAsia="楷体_GB2312"/>
                          <w:b/>
                          <w:bCs/>
                          <w:sz w:val="21"/>
                          <w:szCs w:val="21"/>
                        </w:rPr>
                      </w:pPr>
                      <w:r>
                        <w:rPr>
                          <w:rFonts w:hint="eastAsia" w:ascii="黑体" w:hAnsi="黑体" w:eastAsia="黑体" w:cs="仿宋_GB2312"/>
                          <w:b/>
                          <w:bCs/>
                          <w:sz w:val="21"/>
                          <w:szCs w:val="21"/>
                        </w:rPr>
                        <w:t>秦岭生态休闲旅游带核心发展板块</w:t>
                      </w:r>
                    </w:p>
                    <w:p>
                      <w:pPr>
                        <w:spacing w:after="0" w:line="280" w:lineRule="exact"/>
                        <w:ind w:firstLine="422" w:firstLineChars="200"/>
                        <w:jc w:val="both"/>
                        <w:rPr>
                          <w:rFonts w:ascii="楷体_GB2312" w:hAnsi="仿宋" w:eastAsia="楷体_GB2312"/>
                          <w:sz w:val="21"/>
                          <w:szCs w:val="21"/>
                        </w:rPr>
                      </w:pPr>
                      <w:r>
                        <w:rPr>
                          <w:rFonts w:hint="eastAsia" w:ascii="楷体_GB2312" w:hAnsi="仿宋" w:eastAsia="楷体_GB2312"/>
                          <w:b/>
                          <w:bCs/>
                          <w:sz w:val="21"/>
                          <w:szCs w:val="21"/>
                        </w:rPr>
                        <w:t>太白山国家级旅游产业新区：</w:t>
                      </w:r>
                      <w:r>
                        <w:rPr>
                          <w:rFonts w:hint="eastAsia" w:ascii="楷体_GB2312" w:hAnsi="仿宋" w:eastAsia="楷体_GB2312"/>
                          <w:sz w:val="21"/>
                          <w:szCs w:val="21"/>
                        </w:rPr>
                        <w:t>由太白山国家森林公园、红河谷森林公园和太白山旅游服务区三大板块构成。以建设国家</w:t>
                      </w:r>
                      <w:r>
                        <w:rPr>
                          <w:rFonts w:ascii="楷体_GB2312" w:hAnsi="仿宋" w:eastAsia="楷体_GB2312"/>
                          <w:sz w:val="21"/>
                          <w:szCs w:val="21"/>
                        </w:rPr>
                        <w:t>5A</w:t>
                      </w:r>
                      <w:r>
                        <w:rPr>
                          <w:rFonts w:hint="eastAsia" w:ascii="楷体_GB2312" w:hAnsi="仿宋" w:eastAsia="楷体_GB2312"/>
                          <w:sz w:val="21"/>
                          <w:szCs w:val="21"/>
                        </w:rPr>
                        <w:t>级景区为引领，倾力打造“一廊五境八区”的景观格局，成为秦岭国家公园核心区，关中西部旅游集散地，国家级生态旅游示范区和全国休闲度假旅游区。</w:t>
                      </w:r>
                    </w:p>
                    <w:p>
                      <w:pPr>
                        <w:spacing w:after="0" w:line="280" w:lineRule="exact"/>
                        <w:ind w:firstLine="422" w:firstLineChars="200"/>
                        <w:jc w:val="both"/>
                        <w:rPr>
                          <w:rFonts w:ascii="楷体_GB2312" w:hAnsi="仿宋" w:eastAsia="楷体_GB2312"/>
                          <w:sz w:val="21"/>
                          <w:szCs w:val="21"/>
                        </w:rPr>
                      </w:pPr>
                      <w:r>
                        <w:rPr>
                          <w:rFonts w:hint="eastAsia" w:ascii="楷体_GB2312" w:hAnsi="仿宋" w:eastAsia="楷体_GB2312"/>
                          <w:b/>
                          <w:bCs/>
                          <w:sz w:val="21"/>
                          <w:szCs w:val="21"/>
                        </w:rPr>
                        <w:t>凤县藏羌彝文化产业走廊：</w:t>
                      </w:r>
                      <w:r>
                        <w:rPr>
                          <w:rFonts w:hint="eastAsia" w:ascii="楷体_GB2312" w:hAnsi="仿宋" w:eastAsia="楷体_GB2312"/>
                          <w:sz w:val="21"/>
                          <w:szCs w:val="21"/>
                        </w:rPr>
                        <w:t>充分挖掘凤县拥有丰富的羌文化资源，加大对凤县羌文化传承保护的资金投入力度，加快建设藏羌彝文化走廊文化旅游项目，加快古栈道保护性开发、长坪羌族文化原生态体验区项目建设，使其成为推动区域经济支柱性产业，培育特色鲜明的民族文化产业品牌。</w:t>
                      </w:r>
                    </w:p>
                    <w:p>
                      <w:pPr>
                        <w:spacing w:after="0" w:line="280" w:lineRule="exact"/>
                        <w:ind w:firstLine="422" w:firstLineChars="200"/>
                        <w:jc w:val="both"/>
                      </w:pPr>
                      <w:r>
                        <w:rPr>
                          <w:rFonts w:hint="eastAsia" w:ascii="楷体_GB2312" w:hAnsi="仿宋" w:eastAsia="楷体_GB2312"/>
                          <w:b/>
                          <w:bCs/>
                          <w:sz w:val="21"/>
                          <w:szCs w:val="21"/>
                        </w:rPr>
                        <w:t>太白县全域景区：</w:t>
                      </w:r>
                      <w:r>
                        <w:rPr>
                          <w:rFonts w:hint="eastAsia" w:ascii="楷体_GB2312" w:hAnsi="仿宋" w:eastAsia="楷体_GB2312"/>
                          <w:sz w:val="21"/>
                          <w:szCs w:val="21"/>
                        </w:rPr>
                        <w:t>围绕“一核两线四板块”（以县城为核心，以姜眉公路和太洋公路为轴线，打造户外运动、避暑度假、农业观光、原生态民俗四大板块）总体布局，加快推进黄柏塬原生态景区、青峰峡森林公园和太白国际滑雪场建设，全面完善旅游基础设施，以生态旅游为主的第三产业占地区</w:t>
                      </w:r>
                      <w:r>
                        <w:rPr>
                          <w:rFonts w:ascii="楷体_GB2312" w:hAnsi="仿宋" w:eastAsia="楷体_GB2312"/>
                          <w:sz w:val="21"/>
                          <w:szCs w:val="21"/>
                        </w:rPr>
                        <w:t>生产总值</w:t>
                      </w:r>
                      <w:r>
                        <w:rPr>
                          <w:rFonts w:hint="eastAsia" w:ascii="楷体_GB2312" w:hAnsi="仿宋" w:eastAsia="楷体_GB2312"/>
                          <w:sz w:val="21"/>
                          <w:szCs w:val="21"/>
                        </w:rPr>
                        <w:t>的比重达到</w:t>
                      </w:r>
                      <w:r>
                        <w:rPr>
                          <w:rFonts w:ascii="楷体_GB2312" w:hAnsi="仿宋" w:eastAsia="楷体_GB2312"/>
                          <w:sz w:val="21"/>
                          <w:szCs w:val="21"/>
                        </w:rPr>
                        <w:t>27%</w:t>
                      </w:r>
                      <w:r>
                        <w:rPr>
                          <w:rFonts w:hint="eastAsia" w:ascii="楷体_GB2312" w:hAnsi="仿宋" w:eastAsia="楷体_GB2312"/>
                          <w:sz w:val="21"/>
                          <w:szCs w:val="21"/>
                        </w:rPr>
                        <w:t>以上。把太白打造成为全国驰名的避暑度假胜地、户外运动高地和休闲养生首选目的地。实现全域景区化、景区品牌化、产业融合化的旅游新业态。</w:t>
                      </w:r>
                    </w:p>
                  </w:txbxContent>
                </v:textbox>
                <w10:wrap type="square"/>
              </v:shape>
            </w:pict>
          </mc:Fallback>
        </mc:AlternateContent>
      </w:r>
    </w:p>
    <w:p>
      <w:pPr>
        <w:spacing w:after="0" w:line="600" w:lineRule="exact"/>
        <w:ind w:firstLine="640" w:firstLineChars="200"/>
        <w:jc w:val="center"/>
        <w:rPr>
          <w:rFonts w:hint="eastAsia" w:ascii="黑体" w:hAnsi="黑体" w:eastAsia="黑体" w:cs="仿宋"/>
          <w:sz w:val="32"/>
          <w:szCs w:val="32"/>
        </w:rPr>
      </w:pPr>
      <w:r>
        <w:rPr>
          <w:rFonts w:hint="eastAsia" w:ascii="黑体" w:hAnsi="黑体" w:eastAsia="黑体"/>
          <w:sz w:val="32"/>
          <w:szCs w:val="32"/>
        </w:rPr>
        <w:t>第六章</w:t>
      </w:r>
      <w:r>
        <w:rPr>
          <w:rFonts w:ascii="黑体" w:hAnsi="黑体" w:eastAsia="黑体"/>
          <w:sz w:val="32"/>
          <w:szCs w:val="32"/>
        </w:rPr>
        <w:t xml:space="preserve">  </w:t>
      </w:r>
      <w:r>
        <w:rPr>
          <w:rFonts w:hint="eastAsia" w:ascii="黑体" w:hAnsi="黑体" w:eastAsia="黑体" w:cs="仿宋"/>
          <w:sz w:val="32"/>
          <w:szCs w:val="32"/>
        </w:rPr>
        <w:t>对外开放空间布局</w:t>
      </w:r>
    </w:p>
    <w:p>
      <w:pPr>
        <w:spacing w:after="0" w:line="600" w:lineRule="exact"/>
        <w:ind w:firstLine="660" w:firstLineChars="300"/>
        <w:jc w:val="both"/>
        <w:rPr>
          <w:rFonts w:ascii="仿宋_GB2312" w:hAnsi="仿宋" w:eastAsia="仿宋_GB2312" w:cs="仿宋"/>
          <w:sz w:val="32"/>
          <w:szCs w:val="32"/>
        </w:rPr>
      </w:pPr>
      <w:r>
        <w:rPr>
          <w:lang/>
        </w:rPr>
        <mc:AlternateContent>
          <mc:Choice Requires="wps">
            <w:drawing>
              <wp:anchor distT="45720" distB="45720" distL="114300" distR="114300" simplePos="0" relativeHeight="251672576" behindDoc="0" locked="0" layoutInCell="1" allowOverlap="1">
                <wp:simplePos x="0" y="0"/>
                <wp:positionH relativeFrom="column">
                  <wp:posOffset>0</wp:posOffset>
                </wp:positionH>
                <wp:positionV relativeFrom="paragraph">
                  <wp:posOffset>1699260</wp:posOffset>
                </wp:positionV>
                <wp:extent cx="5528310" cy="2740025"/>
                <wp:effectExtent l="4445" t="4445" r="10795" b="17780"/>
                <wp:wrapSquare wrapText="bothSides"/>
                <wp:docPr id="14" name="文本框 2"/>
                <wp:cNvGraphicFramePr/>
                <a:graphic xmlns:a="http://schemas.openxmlformats.org/drawingml/2006/main">
                  <a:graphicData uri="http://schemas.microsoft.com/office/word/2010/wordprocessingShape">
                    <wps:wsp>
                      <wps:cNvSpPr txBox="1"/>
                      <wps:spPr>
                        <a:xfrm>
                          <a:off x="0" y="0"/>
                          <a:ext cx="5528310" cy="27400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2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专栏7</w:t>
                            </w:r>
                          </w:p>
                          <w:p>
                            <w:pPr>
                              <w:spacing w:after="0" w:line="320" w:lineRule="exact"/>
                              <w:jc w:val="center"/>
                              <w:rPr>
                                <w:rFonts w:ascii="楷体_GB2312" w:hAnsi="仿宋" w:eastAsia="楷体_GB2312" w:cs="仿宋"/>
                                <w:b/>
                                <w:sz w:val="21"/>
                                <w:szCs w:val="21"/>
                              </w:rPr>
                            </w:pPr>
                            <w:r>
                              <w:rPr>
                                <w:rFonts w:hint="eastAsia" w:ascii="黑体" w:hAnsi="黑体" w:eastAsia="黑体" w:cs="仿宋_GB2312"/>
                                <w:b/>
                                <w:bCs/>
                                <w:sz w:val="21"/>
                                <w:szCs w:val="21"/>
                              </w:rPr>
                              <w:t>“三枢纽三通道”陆地开放空间</w:t>
                            </w:r>
                          </w:p>
                          <w:p>
                            <w:pPr>
                              <w:spacing w:after="0" w:line="260" w:lineRule="exact"/>
                              <w:ind w:firstLine="422" w:firstLineChars="200"/>
                              <w:jc w:val="both"/>
                              <w:rPr>
                                <w:rFonts w:ascii="楷体_GB2312" w:hAnsi="仿宋" w:eastAsia="楷体_GB2312" w:cs="仿宋"/>
                                <w:sz w:val="21"/>
                                <w:szCs w:val="21"/>
                              </w:rPr>
                            </w:pPr>
                            <w:r>
                              <w:rPr>
                                <w:rFonts w:hint="eastAsia" w:ascii="楷体_GB2312" w:hAnsi="仿宋" w:eastAsia="楷体_GB2312" w:cs="仿宋"/>
                                <w:b/>
                                <w:sz w:val="21"/>
                                <w:szCs w:val="21"/>
                              </w:rPr>
                              <w:t>主城区综合枢纽：</w:t>
                            </w:r>
                            <w:r>
                              <w:rPr>
                                <w:rFonts w:hint="eastAsia" w:ascii="楷体_GB2312" w:hAnsi="仿宋" w:eastAsia="楷体_GB2312" w:cs="仿宋"/>
                                <w:sz w:val="21"/>
                                <w:szCs w:val="21"/>
                              </w:rPr>
                              <w:t>通过实施重点交通项目，使主城区成为内外交通转换灵活、便捷通畅的西部地区交通枢纽。</w:t>
                            </w:r>
                          </w:p>
                          <w:p>
                            <w:pPr>
                              <w:spacing w:after="0" w:line="260" w:lineRule="exact"/>
                              <w:ind w:firstLine="422" w:firstLineChars="200"/>
                              <w:jc w:val="both"/>
                              <w:rPr>
                                <w:rFonts w:ascii="楷体_GB2312" w:hAnsi="仿宋" w:eastAsia="楷体_GB2312" w:cs="仿宋"/>
                                <w:sz w:val="21"/>
                                <w:szCs w:val="21"/>
                              </w:rPr>
                            </w:pPr>
                            <w:r>
                              <w:rPr>
                                <w:rFonts w:hint="eastAsia" w:ascii="楷体_GB2312" w:hAnsi="仿宋" w:eastAsia="楷体_GB2312" w:cs="仿宋"/>
                                <w:b/>
                                <w:sz w:val="21"/>
                                <w:szCs w:val="21"/>
                              </w:rPr>
                              <w:t>阳平</w:t>
                            </w:r>
                            <w:r>
                              <w:rPr>
                                <w:rFonts w:hint="eastAsia" w:ascii="Times New Roman" w:hAnsi="Times New Roman" w:eastAsia="楷体_GB2312" w:cs="仿宋"/>
                                <w:b/>
                                <w:sz w:val="21"/>
                                <w:szCs w:val="21"/>
                              </w:rPr>
                              <w:t>物流</w:t>
                            </w:r>
                            <w:r>
                              <w:rPr>
                                <w:rFonts w:hint="eastAsia" w:ascii="楷体_GB2312" w:hAnsi="仿宋" w:eastAsia="楷体_GB2312" w:cs="仿宋"/>
                                <w:b/>
                                <w:sz w:val="21"/>
                                <w:szCs w:val="21"/>
                              </w:rPr>
                              <w:t>枢纽</w:t>
                            </w:r>
                            <w:r>
                              <w:rPr>
                                <w:rFonts w:hint="eastAsia" w:ascii="楷体_GB2312" w:hAnsi="仿宋" w:eastAsia="楷体_GB2312" w:cs="仿宋"/>
                                <w:sz w:val="21"/>
                                <w:szCs w:val="21"/>
                              </w:rPr>
                              <w:t>：以阳平铁路物流中心为核心，连接综合保税区，建设陆港新城，形成集保税物流、多式联运为一体的西部地区大型货运集散地。</w:t>
                            </w:r>
                          </w:p>
                          <w:p>
                            <w:pPr>
                              <w:spacing w:after="0" w:line="260" w:lineRule="exact"/>
                              <w:ind w:firstLine="422" w:firstLineChars="200"/>
                              <w:jc w:val="both"/>
                              <w:rPr>
                                <w:rFonts w:hint="eastAsia" w:ascii="楷体_GB2312" w:hAnsi="仿宋" w:eastAsia="楷体_GB2312" w:cs="仿宋"/>
                                <w:sz w:val="21"/>
                                <w:szCs w:val="21"/>
                              </w:rPr>
                            </w:pPr>
                            <w:r>
                              <w:rPr>
                                <w:rFonts w:hint="eastAsia" w:ascii="楷体_GB2312" w:hAnsi="仿宋" w:eastAsia="楷体_GB2312" w:cs="仿宋"/>
                                <w:b/>
                                <w:sz w:val="21"/>
                                <w:szCs w:val="21"/>
                              </w:rPr>
                              <w:t>凤翔航空枢纽：</w:t>
                            </w:r>
                            <w:r>
                              <w:rPr>
                                <w:rFonts w:hint="eastAsia" w:ascii="楷体_GB2312" w:hAnsi="仿宋" w:eastAsia="楷体_GB2312" w:cs="仿宋"/>
                                <w:sz w:val="21"/>
                                <w:szCs w:val="21"/>
                              </w:rPr>
                              <w:t>以宝鸡机场为依托，统筹规划铁路、公路、机场、物流等交通枢纽项目，形成空地转换便捷的航空枢纽，增强我市渭北台塬交通组织能力。</w:t>
                            </w:r>
                          </w:p>
                          <w:p>
                            <w:pPr>
                              <w:spacing w:after="0" w:line="260" w:lineRule="exact"/>
                              <w:ind w:firstLine="422" w:firstLineChars="200"/>
                              <w:jc w:val="both"/>
                              <w:rPr>
                                <w:rFonts w:ascii="楷体_GB2312" w:hAnsi="仿宋" w:eastAsia="楷体_GB2312" w:cs="仿宋"/>
                                <w:sz w:val="21"/>
                                <w:szCs w:val="21"/>
                              </w:rPr>
                            </w:pPr>
                            <w:r>
                              <w:rPr>
                                <w:rFonts w:hint="eastAsia" w:ascii="楷体_GB2312" w:hAnsi="仿宋" w:eastAsia="楷体_GB2312" w:cs="仿宋"/>
                                <w:b/>
                                <w:sz w:val="21"/>
                                <w:szCs w:val="21"/>
                              </w:rPr>
                              <w:t>优化辐射东西的开放通道：</w:t>
                            </w:r>
                            <w:r>
                              <w:rPr>
                                <w:rFonts w:hint="eastAsia" w:ascii="楷体_GB2312" w:hAnsi="仿宋" w:eastAsia="楷体_GB2312" w:cs="仿宋"/>
                                <w:sz w:val="21"/>
                                <w:szCs w:val="21"/>
                              </w:rPr>
                              <w:t>以连霍高速公路、陇海铁路、宝兰客专、西宝客专为依托，加强与沿线各省市、国际友好城市合作，争取“长安号”国际货运班列在宝鸡编组，着力优化我市东西向开放的国际化大通道。</w:t>
                            </w:r>
                          </w:p>
                          <w:p>
                            <w:pPr>
                              <w:spacing w:after="0" w:line="260" w:lineRule="exact"/>
                              <w:ind w:firstLine="422" w:firstLineChars="200"/>
                              <w:jc w:val="both"/>
                              <w:rPr>
                                <w:rFonts w:ascii="楷体_GB2312" w:hAnsi="仿宋" w:eastAsia="楷体_GB2312" w:cs="仿宋"/>
                                <w:sz w:val="21"/>
                                <w:szCs w:val="21"/>
                              </w:rPr>
                            </w:pPr>
                            <w:r>
                              <w:rPr>
                                <w:rFonts w:hint="eastAsia" w:ascii="楷体_GB2312" w:hAnsi="仿宋" w:eastAsia="楷体_GB2312" w:cs="仿宋"/>
                                <w:b/>
                                <w:sz w:val="21"/>
                                <w:szCs w:val="21"/>
                              </w:rPr>
                              <w:t>深化辐射西北的开放通道：</w:t>
                            </w:r>
                            <w:r>
                              <w:rPr>
                                <w:rFonts w:hint="eastAsia" w:ascii="楷体_GB2312" w:hAnsi="仿宋" w:eastAsia="楷体_GB2312" w:cs="仿宋"/>
                                <w:sz w:val="21"/>
                                <w:szCs w:val="21"/>
                              </w:rPr>
                              <w:t>以宝中铁路、宝平高速等铁路公路干线为主线，构建连接甘肃、宁夏、内蒙古的西北大通道，深化向西北开放的领域和范围。</w:t>
                            </w:r>
                          </w:p>
                          <w:p>
                            <w:pPr>
                              <w:spacing w:after="0" w:line="260" w:lineRule="exact"/>
                              <w:ind w:firstLine="422" w:firstLineChars="200"/>
                              <w:jc w:val="both"/>
                            </w:pPr>
                            <w:r>
                              <w:rPr>
                                <w:rFonts w:hint="eastAsia" w:ascii="楷体_GB2312" w:hAnsi="仿宋" w:eastAsia="楷体_GB2312" w:cs="仿宋"/>
                                <w:b/>
                                <w:sz w:val="21"/>
                                <w:szCs w:val="21"/>
                              </w:rPr>
                              <w:t>拓展辐射西南的开放通道：</w:t>
                            </w:r>
                            <w:r>
                              <w:rPr>
                                <w:rFonts w:hint="eastAsia" w:ascii="楷体_GB2312" w:hAnsi="仿宋" w:eastAsia="楷体_GB2312" w:cs="仿宋"/>
                                <w:sz w:val="21"/>
                                <w:szCs w:val="21"/>
                              </w:rPr>
                              <w:t>以宝成铁路、宝南铁路、宝汉高速等铁路公路干线为主线，构建入川通渝连接西南大通道，拓展向西南开放的领域和范围。</w:t>
                            </w:r>
                          </w:p>
                        </w:txbxContent>
                      </wps:txbx>
                      <wps:bodyPr wrap="square" upright="1"/>
                    </wps:wsp>
                  </a:graphicData>
                </a:graphic>
              </wp:anchor>
            </w:drawing>
          </mc:Choice>
          <mc:Fallback>
            <w:pict>
              <v:shape id="文本框 2" o:spid="_x0000_s1026" o:spt="202" type="#_x0000_t202" style="position:absolute;left:0pt;margin-left:0pt;margin-top:133.8pt;height:215.75pt;width:435.3pt;mso-wrap-distance-bottom:3.6pt;mso-wrap-distance-left:9pt;mso-wrap-distance-right:9pt;mso-wrap-distance-top:3.6pt;z-index:251672576;mso-width-relative:margin;mso-height-relative:margin;" fillcolor="#FFFFFF" filled="t" stroked="t" coordsize="21600,21600" o:gfxdata="UEsDBAoAAAAAAIdO4kAAAAAAAAAAAAAAAAAEAAAAZHJzL1BLAwQUAAAACACHTuJAkSDKENgAAAAI&#10;AQAADwAAAGRycy9kb3ducmV2LnhtbE2PzU7DMBCE70i8g7VIXBC1U1D+iNMDEghutKD26sbbJMJe&#10;B9tNy9tjTnCb1axmvmlWZ2vYjD6MjiRkCwEMqXN6pF7Cx/vTbQksREVaGUco4RsDrNrLi0bV2p1o&#10;jfMm9iyFUKiVhCHGqeY8dANaFRZuQkrewXmrYjp9z7VXpxRuDV8KkXOrRkoNg5rwccDuc3O0Esr7&#10;l3kXXu/etl1+MFW8KebnLy/l9VUmHoBFPMe/Z/jFT+jQJqa9O5IOzEhIQ6KEZV7kwJJdFiKJvYS8&#10;qjLgbcP/D2h/AFBLAwQUAAAACACHTuJAKKg6phUCAABGBAAADgAAAGRycy9lMm9Eb2MueG1srVNL&#10;ktMwEN1TxR1U2hM7ZgKDa5ypghA2FFA1cABFkm1V6YdaiZ0LwA1YsWHPuXIOWnIm84FFFnght9St&#10;1/1et66uR6PJTgZQzjZ0PispkZY7oWzX0C+f188uKYHIrGDaWdnQvQR6vXz65Grwtaxc77SQgSCI&#10;hXrwDe1j9HVRAO+lYTBzXlp0ti4YFnEbukIENiC60UVVli+KwQXhg+MSAE9Xk5MeEcM5gK5tFZcr&#10;x7dG2jihBqlZRErQKw90mattW8njx7YFGYluKDKNecUkaG/SWiyvWN0F5nvFjyWwc0p4xMkwZTHp&#10;CWrFIiPboP6CMooHB66NM+5MMRHJiiCLeflIm5ueeZm5oNTgT6LD/4PlH3afAlECJ+GCEssMdvzw&#10;4/vh5+/Dr2+kSvoMHmoMu/EYGMfXbsTY23PAw0R7bINJfyRE0I/q7k/qyjESjoeLRXX5fI4ujr7q&#10;5UVZVouEU9xd9wHiO+kMSUZDA7Yvq8p27yFOobchKRs4rcRaaZ03odu80YHsGLZ6nb8j+oMwbcnQ&#10;0FcLzE04w/ltcW7QNB41ANvlfA9uwH3gMn//Ak6FrRj0UwEZIYWx2qgoQ7Z6ycRbK0jce5TZ4vOi&#10;qRgjBSVa4mtMVo6MTOlzIlE7bVHC1KOpF8mK42ZEmGRunNhj3waccKT3dcsC5tz6oLoeBc59zJdx&#10;vHInjk8hze/9fU5x9/y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IMoQ2AAAAAgBAAAPAAAA&#10;AAAAAAEAIAAAACIAAABkcnMvZG93bnJldi54bWxQSwECFAAUAAAACACHTuJAKKg6phUCAABGBAAA&#10;DgAAAAAAAAABACAAAAAnAQAAZHJzL2Uyb0RvYy54bWxQSwUGAAAAAAYABgBZAQAArgUAAAAA&#10;">
                <v:fill on="t" focussize="0,0"/>
                <v:stroke color="#000000" joinstyle="miter"/>
                <v:imagedata o:title=""/>
                <o:lock v:ext="edit" aspectratio="f"/>
                <v:textbox>
                  <w:txbxContent>
                    <w:p>
                      <w:pPr>
                        <w:spacing w:after="0" w:line="32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专栏7</w:t>
                      </w:r>
                    </w:p>
                    <w:p>
                      <w:pPr>
                        <w:spacing w:after="0" w:line="320" w:lineRule="exact"/>
                        <w:jc w:val="center"/>
                        <w:rPr>
                          <w:rFonts w:ascii="楷体_GB2312" w:hAnsi="仿宋" w:eastAsia="楷体_GB2312" w:cs="仿宋"/>
                          <w:b/>
                          <w:sz w:val="21"/>
                          <w:szCs w:val="21"/>
                        </w:rPr>
                      </w:pPr>
                      <w:r>
                        <w:rPr>
                          <w:rFonts w:hint="eastAsia" w:ascii="黑体" w:hAnsi="黑体" w:eastAsia="黑体" w:cs="仿宋_GB2312"/>
                          <w:b/>
                          <w:bCs/>
                          <w:sz w:val="21"/>
                          <w:szCs w:val="21"/>
                        </w:rPr>
                        <w:t>“三枢纽三通道”陆地开放空间</w:t>
                      </w:r>
                    </w:p>
                    <w:p>
                      <w:pPr>
                        <w:spacing w:after="0" w:line="260" w:lineRule="exact"/>
                        <w:ind w:firstLine="422" w:firstLineChars="200"/>
                        <w:jc w:val="both"/>
                        <w:rPr>
                          <w:rFonts w:ascii="楷体_GB2312" w:hAnsi="仿宋" w:eastAsia="楷体_GB2312" w:cs="仿宋"/>
                          <w:sz w:val="21"/>
                          <w:szCs w:val="21"/>
                        </w:rPr>
                      </w:pPr>
                      <w:r>
                        <w:rPr>
                          <w:rFonts w:hint="eastAsia" w:ascii="楷体_GB2312" w:hAnsi="仿宋" w:eastAsia="楷体_GB2312" w:cs="仿宋"/>
                          <w:b/>
                          <w:sz w:val="21"/>
                          <w:szCs w:val="21"/>
                        </w:rPr>
                        <w:t>主城区综合枢纽：</w:t>
                      </w:r>
                      <w:r>
                        <w:rPr>
                          <w:rFonts w:hint="eastAsia" w:ascii="楷体_GB2312" w:hAnsi="仿宋" w:eastAsia="楷体_GB2312" w:cs="仿宋"/>
                          <w:sz w:val="21"/>
                          <w:szCs w:val="21"/>
                        </w:rPr>
                        <w:t>通过实施重点交通项目，使主城区成为内外交通转换灵活、便捷通畅的西部地区交通枢纽。</w:t>
                      </w:r>
                    </w:p>
                    <w:p>
                      <w:pPr>
                        <w:spacing w:after="0" w:line="260" w:lineRule="exact"/>
                        <w:ind w:firstLine="422" w:firstLineChars="200"/>
                        <w:jc w:val="both"/>
                        <w:rPr>
                          <w:rFonts w:ascii="楷体_GB2312" w:hAnsi="仿宋" w:eastAsia="楷体_GB2312" w:cs="仿宋"/>
                          <w:sz w:val="21"/>
                          <w:szCs w:val="21"/>
                        </w:rPr>
                      </w:pPr>
                      <w:r>
                        <w:rPr>
                          <w:rFonts w:hint="eastAsia" w:ascii="楷体_GB2312" w:hAnsi="仿宋" w:eastAsia="楷体_GB2312" w:cs="仿宋"/>
                          <w:b/>
                          <w:sz w:val="21"/>
                          <w:szCs w:val="21"/>
                        </w:rPr>
                        <w:t>阳平</w:t>
                      </w:r>
                      <w:r>
                        <w:rPr>
                          <w:rFonts w:hint="eastAsia" w:ascii="Times New Roman" w:hAnsi="Times New Roman" w:eastAsia="楷体_GB2312" w:cs="仿宋"/>
                          <w:b/>
                          <w:sz w:val="21"/>
                          <w:szCs w:val="21"/>
                        </w:rPr>
                        <w:t>物流</w:t>
                      </w:r>
                      <w:r>
                        <w:rPr>
                          <w:rFonts w:hint="eastAsia" w:ascii="楷体_GB2312" w:hAnsi="仿宋" w:eastAsia="楷体_GB2312" w:cs="仿宋"/>
                          <w:b/>
                          <w:sz w:val="21"/>
                          <w:szCs w:val="21"/>
                        </w:rPr>
                        <w:t>枢纽</w:t>
                      </w:r>
                      <w:r>
                        <w:rPr>
                          <w:rFonts w:hint="eastAsia" w:ascii="楷体_GB2312" w:hAnsi="仿宋" w:eastAsia="楷体_GB2312" w:cs="仿宋"/>
                          <w:sz w:val="21"/>
                          <w:szCs w:val="21"/>
                        </w:rPr>
                        <w:t>：以阳平铁路物流中心为核心，连接综合保税区，建设陆港新城，形成集保税物流、多式联运为一体的西部地区大型货运集散地。</w:t>
                      </w:r>
                    </w:p>
                    <w:p>
                      <w:pPr>
                        <w:spacing w:after="0" w:line="260" w:lineRule="exact"/>
                        <w:ind w:firstLine="422" w:firstLineChars="200"/>
                        <w:jc w:val="both"/>
                        <w:rPr>
                          <w:rFonts w:hint="eastAsia" w:ascii="楷体_GB2312" w:hAnsi="仿宋" w:eastAsia="楷体_GB2312" w:cs="仿宋"/>
                          <w:sz w:val="21"/>
                          <w:szCs w:val="21"/>
                        </w:rPr>
                      </w:pPr>
                      <w:r>
                        <w:rPr>
                          <w:rFonts w:hint="eastAsia" w:ascii="楷体_GB2312" w:hAnsi="仿宋" w:eastAsia="楷体_GB2312" w:cs="仿宋"/>
                          <w:b/>
                          <w:sz w:val="21"/>
                          <w:szCs w:val="21"/>
                        </w:rPr>
                        <w:t>凤翔航空枢纽：</w:t>
                      </w:r>
                      <w:r>
                        <w:rPr>
                          <w:rFonts w:hint="eastAsia" w:ascii="楷体_GB2312" w:hAnsi="仿宋" w:eastAsia="楷体_GB2312" w:cs="仿宋"/>
                          <w:sz w:val="21"/>
                          <w:szCs w:val="21"/>
                        </w:rPr>
                        <w:t>以宝鸡机场为依托，统筹规划铁路、公路、机场、物流等交通枢纽项目，形成空地转换便捷的航空枢纽，增强我市渭北台塬交通组织能力。</w:t>
                      </w:r>
                    </w:p>
                    <w:p>
                      <w:pPr>
                        <w:spacing w:after="0" w:line="260" w:lineRule="exact"/>
                        <w:ind w:firstLine="422" w:firstLineChars="200"/>
                        <w:jc w:val="both"/>
                        <w:rPr>
                          <w:rFonts w:ascii="楷体_GB2312" w:hAnsi="仿宋" w:eastAsia="楷体_GB2312" w:cs="仿宋"/>
                          <w:sz w:val="21"/>
                          <w:szCs w:val="21"/>
                        </w:rPr>
                      </w:pPr>
                      <w:r>
                        <w:rPr>
                          <w:rFonts w:hint="eastAsia" w:ascii="楷体_GB2312" w:hAnsi="仿宋" w:eastAsia="楷体_GB2312" w:cs="仿宋"/>
                          <w:b/>
                          <w:sz w:val="21"/>
                          <w:szCs w:val="21"/>
                        </w:rPr>
                        <w:t>优化辐射东西的开放通道：</w:t>
                      </w:r>
                      <w:r>
                        <w:rPr>
                          <w:rFonts w:hint="eastAsia" w:ascii="楷体_GB2312" w:hAnsi="仿宋" w:eastAsia="楷体_GB2312" w:cs="仿宋"/>
                          <w:sz w:val="21"/>
                          <w:szCs w:val="21"/>
                        </w:rPr>
                        <w:t>以连霍高速公路、陇海铁路、宝兰客专、西宝客专为依托，加强与沿线各省市、国际友好城市合作，争取“长安号”国际货运班列在宝鸡编组，着力优化我市东西向开放的国际化大通道。</w:t>
                      </w:r>
                    </w:p>
                    <w:p>
                      <w:pPr>
                        <w:spacing w:after="0" w:line="260" w:lineRule="exact"/>
                        <w:ind w:firstLine="422" w:firstLineChars="200"/>
                        <w:jc w:val="both"/>
                        <w:rPr>
                          <w:rFonts w:ascii="楷体_GB2312" w:hAnsi="仿宋" w:eastAsia="楷体_GB2312" w:cs="仿宋"/>
                          <w:sz w:val="21"/>
                          <w:szCs w:val="21"/>
                        </w:rPr>
                      </w:pPr>
                      <w:r>
                        <w:rPr>
                          <w:rFonts w:hint="eastAsia" w:ascii="楷体_GB2312" w:hAnsi="仿宋" w:eastAsia="楷体_GB2312" w:cs="仿宋"/>
                          <w:b/>
                          <w:sz w:val="21"/>
                          <w:szCs w:val="21"/>
                        </w:rPr>
                        <w:t>深化辐射西北的开放通道：</w:t>
                      </w:r>
                      <w:r>
                        <w:rPr>
                          <w:rFonts w:hint="eastAsia" w:ascii="楷体_GB2312" w:hAnsi="仿宋" w:eastAsia="楷体_GB2312" w:cs="仿宋"/>
                          <w:sz w:val="21"/>
                          <w:szCs w:val="21"/>
                        </w:rPr>
                        <w:t>以宝中铁路、宝平高速等铁路公路干线为主线，构建连接甘肃、宁夏、内蒙古的西北大通道，深化向西北开放的领域和范围。</w:t>
                      </w:r>
                    </w:p>
                    <w:p>
                      <w:pPr>
                        <w:spacing w:after="0" w:line="260" w:lineRule="exact"/>
                        <w:ind w:firstLine="422" w:firstLineChars="200"/>
                        <w:jc w:val="both"/>
                      </w:pPr>
                      <w:r>
                        <w:rPr>
                          <w:rFonts w:hint="eastAsia" w:ascii="楷体_GB2312" w:hAnsi="仿宋" w:eastAsia="楷体_GB2312" w:cs="仿宋"/>
                          <w:b/>
                          <w:sz w:val="21"/>
                          <w:szCs w:val="21"/>
                        </w:rPr>
                        <w:t>拓展辐射西南的开放通道：</w:t>
                      </w:r>
                      <w:r>
                        <w:rPr>
                          <w:rFonts w:hint="eastAsia" w:ascii="楷体_GB2312" w:hAnsi="仿宋" w:eastAsia="楷体_GB2312" w:cs="仿宋"/>
                          <w:sz w:val="21"/>
                          <w:szCs w:val="21"/>
                        </w:rPr>
                        <w:t>以宝成铁路、宝南铁路、宝汉高速等铁路公路干线为主线，构建入川通渝连接西南大通道，拓展向西南开放的领域和范围。</w:t>
                      </w:r>
                    </w:p>
                  </w:txbxContent>
                </v:textbox>
                <w10:wrap type="square"/>
              </v:shape>
            </w:pict>
          </mc:Fallback>
        </mc:AlternateContent>
      </w:r>
      <w:r>
        <w:rPr>
          <w:rFonts w:ascii="宋体" w:hAnsi="宋体" w:eastAsia="宋体" w:cs="宋体"/>
          <w:sz w:val="18"/>
          <w:szCs w:val="18"/>
          <w:lang/>
        </w:rPr>
        <w:drawing>
          <wp:anchor distT="0" distB="0" distL="114300" distR="114300" simplePos="0" relativeHeight="251697152" behindDoc="0" locked="0" layoutInCell="1" allowOverlap="1">
            <wp:simplePos x="0" y="0"/>
            <wp:positionH relativeFrom="column">
              <wp:posOffset>57785</wp:posOffset>
            </wp:positionH>
            <wp:positionV relativeFrom="paragraph">
              <wp:posOffset>4572000</wp:posOffset>
            </wp:positionV>
            <wp:extent cx="5400040" cy="3788410"/>
            <wp:effectExtent l="57150" t="57150" r="67310" b="59690"/>
            <wp:wrapSquare wrapText="bothSides"/>
            <wp:docPr id="38" name="图片 47" descr="C:\Users\Administrator\Desktop\十三五规划附图（最新）\4\大图\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7" descr="C:\Users\Administrator\Desktop\十三五规划附图（最新）\4\大图\17.jpg"/>
                    <pic:cNvPicPr>
                      <a:picLocks noChangeAspect="1"/>
                    </pic:cNvPicPr>
                  </pic:nvPicPr>
                  <pic:blipFill>
                    <a:blip r:embed="rId23"/>
                    <a:stretch>
                      <a:fillRect/>
                    </a:stretch>
                  </pic:blipFill>
                  <pic:spPr>
                    <a:xfrm>
                      <a:off x="0" y="0"/>
                      <a:ext cx="5400040" cy="3788410"/>
                    </a:xfrm>
                    <a:prstGeom prst="rect">
                      <a:avLst/>
                    </a:prstGeom>
                    <a:noFill/>
                    <a:ln w="57150" cap="flat" cmpd="thickThin">
                      <a:solidFill>
                        <a:srgbClr val="808080"/>
                      </a:solidFill>
                      <a:prstDash val="solid"/>
                      <a:miter/>
                      <a:headEnd type="none" w="med" len="med"/>
                      <a:tailEnd type="none" w="med" len="med"/>
                    </a:ln>
                  </pic:spPr>
                </pic:pic>
              </a:graphicData>
            </a:graphic>
          </wp:anchor>
        </w:drawing>
      </w:r>
      <w:r>
        <w:rPr>
          <w:rFonts w:hint="eastAsia" w:ascii="仿宋_GB2312" w:hAnsi="仿宋" w:eastAsia="仿宋_GB2312" w:cs="仿宋"/>
          <w:sz w:val="32"/>
          <w:szCs w:val="32"/>
        </w:rPr>
        <w:t>以高速公路和铁路“双十字”骨架为依托，按照“做强枢纽、优化通道”的总体思路，强化宝鸡交通物流信息枢纽能力，构建</w:t>
      </w:r>
      <w:r>
        <w:rPr>
          <w:rFonts w:hint="eastAsia" w:ascii="仿宋_GB2312" w:hAnsi="仿宋" w:eastAsia="仿宋_GB2312" w:cs="仿宋"/>
          <w:b/>
          <w:sz w:val="32"/>
          <w:szCs w:val="32"/>
        </w:rPr>
        <w:t>陆地、空中、信息</w:t>
      </w:r>
      <w:r>
        <w:rPr>
          <w:rFonts w:hint="eastAsia" w:ascii="仿宋_GB2312" w:hAnsi="仿宋" w:eastAsia="仿宋_GB2312" w:cs="仿宋"/>
          <w:sz w:val="32"/>
          <w:szCs w:val="32"/>
        </w:rPr>
        <w:t>三个层面的对外开放发展通道，依托主枢纽</w:t>
      </w:r>
      <w:r>
        <w:rPr>
          <w:rFonts w:ascii="仿宋_GB2312" w:hAnsi="仿宋" w:eastAsia="仿宋_GB2312" w:cs="仿宋"/>
          <w:sz w:val="32"/>
          <w:szCs w:val="32"/>
        </w:rPr>
        <w:t>+</w:t>
      </w:r>
      <w:r>
        <w:rPr>
          <w:rFonts w:hint="eastAsia" w:ascii="仿宋_GB2312" w:hAnsi="仿宋" w:eastAsia="仿宋_GB2312" w:cs="仿宋"/>
          <w:sz w:val="32"/>
          <w:szCs w:val="32"/>
        </w:rPr>
        <w:t>多层通道，增强宝鸡对外立体辐射力。</w:t>
      </w:r>
    </w:p>
    <w:p>
      <w:pPr>
        <w:spacing w:after="0" w:line="560" w:lineRule="exact"/>
        <w:ind w:firstLine="352" w:firstLineChars="196"/>
        <w:jc w:val="center"/>
        <w:rPr>
          <w:rFonts w:ascii="宋体" w:hAnsi="宋体" w:eastAsia="宋体" w:cs="宋体"/>
          <w:sz w:val="18"/>
          <w:szCs w:val="18"/>
        </w:rPr>
        <w:sectPr>
          <w:pgSz w:w="11906" w:h="16838"/>
          <w:pgMar w:top="1418" w:right="1588" w:bottom="1418" w:left="1588" w:header="851" w:footer="397" w:gutter="0"/>
          <w:cols w:space="425" w:num="1"/>
          <w:docGrid w:type="lines" w:linePitch="312" w:charSpace="0"/>
        </w:sectPr>
      </w:pPr>
    </w:p>
    <w:p>
      <w:pPr>
        <w:spacing w:after="0" w:line="560" w:lineRule="exact"/>
        <w:ind w:firstLine="431" w:firstLineChars="196"/>
        <w:jc w:val="center"/>
        <w:rPr>
          <w:rFonts w:ascii="黑体" w:hAnsi="黑体" w:eastAsia="黑体"/>
          <w:spacing w:val="-20"/>
          <w:sz w:val="32"/>
          <w:szCs w:val="32"/>
        </w:rPr>
      </w:pPr>
      <w:r>
        <w:rPr>
          <w:lang/>
        </w:rPr>
        <w:drawing>
          <wp:anchor distT="0" distB="0" distL="114300" distR="114300" simplePos="0" relativeHeight="251699200" behindDoc="0" locked="0" layoutInCell="1" allowOverlap="1">
            <wp:simplePos x="0" y="0"/>
            <wp:positionH relativeFrom="column">
              <wp:posOffset>69850</wp:posOffset>
            </wp:positionH>
            <wp:positionV relativeFrom="paragraph">
              <wp:posOffset>1165860</wp:posOffset>
            </wp:positionV>
            <wp:extent cx="5378450" cy="4370070"/>
            <wp:effectExtent l="57150" t="57150" r="69850" b="68580"/>
            <wp:wrapSquare wrapText="bothSides"/>
            <wp:docPr id="40" name="图片 1"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C:\Users\Administrator\Desktop\18.jpg"/>
                    <pic:cNvPicPr>
                      <a:picLocks noChangeAspect="1"/>
                    </pic:cNvPicPr>
                  </pic:nvPicPr>
                  <pic:blipFill>
                    <a:blip r:embed="rId24"/>
                    <a:stretch>
                      <a:fillRect/>
                    </a:stretch>
                  </pic:blipFill>
                  <pic:spPr>
                    <a:xfrm>
                      <a:off x="0" y="0"/>
                      <a:ext cx="5378450" cy="4370070"/>
                    </a:xfrm>
                    <a:prstGeom prst="rect">
                      <a:avLst/>
                    </a:prstGeom>
                    <a:noFill/>
                    <a:ln w="57150" cap="flat" cmpd="thickThin">
                      <a:solidFill>
                        <a:srgbClr val="808080"/>
                      </a:solidFill>
                      <a:prstDash val="solid"/>
                      <a:miter/>
                      <a:headEnd type="none" w="med" len="med"/>
                      <a:tailEnd type="none" w="med" len="med"/>
                    </a:ln>
                  </pic:spPr>
                </pic:pic>
              </a:graphicData>
            </a:graphic>
          </wp:anchor>
        </w:drawing>
      </w:r>
      <w:r>
        <w:rPr>
          <w:lang/>
        </w:rPr>
        <mc:AlternateContent>
          <mc:Choice Requires="wps">
            <w:drawing>
              <wp:anchor distT="45720" distB="45720" distL="114300" distR="114300" simplePos="0" relativeHeight="251673600" behindDoc="0" locked="0" layoutInCell="1" allowOverlap="1">
                <wp:simplePos x="0" y="0"/>
                <wp:positionH relativeFrom="column">
                  <wp:posOffset>5715</wp:posOffset>
                </wp:positionH>
                <wp:positionV relativeFrom="paragraph">
                  <wp:posOffset>5626100</wp:posOffset>
                </wp:positionV>
                <wp:extent cx="5530215" cy="3075305"/>
                <wp:effectExtent l="4445" t="4445" r="8890" b="6350"/>
                <wp:wrapSquare wrapText="bothSides"/>
                <wp:docPr id="15" name="文本框 2"/>
                <wp:cNvGraphicFramePr/>
                <a:graphic xmlns:a="http://schemas.openxmlformats.org/drawingml/2006/main">
                  <a:graphicData uri="http://schemas.microsoft.com/office/word/2010/wordprocessingShape">
                    <wps:wsp>
                      <wps:cNvSpPr txBox="1"/>
                      <wps:spPr>
                        <a:xfrm>
                          <a:off x="0" y="0"/>
                          <a:ext cx="5530215" cy="3075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专栏9</w:t>
                            </w:r>
                          </w:p>
                          <w:p>
                            <w:pPr>
                              <w:spacing w:after="0" w:line="240" w:lineRule="exact"/>
                              <w:jc w:val="center"/>
                              <w:rPr>
                                <w:rFonts w:ascii="楷体_GB2312" w:hAnsi="仿宋" w:eastAsia="楷体_GB2312" w:cs="仿宋"/>
                                <w:sz w:val="21"/>
                                <w:szCs w:val="21"/>
                              </w:rPr>
                            </w:pPr>
                            <w:r>
                              <w:rPr>
                                <w:rFonts w:hint="eastAsia" w:ascii="黑体" w:hAnsi="黑体" w:eastAsia="黑体" w:cs="仿宋_GB2312"/>
                                <w:b/>
                                <w:bCs/>
                                <w:sz w:val="21"/>
                                <w:szCs w:val="21"/>
                              </w:rPr>
                              <w:t>一中心两网的信息开放空间</w:t>
                            </w:r>
                          </w:p>
                          <w:p>
                            <w:pPr>
                              <w:spacing w:after="0" w:line="240" w:lineRule="exact"/>
                              <w:ind w:firstLine="422" w:firstLineChars="200"/>
                              <w:jc w:val="both"/>
                              <w:rPr>
                                <w:rFonts w:ascii="楷体_GB2312" w:hAnsi="仿宋" w:eastAsia="楷体_GB2312" w:cs="仿宋"/>
                                <w:sz w:val="21"/>
                                <w:szCs w:val="21"/>
                              </w:rPr>
                            </w:pPr>
                            <w:r>
                              <w:rPr>
                                <w:rFonts w:hint="eastAsia" w:ascii="楷体_GB2312" w:hAnsi="仿宋" w:eastAsia="楷体_GB2312" w:cs="仿宋"/>
                                <w:b/>
                                <w:sz w:val="21"/>
                                <w:szCs w:val="21"/>
                              </w:rPr>
                              <w:t>宝鸡大数据中心：</w:t>
                            </w:r>
                            <w:r>
                              <w:rPr>
                                <w:rFonts w:hint="eastAsia" w:ascii="楷体_GB2312" w:hAnsi="仿宋" w:eastAsia="楷体_GB2312" w:cs="仿宋"/>
                                <w:sz w:val="21"/>
                                <w:szCs w:val="21"/>
                              </w:rPr>
                              <w:t>提升宝鸡宽带网络综合承载能力，实现宝鸡国家级骨干互联网互联，积极利用光纤接入、新一代移动通信、下一代广播电视等新技术，提升宽带网络速度与性能。推进互联网</w:t>
                            </w:r>
                            <w:r>
                              <w:rPr>
                                <w:rFonts w:ascii="楷体_GB2312" w:hAnsi="仿宋" w:eastAsia="楷体_GB2312" w:cs="仿宋"/>
                                <w:sz w:val="21"/>
                                <w:szCs w:val="21"/>
                              </w:rPr>
                              <w:t>+</w:t>
                            </w:r>
                            <w:r>
                              <w:rPr>
                                <w:rFonts w:hint="eastAsia" w:ascii="楷体_GB2312" w:hAnsi="仿宋" w:eastAsia="楷体_GB2312" w:cs="仿宋"/>
                                <w:sz w:val="21"/>
                                <w:szCs w:val="21"/>
                              </w:rPr>
                              <w:t>、大数据、物联网、智慧城市建设。创建中西部信息化枢纽平台，建设</w:t>
                            </w:r>
                            <w:r>
                              <w:rPr>
                                <w:rFonts w:hint="eastAsia" w:ascii="楷体_GB2312" w:hAnsi="仿宋" w:eastAsia="楷体_GB2312" w:cs="仿宋"/>
                                <w:b/>
                                <w:sz w:val="21"/>
                                <w:szCs w:val="21"/>
                              </w:rPr>
                              <w:t>宝鸡智慧大厦</w:t>
                            </w:r>
                            <w:r>
                              <w:rPr>
                                <w:rFonts w:hint="eastAsia" w:ascii="楷体_GB2312" w:hAnsi="仿宋" w:eastAsia="楷体_GB2312" w:cs="仿宋"/>
                                <w:sz w:val="21"/>
                                <w:szCs w:val="21"/>
                              </w:rPr>
                              <w:t>，建立市域内外数据信息交互、加工、分析、利用中心，打造宝鸡大数据库、宝鸡云计算、宝鸡信息化公共服务平台以及智慧城市管理中枢。</w:t>
                            </w:r>
                          </w:p>
                          <w:p>
                            <w:pPr>
                              <w:spacing w:after="0" w:line="240" w:lineRule="exact"/>
                              <w:ind w:firstLine="422" w:firstLineChars="200"/>
                              <w:jc w:val="both"/>
                              <w:rPr>
                                <w:rFonts w:ascii="楷体_GB2312" w:hAnsi="仿宋" w:eastAsia="楷体_GB2312" w:cs="仿宋"/>
                                <w:sz w:val="21"/>
                                <w:szCs w:val="21"/>
                              </w:rPr>
                            </w:pPr>
                            <w:r>
                              <w:rPr>
                                <w:rFonts w:hint="eastAsia" w:ascii="楷体_GB2312" w:hAnsi="仿宋" w:eastAsia="楷体_GB2312" w:cs="仿宋"/>
                                <w:b/>
                                <w:sz w:val="21"/>
                                <w:szCs w:val="21"/>
                              </w:rPr>
                              <w:t>互联网：</w:t>
                            </w:r>
                            <w:r>
                              <w:rPr>
                                <w:rFonts w:hint="eastAsia" w:ascii="楷体_GB2312" w:hAnsi="仿宋" w:eastAsia="楷体_GB2312" w:cs="仿宋"/>
                                <w:sz w:val="21"/>
                                <w:szCs w:val="21"/>
                              </w:rPr>
                              <w:t>加强县城、重点镇信息网络中心建设，推进与主城区信息网络的互联互通。以电信运营商为骨干，鼓励社会各方面力量积极参与，加大资金投入，推进“光网城市”发展，构建宝鸡市城区</w:t>
                            </w:r>
                            <w:r>
                              <w:rPr>
                                <w:rFonts w:ascii="楷体_GB2312" w:hAnsi="仿宋" w:eastAsia="楷体_GB2312" w:cs="仿宋"/>
                                <w:sz w:val="21"/>
                                <w:szCs w:val="21"/>
                              </w:rPr>
                              <w:t>T</w:t>
                            </w:r>
                            <w:r>
                              <w:rPr>
                                <w:rFonts w:hint="eastAsia" w:ascii="楷体_GB2312" w:hAnsi="仿宋" w:eastAsia="楷体_GB2312" w:cs="仿宋"/>
                                <w:sz w:val="21"/>
                                <w:szCs w:val="21"/>
                              </w:rPr>
                              <w:t>比特级光纤骨干传输网，提升宽带网络综合承载能力。完善农村及偏远地区宽带电信普遍服务补偿机制，缩小城乡数字鸿沟。建立覆盖城乡、服务便捷、高速畅通、技术先进的宽带信息基础网络。建设“无线城市”，进一步加大无线宽带热点覆盖密度，全面实现无线互联网在室外全覆盖和室内深度覆盖。加强互联网骨干网的国际国内互联合作。深化网络空间合作，加强与国内外友好城市、同一经济带城市、招商引资重点城市的网络信息交流，共同谋划信息建设基础设施。</w:t>
                            </w:r>
                          </w:p>
                          <w:p>
                            <w:pPr>
                              <w:spacing w:after="0" w:line="240" w:lineRule="exact"/>
                              <w:ind w:firstLine="422" w:firstLineChars="200"/>
                              <w:jc w:val="both"/>
                            </w:pPr>
                            <w:r>
                              <w:rPr>
                                <w:rFonts w:hint="eastAsia" w:ascii="楷体_GB2312" w:hAnsi="仿宋" w:eastAsia="楷体_GB2312" w:cs="仿宋"/>
                                <w:b/>
                                <w:sz w:val="21"/>
                                <w:szCs w:val="21"/>
                              </w:rPr>
                              <w:t>物联网：</w:t>
                            </w:r>
                            <w:r>
                              <w:rPr>
                                <w:rFonts w:hint="eastAsia" w:ascii="楷体_GB2312" w:hAnsi="仿宋" w:eastAsia="楷体_GB2312" w:cs="仿宋"/>
                                <w:sz w:val="21"/>
                                <w:szCs w:val="21"/>
                              </w:rPr>
                              <w:t>加大信息技术在城市公共事业和基础设施建设、管理领域的推广应用力度，引入传感器、物联网等技术提升对城市运行感知监测能力，建立先进的地下管网、交通、电力、供水、供气等行业监测、控制与管理系统，实现管控一体化目标，搭建物联网网络架构、物联网产业体系，形成“人与物”和“物与物”相互感知的高速传输网络。</w:t>
                            </w:r>
                          </w:p>
                        </w:txbxContent>
                      </wps:txbx>
                      <wps:bodyPr wrap="square" upright="1"/>
                    </wps:wsp>
                  </a:graphicData>
                </a:graphic>
              </wp:anchor>
            </w:drawing>
          </mc:Choice>
          <mc:Fallback>
            <w:pict>
              <v:shape id="文本框 2" o:spid="_x0000_s1026" o:spt="202" type="#_x0000_t202" style="position:absolute;left:0pt;margin-left:0.45pt;margin-top:443pt;height:242.15pt;width:435.45pt;mso-wrap-distance-bottom:3.6pt;mso-wrap-distance-left:9pt;mso-wrap-distance-right:9pt;mso-wrap-distance-top:3.6pt;z-index:25167360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KaOAIAAE8EAAAOAAAAZHJzL2Uyb0RvYy54bWysVEuOEzEQ3SNxB8t70p9JMkkrndGQIQhp&#10;+EgDB3C73WkL/7CddA8HGG7Aig17zpVzUHYnIRpgg+iF5XKVn6veq+rFVS8F2jHruFYlzkYpRkxR&#10;XXO1KfGH9+tnM4ycJ6omQitW4nvm8NXy6ZNFZwqW61aLmlkEIMoVnSlx670pksTRlkniRtowBc5G&#10;W0k8mHaT1JZ0gC5FkqfpNOm0rY3VlDkHpzeDEy8jftMw6t82jWMeiRJDbj6uNq5VWJPlghQbS0zL&#10;6SEN8g9ZSMIVPHqCuiGeoK3lv0FJTq12uvEjqmWim4ZTFmuAarL0UTV3LTEs1gLkOHOiyf0/WPpm&#10;984iXpc4zy4xUkSCSPuvX/bffuy/P6A8ENQZV0DcnYFI3z/XPQgdi3XmVtOPDim9aonasGtrddcy&#10;UkOCWbiZnF0dcFwAqbrXuoZ3yNbrCNQ3Vgb2gA8E6CDU/Ukc1ntE4TC/mKbzC3BR8GXjdDzNo3wJ&#10;KY7XjXX+JdMShU2JLagf4cnu1vmQDimOIeE1pwWv11yIaNhNtRIW7Qh0yjp+sYJHYUKhrsTzST4Z&#10;GPgrRBq/P0FI7qHlBZclnp2CSBF4e6Hq2JCecDHsIWWhDkQG7gYWfV/1UbTZUZ9K1/fArNVDh8NE&#10;wqbV9jNGHXR3id2nLbEMI/FKgTrzbDwO4xCN8eQSqET23FOde4iiAFVij9GwXfk4QpE3cw0qrnnk&#10;N8g9ZHJIGbo20n6YsDAW53aM+vUfWP4E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AhqSmjgCAABPBAAADgAAAAAAAAAAAAAA&#10;AAAuAgAAZHJzL2Uyb0RvYy54bWxQSwECLQAUAAYACAAAACEASFsnctsAAAAHAQAADwAAAAAAAAAA&#10;AAAAAACSBAAAZHJzL2Rvd25yZXYueG1sUEsFBgAAAAAEAAQA8wAAAJoFAAAAAA==&#10;">
                <v:fill on="t" focussize="0,0"/>
                <v:stroke color="#000000" joinstyle="miter"/>
                <v:imagedata o:title=""/>
                <o:lock v:ext="edit" aspectratio="f"/>
                <v:textbox>
                  <w:txbxContent>
                    <w:p>
                      <w:pPr>
                        <w:spacing w:after="0" w:line="24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专栏9</w:t>
                      </w:r>
                    </w:p>
                    <w:p>
                      <w:pPr>
                        <w:spacing w:after="0" w:line="240" w:lineRule="exact"/>
                        <w:jc w:val="center"/>
                        <w:rPr>
                          <w:rFonts w:ascii="楷体_GB2312" w:hAnsi="仿宋" w:eastAsia="楷体_GB2312" w:cs="仿宋"/>
                          <w:sz w:val="21"/>
                          <w:szCs w:val="21"/>
                        </w:rPr>
                      </w:pPr>
                      <w:r>
                        <w:rPr>
                          <w:rFonts w:hint="eastAsia" w:ascii="黑体" w:hAnsi="黑体" w:eastAsia="黑体" w:cs="仿宋_GB2312"/>
                          <w:b/>
                          <w:bCs/>
                          <w:sz w:val="21"/>
                          <w:szCs w:val="21"/>
                        </w:rPr>
                        <w:t>一中心两网的信息开放空间</w:t>
                      </w:r>
                    </w:p>
                    <w:p>
                      <w:pPr>
                        <w:spacing w:after="0" w:line="240" w:lineRule="exact"/>
                        <w:ind w:firstLine="422" w:firstLineChars="200"/>
                        <w:jc w:val="both"/>
                        <w:rPr>
                          <w:rFonts w:ascii="楷体_GB2312" w:hAnsi="仿宋" w:eastAsia="楷体_GB2312" w:cs="仿宋"/>
                          <w:sz w:val="21"/>
                          <w:szCs w:val="21"/>
                        </w:rPr>
                      </w:pPr>
                      <w:r>
                        <w:rPr>
                          <w:rFonts w:hint="eastAsia" w:ascii="楷体_GB2312" w:hAnsi="仿宋" w:eastAsia="楷体_GB2312" w:cs="仿宋"/>
                          <w:b/>
                          <w:sz w:val="21"/>
                          <w:szCs w:val="21"/>
                        </w:rPr>
                        <w:t>宝鸡大数据中心：</w:t>
                      </w:r>
                      <w:r>
                        <w:rPr>
                          <w:rFonts w:hint="eastAsia" w:ascii="楷体_GB2312" w:hAnsi="仿宋" w:eastAsia="楷体_GB2312" w:cs="仿宋"/>
                          <w:sz w:val="21"/>
                          <w:szCs w:val="21"/>
                        </w:rPr>
                        <w:t>提升宝鸡宽带网络综合承载能力，实现宝鸡国家级骨干互联网互联，积极利用光纤接入、新一代移动通信、下一代广播电视等新技术，提升宽带网络速度与性能。推进互联网</w:t>
                      </w:r>
                      <w:r>
                        <w:rPr>
                          <w:rFonts w:ascii="楷体_GB2312" w:hAnsi="仿宋" w:eastAsia="楷体_GB2312" w:cs="仿宋"/>
                          <w:sz w:val="21"/>
                          <w:szCs w:val="21"/>
                        </w:rPr>
                        <w:t>+</w:t>
                      </w:r>
                      <w:r>
                        <w:rPr>
                          <w:rFonts w:hint="eastAsia" w:ascii="楷体_GB2312" w:hAnsi="仿宋" w:eastAsia="楷体_GB2312" w:cs="仿宋"/>
                          <w:sz w:val="21"/>
                          <w:szCs w:val="21"/>
                        </w:rPr>
                        <w:t>、大数据、物联网、智慧城市建设。创建中西部信息化枢纽平台，建设</w:t>
                      </w:r>
                      <w:r>
                        <w:rPr>
                          <w:rFonts w:hint="eastAsia" w:ascii="楷体_GB2312" w:hAnsi="仿宋" w:eastAsia="楷体_GB2312" w:cs="仿宋"/>
                          <w:b/>
                          <w:sz w:val="21"/>
                          <w:szCs w:val="21"/>
                        </w:rPr>
                        <w:t>宝鸡智慧大厦</w:t>
                      </w:r>
                      <w:r>
                        <w:rPr>
                          <w:rFonts w:hint="eastAsia" w:ascii="楷体_GB2312" w:hAnsi="仿宋" w:eastAsia="楷体_GB2312" w:cs="仿宋"/>
                          <w:sz w:val="21"/>
                          <w:szCs w:val="21"/>
                        </w:rPr>
                        <w:t>，建立市域内外数据信息交互、加工、分析、利用中心，打造宝鸡大数据库、宝鸡云计算、宝鸡信息化公共服务平台以及智慧城市管理中枢。</w:t>
                      </w:r>
                    </w:p>
                    <w:p>
                      <w:pPr>
                        <w:spacing w:after="0" w:line="240" w:lineRule="exact"/>
                        <w:ind w:firstLine="422" w:firstLineChars="200"/>
                        <w:jc w:val="both"/>
                        <w:rPr>
                          <w:rFonts w:ascii="楷体_GB2312" w:hAnsi="仿宋" w:eastAsia="楷体_GB2312" w:cs="仿宋"/>
                          <w:sz w:val="21"/>
                          <w:szCs w:val="21"/>
                        </w:rPr>
                      </w:pPr>
                      <w:r>
                        <w:rPr>
                          <w:rFonts w:hint="eastAsia" w:ascii="楷体_GB2312" w:hAnsi="仿宋" w:eastAsia="楷体_GB2312" w:cs="仿宋"/>
                          <w:b/>
                          <w:sz w:val="21"/>
                          <w:szCs w:val="21"/>
                        </w:rPr>
                        <w:t>互联网：</w:t>
                      </w:r>
                      <w:r>
                        <w:rPr>
                          <w:rFonts w:hint="eastAsia" w:ascii="楷体_GB2312" w:hAnsi="仿宋" w:eastAsia="楷体_GB2312" w:cs="仿宋"/>
                          <w:sz w:val="21"/>
                          <w:szCs w:val="21"/>
                        </w:rPr>
                        <w:t>加强县城、重点镇信息网络中心建设，推进与主城区信息网络的互联互通。以电信运营商为骨干，鼓励社会各方面力量积极参与，加大资金投入，推进“光网城市”发展，构建宝鸡市城区</w:t>
                      </w:r>
                      <w:r>
                        <w:rPr>
                          <w:rFonts w:ascii="楷体_GB2312" w:hAnsi="仿宋" w:eastAsia="楷体_GB2312" w:cs="仿宋"/>
                          <w:sz w:val="21"/>
                          <w:szCs w:val="21"/>
                        </w:rPr>
                        <w:t>T</w:t>
                      </w:r>
                      <w:r>
                        <w:rPr>
                          <w:rFonts w:hint="eastAsia" w:ascii="楷体_GB2312" w:hAnsi="仿宋" w:eastAsia="楷体_GB2312" w:cs="仿宋"/>
                          <w:sz w:val="21"/>
                          <w:szCs w:val="21"/>
                        </w:rPr>
                        <w:t>比特级光纤骨干传输网，提升宽带网络综合承载能力。完善农村及偏远地区宽带电信普遍服务补偿机制，缩小城乡数字鸿沟。建立覆盖城乡、服务便捷、高速畅通、技术先进的宽带信息基础网络。建设“无线城市”，进一步加大无线宽带热点覆盖密度，全面实现无线互联网在室外全覆盖和室内深度覆盖。加强互联网骨干网的国际国内互联合作。深化网络空间合作，加强与国内外友好城市、同一经济带城市、招商引资重点城市的网络信息交流，共同谋划信息建设基础设施。</w:t>
                      </w:r>
                    </w:p>
                    <w:p>
                      <w:pPr>
                        <w:spacing w:after="0" w:line="240" w:lineRule="exact"/>
                        <w:ind w:firstLine="422" w:firstLineChars="200"/>
                        <w:jc w:val="both"/>
                      </w:pPr>
                      <w:r>
                        <w:rPr>
                          <w:rFonts w:hint="eastAsia" w:ascii="楷体_GB2312" w:hAnsi="仿宋" w:eastAsia="楷体_GB2312" w:cs="仿宋"/>
                          <w:b/>
                          <w:sz w:val="21"/>
                          <w:szCs w:val="21"/>
                        </w:rPr>
                        <w:t>物联网：</w:t>
                      </w:r>
                      <w:r>
                        <w:rPr>
                          <w:rFonts w:hint="eastAsia" w:ascii="楷体_GB2312" w:hAnsi="仿宋" w:eastAsia="楷体_GB2312" w:cs="仿宋"/>
                          <w:sz w:val="21"/>
                          <w:szCs w:val="21"/>
                        </w:rPr>
                        <w:t>加大信息技术在城市公共事业和基础设施建设、管理领域的推广应用力度，引入传感器、物联网等技术提升对城市运行感知监测能力，建立先进的地下管网、交通、电力、供水、供气等行业监测、控制与管理系统，实现管控一体化目标，搭建物联网网络架构、物联网产业体系，形成“人与物”和“物与物”相互感知的高速传输网络。</w:t>
                      </w:r>
                    </w:p>
                  </w:txbxContent>
                </v:textbox>
                <w10:wrap type="square"/>
              </v:shape>
            </w:pict>
          </mc:Fallback>
        </mc:AlternateContent>
      </w:r>
      <w:r>
        <w:rPr>
          <w:rFonts w:hint="eastAsia" w:ascii="宋体" w:hAnsi="宋体" w:eastAsia="宋体" w:cs="宋体"/>
          <w:sz w:val="18"/>
          <w:szCs w:val="18"/>
          <w:lang/>
        </w:rPr>
        <mc:AlternateContent>
          <mc:Choice Requires="wps">
            <w:drawing>
              <wp:anchor distT="0" distB="0" distL="114300" distR="114300" simplePos="0" relativeHeight="251671552" behindDoc="0" locked="0" layoutInCell="1" allowOverlap="1">
                <wp:simplePos x="0" y="0"/>
                <wp:positionH relativeFrom="margin">
                  <wp:posOffset>5715</wp:posOffset>
                </wp:positionH>
                <wp:positionV relativeFrom="margin">
                  <wp:posOffset>13970</wp:posOffset>
                </wp:positionV>
                <wp:extent cx="5486400" cy="1073785"/>
                <wp:effectExtent l="4445" t="4445" r="14605" b="7620"/>
                <wp:wrapSquare wrapText="bothSides"/>
                <wp:docPr id="13" name="文本框 22"/>
                <wp:cNvGraphicFramePr/>
                <a:graphic xmlns:a="http://schemas.openxmlformats.org/drawingml/2006/main">
                  <a:graphicData uri="http://schemas.microsoft.com/office/word/2010/wordprocessingShape">
                    <wps:wsp>
                      <wps:cNvSpPr txBox="1"/>
                      <wps:spPr>
                        <a:xfrm>
                          <a:off x="0" y="0"/>
                          <a:ext cx="5486400" cy="1073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24"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专栏8</w:t>
                            </w:r>
                          </w:p>
                          <w:p>
                            <w:pPr>
                              <w:spacing w:after="0" w:line="224" w:lineRule="exact"/>
                              <w:jc w:val="center"/>
                              <w:rPr>
                                <w:rFonts w:ascii="楷体_GB2312" w:hAnsi="仿宋" w:eastAsia="楷体_GB2312" w:cs="仿宋"/>
                                <w:sz w:val="21"/>
                                <w:szCs w:val="21"/>
                              </w:rPr>
                            </w:pPr>
                            <w:r>
                              <w:rPr>
                                <w:rFonts w:hint="eastAsia" w:ascii="黑体" w:hAnsi="黑体" w:eastAsia="黑体" w:cs="仿宋_GB2312"/>
                                <w:b/>
                                <w:bCs/>
                                <w:sz w:val="21"/>
                                <w:szCs w:val="21"/>
                              </w:rPr>
                              <w:t>以宝鸡机场为依托的空中开放空间</w:t>
                            </w:r>
                          </w:p>
                          <w:p>
                            <w:pPr>
                              <w:spacing w:after="0" w:line="224" w:lineRule="exact"/>
                              <w:ind w:firstLine="420" w:firstLineChars="200"/>
                              <w:jc w:val="both"/>
                              <w:rPr>
                                <w:rFonts w:ascii="楷体_GB2312" w:eastAsia="楷体_GB2312"/>
                              </w:rPr>
                            </w:pPr>
                            <w:r>
                              <w:rPr>
                                <w:rFonts w:hint="eastAsia" w:ascii="楷体_GB2312" w:hAnsi="仿宋" w:eastAsia="楷体_GB2312" w:cs="仿宋"/>
                                <w:sz w:val="21"/>
                                <w:szCs w:val="21"/>
                              </w:rPr>
                              <w:t>按照民用飞行等级指标</w:t>
                            </w:r>
                            <w:r>
                              <w:rPr>
                                <w:rFonts w:ascii="楷体_GB2312" w:hAnsi="仿宋" w:eastAsia="楷体_GB2312" w:cs="仿宋"/>
                                <w:sz w:val="21"/>
                                <w:szCs w:val="21"/>
                              </w:rPr>
                              <w:t>4C</w:t>
                            </w:r>
                            <w:r>
                              <w:rPr>
                                <w:rFonts w:hint="eastAsia" w:ascii="楷体_GB2312" w:hAnsi="仿宋" w:eastAsia="楷体_GB2312" w:cs="仿宋"/>
                                <w:sz w:val="21"/>
                                <w:szCs w:val="21"/>
                              </w:rPr>
                              <w:t>要求建设完成宝鸡机场，积极争取开通北京、上海、广州等特大城市以及敦煌、九寨沟、西宁、海南、包头、成都及重庆等旅游热点地区或城市的航线，形成旅客吞吐量、货邮吞吐量及飞机起降量分别为</w:t>
                            </w:r>
                            <w:r>
                              <w:rPr>
                                <w:rFonts w:ascii="楷体_GB2312" w:hAnsi="仿宋" w:eastAsia="楷体_GB2312" w:cs="仿宋"/>
                                <w:sz w:val="21"/>
                                <w:szCs w:val="21"/>
                              </w:rPr>
                              <w:t>80</w:t>
                            </w:r>
                            <w:r>
                              <w:rPr>
                                <w:rFonts w:hint="eastAsia" w:ascii="楷体_GB2312" w:hAnsi="仿宋" w:eastAsia="楷体_GB2312" w:cs="仿宋"/>
                                <w:sz w:val="21"/>
                                <w:szCs w:val="21"/>
                              </w:rPr>
                              <w:t>万人次、</w:t>
                            </w:r>
                            <w:r>
                              <w:rPr>
                                <w:rFonts w:ascii="楷体_GB2312" w:hAnsi="仿宋" w:eastAsia="楷体_GB2312" w:cs="仿宋"/>
                                <w:sz w:val="21"/>
                                <w:szCs w:val="21"/>
                              </w:rPr>
                              <w:t>3000</w:t>
                            </w:r>
                            <w:r>
                              <w:rPr>
                                <w:rFonts w:hint="eastAsia" w:ascii="楷体_GB2312" w:hAnsi="仿宋" w:eastAsia="楷体_GB2312" w:cs="仿宋"/>
                                <w:sz w:val="21"/>
                                <w:szCs w:val="21"/>
                              </w:rPr>
                              <w:t>吨和</w:t>
                            </w:r>
                            <w:r>
                              <w:rPr>
                                <w:rFonts w:ascii="楷体_GB2312" w:hAnsi="仿宋" w:eastAsia="楷体_GB2312" w:cs="仿宋"/>
                                <w:sz w:val="21"/>
                                <w:szCs w:val="21"/>
                              </w:rPr>
                              <w:t>5000</w:t>
                            </w:r>
                            <w:r>
                              <w:rPr>
                                <w:rFonts w:hint="eastAsia" w:ascii="楷体_GB2312" w:hAnsi="仿宋" w:eastAsia="楷体_GB2312" w:cs="仿宋"/>
                                <w:sz w:val="21"/>
                                <w:szCs w:val="21"/>
                              </w:rPr>
                              <w:t>架次的周转能力。建成关中西部空港物流服务基地，实现空港与陆港联动，构建航空、铁路、公路、信息多式联运为一体的立体开放空间。</w:t>
                            </w:r>
                          </w:p>
                        </w:txbxContent>
                      </wps:txbx>
                      <wps:bodyPr wrap="square" upright="1"/>
                    </wps:wsp>
                  </a:graphicData>
                </a:graphic>
              </wp:anchor>
            </w:drawing>
          </mc:Choice>
          <mc:Fallback>
            <w:pict>
              <v:shape id="文本框 22" o:spid="_x0000_s1026" o:spt="202" type="#_x0000_t202" style="position:absolute;left:0pt;margin-left:0.45pt;margin-top:1.1pt;height:84.55pt;width:432pt;mso-position-horizontal-relative:margin;mso-position-vertical-relative:margin;mso-wrap-distance-bottom:0pt;mso-wrap-distance-left:9pt;mso-wrap-distance-right:9pt;mso-wrap-distance-top:0pt;z-index:251671552;mso-width-relative:page;mso-height-relative:page;" fillcolor="#FFFFFF" filled="t" stroked="t" coordsize="21600,21600" o:gfxdata="UEsDBAoAAAAAAIdO4kAAAAAAAAAAAAAAAAAEAAAAZHJzL1BLAwQUAAAACACHTuJAGIRDj9UAAAAG&#10;AQAADwAAAGRycy9kb3ducmV2LnhtbE2OwU7DMBBE70j8g7VIXBB1klZpGuL0gASCGy2ovbrxNomI&#10;18F20/L3LCc4juZp5lXrix3EhD70jhSkswQEUuNMT62Cj/en+wJEiJqMHhyhgm8MsK6vrypdGnem&#10;DU7b2AoeoVBqBV2MYyllaDq0OszciMTd0XmrI0ffSuP1mcftILMkyaXVPfFDp0d87LD53J6sgmLx&#10;Mu3D6/xt1+THYRXvltPzl1fq9iZNHkBEvMQ/GH71WR1qdjq4E5kgBgUr5hRkGQgui3zB+cDUMp2D&#10;rCv5X7/+AVBLAwQUAAAACACHTuJAC5uE3RgCAABHBAAADgAAAGRycy9lMm9Eb2MueG1srVNLktMw&#10;EN1TxR1U2hM7nslMcMWZKghhQwFVAwfoyLKtKv2QlNi5ANyAFRv2c66cg5acyXxgkQVeyC310+vu&#10;163FzaAk2XHnhdEVnU5ySrhmpha6rejXL+tXc0p8AF2DNJpXdM89vVm+fLHobckL0xlZc0eQRPuy&#10;txXtQrBllnnWcQV+YizX6GyMUxBw69qsdtAju5JZkedXWW9cbZ1h3Hs8XY1OemR05xCaphGMrwzb&#10;Kq7DyOq4hIAl+U5YT5cp26bhLHxqGs8DkRXFSkNaMQjam7hmywWUrQPbCXZMAc5J4VlNCoTGoCeq&#10;FQQgWyf+olKCOeNNEybMqGwsJCmCVUzzZ9rcdmB5qgWl9vYkuv9/tOzj7rMjosZJuKBEg8KOH37+&#10;OPy6O/z+TooiCtRbXyLu1iIyDG/MgOD7c4+Hse6hcSr+sSKCfpR3f5KXD4EwPJxdzq8uc3Qx9E3z&#10;64vr+SzyZA/XrfPhPTeKRKOiDvuXZIXdBx9G6D0kRvNGinotpEwb127eSkd2gL1ep+/I/gQmNekr&#10;+npWzDARwAFucHDQVBZF8LpN8Z7c8I+J8/T9izgmtgLfjQkkhgiDUonAXbI6DvU7XZOwt6izxvdF&#10;YzKK15RIjs8xWgkZQMhzkKid1Chh7NHYi2iFYTMgTTQ3pt5j33occSzv2xYcxtxaJ9oOBU59TJdx&#10;vlInjm8hDvDjfQrx8P6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hEOP1QAAAAYBAAAPAAAA&#10;AAAAAAEAIAAAACIAAABkcnMvZG93bnJldi54bWxQSwECFAAUAAAACACHTuJAC5uE3RgCAABHBAAA&#10;DgAAAAAAAAABACAAAAAkAQAAZHJzL2Uyb0RvYy54bWxQSwUGAAAAAAYABgBZAQAArgUAAAAA&#10;">
                <v:fill on="t" focussize="0,0"/>
                <v:stroke color="#000000" joinstyle="miter"/>
                <v:imagedata o:title=""/>
                <o:lock v:ext="edit" aspectratio="f"/>
                <v:textbox>
                  <w:txbxContent>
                    <w:p>
                      <w:pPr>
                        <w:spacing w:after="0" w:line="224"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专栏8</w:t>
                      </w:r>
                    </w:p>
                    <w:p>
                      <w:pPr>
                        <w:spacing w:after="0" w:line="224" w:lineRule="exact"/>
                        <w:jc w:val="center"/>
                        <w:rPr>
                          <w:rFonts w:ascii="楷体_GB2312" w:hAnsi="仿宋" w:eastAsia="楷体_GB2312" w:cs="仿宋"/>
                          <w:sz w:val="21"/>
                          <w:szCs w:val="21"/>
                        </w:rPr>
                      </w:pPr>
                      <w:r>
                        <w:rPr>
                          <w:rFonts w:hint="eastAsia" w:ascii="黑体" w:hAnsi="黑体" w:eastAsia="黑体" w:cs="仿宋_GB2312"/>
                          <w:b/>
                          <w:bCs/>
                          <w:sz w:val="21"/>
                          <w:szCs w:val="21"/>
                        </w:rPr>
                        <w:t>以宝鸡机场为依托的空中开放空间</w:t>
                      </w:r>
                    </w:p>
                    <w:p>
                      <w:pPr>
                        <w:spacing w:after="0" w:line="224" w:lineRule="exact"/>
                        <w:ind w:firstLine="420" w:firstLineChars="200"/>
                        <w:jc w:val="both"/>
                        <w:rPr>
                          <w:rFonts w:ascii="楷体_GB2312" w:eastAsia="楷体_GB2312"/>
                        </w:rPr>
                      </w:pPr>
                      <w:r>
                        <w:rPr>
                          <w:rFonts w:hint="eastAsia" w:ascii="楷体_GB2312" w:hAnsi="仿宋" w:eastAsia="楷体_GB2312" w:cs="仿宋"/>
                          <w:sz w:val="21"/>
                          <w:szCs w:val="21"/>
                        </w:rPr>
                        <w:t>按照民用飞行等级指标</w:t>
                      </w:r>
                      <w:r>
                        <w:rPr>
                          <w:rFonts w:ascii="楷体_GB2312" w:hAnsi="仿宋" w:eastAsia="楷体_GB2312" w:cs="仿宋"/>
                          <w:sz w:val="21"/>
                          <w:szCs w:val="21"/>
                        </w:rPr>
                        <w:t>4C</w:t>
                      </w:r>
                      <w:r>
                        <w:rPr>
                          <w:rFonts w:hint="eastAsia" w:ascii="楷体_GB2312" w:hAnsi="仿宋" w:eastAsia="楷体_GB2312" w:cs="仿宋"/>
                          <w:sz w:val="21"/>
                          <w:szCs w:val="21"/>
                        </w:rPr>
                        <w:t>要求建设完成宝鸡机场，积极争取开通北京、上海、广州等特大城市以及敦煌、九寨沟、西宁、海南、包头、成都及重庆等旅游热点地区或城市的航线，形成旅客吞吐量、货邮吞吐量及飞机起降量分别为</w:t>
                      </w:r>
                      <w:r>
                        <w:rPr>
                          <w:rFonts w:ascii="楷体_GB2312" w:hAnsi="仿宋" w:eastAsia="楷体_GB2312" w:cs="仿宋"/>
                          <w:sz w:val="21"/>
                          <w:szCs w:val="21"/>
                        </w:rPr>
                        <w:t>80</w:t>
                      </w:r>
                      <w:r>
                        <w:rPr>
                          <w:rFonts w:hint="eastAsia" w:ascii="楷体_GB2312" w:hAnsi="仿宋" w:eastAsia="楷体_GB2312" w:cs="仿宋"/>
                          <w:sz w:val="21"/>
                          <w:szCs w:val="21"/>
                        </w:rPr>
                        <w:t>万人次、</w:t>
                      </w:r>
                      <w:r>
                        <w:rPr>
                          <w:rFonts w:ascii="楷体_GB2312" w:hAnsi="仿宋" w:eastAsia="楷体_GB2312" w:cs="仿宋"/>
                          <w:sz w:val="21"/>
                          <w:szCs w:val="21"/>
                        </w:rPr>
                        <w:t>3000</w:t>
                      </w:r>
                      <w:r>
                        <w:rPr>
                          <w:rFonts w:hint="eastAsia" w:ascii="楷体_GB2312" w:hAnsi="仿宋" w:eastAsia="楷体_GB2312" w:cs="仿宋"/>
                          <w:sz w:val="21"/>
                          <w:szCs w:val="21"/>
                        </w:rPr>
                        <w:t>吨和</w:t>
                      </w:r>
                      <w:r>
                        <w:rPr>
                          <w:rFonts w:ascii="楷体_GB2312" w:hAnsi="仿宋" w:eastAsia="楷体_GB2312" w:cs="仿宋"/>
                          <w:sz w:val="21"/>
                          <w:szCs w:val="21"/>
                        </w:rPr>
                        <w:t>5000</w:t>
                      </w:r>
                      <w:r>
                        <w:rPr>
                          <w:rFonts w:hint="eastAsia" w:ascii="楷体_GB2312" w:hAnsi="仿宋" w:eastAsia="楷体_GB2312" w:cs="仿宋"/>
                          <w:sz w:val="21"/>
                          <w:szCs w:val="21"/>
                        </w:rPr>
                        <w:t>架次的周转能力。建成关中西部空港物流服务基地，实现空港与陆港联动，构建航空、铁路、公路、信息多式联运为一体的立体开放空间。</w:t>
                      </w:r>
                    </w:p>
                  </w:txbxContent>
                </v:textbox>
                <w10:wrap type="square"/>
              </v:shape>
            </w:pict>
          </mc:Fallback>
        </mc:AlternateContent>
      </w:r>
      <w:r>
        <w:rPr>
          <w:rFonts w:ascii="黑体" w:hAnsi="黑体" w:eastAsia="黑体"/>
          <w:spacing w:val="-20"/>
          <w:sz w:val="32"/>
          <w:szCs w:val="32"/>
        </w:rPr>
        <w:t xml:space="preserve"> </w:t>
      </w:r>
    </w:p>
    <w:p>
      <w:pPr>
        <w:spacing w:after="0" w:line="600" w:lineRule="exact"/>
        <w:ind w:firstLine="431" w:firstLineChars="196"/>
        <w:jc w:val="center"/>
        <w:rPr>
          <w:rFonts w:ascii="黑体" w:hAnsi="黑体" w:eastAsia="黑体" w:cs="仿宋"/>
          <w:sz w:val="32"/>
          <w:szCs w:val="32"/>
        </w:rPr>
      </w:pPr>
      <w:r>
        <w:rPr>
          <w:lang/>
        </w:rPr>
        <w:drawing>
          <wp:anchor distT="0" distB="0" distL="114300" distR="114300" simplePos="0" relativeHeight="251675648" behindDoc="0" locked="0" layoutInCell="1" allowOverlap="1">
            <wp:simplePos x="0" y="0"/>
            <wp:positionH relativeFrom="column">
              <wp:posOffset>10795</wp:posOffset>
            </wp:positionH>
            <wp:positionV relativeFrom="paragraph">
              <wp:posOffset>4128770</wp:posOffset>
            </wp:positionV>
            <wp:extent cx="5530215" cy="4742180"/>
            <wp:effectExtent l="57150" t="57150" r="70485" b="58420"/>
            <wp:wrapSquare wrapText="bothSides"/>
            <wp:docPr id="17" name="图片 50" descr="C:\Users\Administrator\Desktop\十三五规划附图（最新）\4\大图\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0" descr="C:\Users\Administrator\Desktop\十三五规划附图（最新）\4\大图\20.jpg"/>
                    <pic:cNvPicPr>
                      <a:picLocks noChangeAspect="1"/>
                    </pic:cNvPicPr>
                  </pic:nvPicPr>
                  <pic:blipFill>
                    <a:blip r:embed="rId25"/>
                    <a:stretch>
                      <a:fillRect/>
                    </a:stretch>
                  </pic:blipFill>
                  <pic:spPr>
                    <a:xfrm>
                      <a:off x="0" y="0"/>
                      <a:ext cx="5530215" cy="4742180"/>
                    </a:xfrm>
                    <a:prstGeom prst="rect">
                      <a:avLst/>
                    </a:prstGeom>
                    <a:noFill/>
                    <a:ln w="57150" cap="flat" cmpd="thickThin">
                      <a:solidFill>
                        <a:srgbClr val="808080"/>
                      </a:solidFill>
                      <a:prstDash val="solid"/>
                      <a:miter/>
                      <a:headEnd type="none" w="med" len="med"/>
                      <a:tailEnd type="none" w="med" len="med"/>
                    </a:ln>
                  </pic:spPr>
                </pic:pic>
              </a:graphicData>
            </a:graphic>
          </wp:anchor>
        </w:drawing>
      </w:r>
      <w:r>
        <w:rPr>
          <w:lang/>
        </w:rPr>
        <w:drawing>
          <wp:anchor distT="0" distB="0" distL="114300" distR="114300" simplePos="0" relativeHeight="251674624" behindDoc="0" locked="0" layoutInCell="1" allowOverlap="1">
            <wp:simplePos x="0" y="0"/>
            <wp:positionH relativeFrom="column">
              <wp:posOffset>10795</wp:posOffset>
            </wp:positionH>
            <wp:positionV relativeFrom="paragraph">
              <wp:posOffset>13335</wp:posOffset>
            </wp:positionV>
            <wp:extent cx="5541010" cy="3820795"/>
            <wp:effectExtent l="57150" t="57150" r="59690" b="65405"/>
            <wp:wrapSquare wrapText="bothSides"/>
            <wp:docPr id="16" name="图片 49" descr="C:\Users\Administrator\Desktop\十三五规划附图（最新）\4\大图\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9" descr="C:\Users\Administrator\Desktop\十三五规划附图（最新）\4\大图\19.jpg"/>
                    <pic:cNvPicPr>
                      <a:picLocks noChangeAspect="1"/>
                    </pic:cNvPicPr>
                  </pic:nvPicPr>
                  <pic:blipFill>
                    <a:blip r:embed="rId26"/>
                    <a:srcRect t="9842" b="4921"/>
                    <a:stretch>
                      <a:fillRect/>
                    </a:stretch>
                  </pic:blipFill>
                  <pic:spPr>
                    <a:xfrm>
                      <a:off x="0" y="0"/>
                      <a:ext cx="5541010" cy="3820795"/>
                    </a:xfrm>
                    <a:prstGeom prst="rect">
                      <a:avLst/>
                    </a:prstGeom>
                    <a:noFill/>
                    <a:ln w="57150" cap="flat" cmpd="thickThin">
                      <a:solidFill>
                        <a:srgbClr val="808080"/>
                      </a:solidFill>
                      <a:prstDash val="solid"/>
                      <a:miter/>
                      <a:headEnd type="none" w="med" len="med"/>
                      <a:tailEnd type="none" w="med" len="med"/>
                    </a:ln>
                  </pic:spPr>
                </pic:pic>
              </a:graphicData>
            </a:graphic>
          </wp:anchor>
        </w:drawing>
      </w:r>
      <w:r>
        <w:rPr>
          <w:rFonts w:ascii="黑体" w:hAnsi="黑体" w:eastAsia="黑体"/>
          <w:spacing w:val="-20"/>
          <w:sz w:val="32"/>
          <w:szCs w:val="32"/>
        </w:rPr>
        <w:br w:type="page"/>
      </w:r>
      <w:r>
        <w:rPr>
          <w:rFonts w:hint="eastAsia" w:ascii="黑体" w:hAnsi="黑体" w:eastAsia="黑体"/>
          <w:sz w:val="32"/>
          <w:szCs w:val="32"/>
        </w:rPr>
        <w:t>第七章</w:t>
      </w:r>
      <w:r>
        <w:rPr>
          <w:rFonts w:ascii="黑体" w:hAnsi="黑体" w:eastAsia="黑体"/>
          <w:sz w:val="32"/>
          <w:szCs w:val="32"/>
        </w:rPr>
        <w:t xml:space="preserve">  </w:t>
      </w:r>
      <w:r>
        <w:rPr>
          <w:rFonts w:hint="eastAsia" w:ascii="黑体" w:hAnsi="黑体" w:eastAsia="黑体" w:cs="仿宋"/>
          <w:sz w:val="32"/>
          <w:szCs w:val="32"/>
        </w:rPr>
        <w:t>新型城镇空间布局</w:t>
      </w:r>
    </w:p>
    <w:p>
      <w:pPr>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依据《陕西省新型城镇化规划》的战略要求，以人的城镇化为核心，坚持走“以人为本、四化同步、优化布局、生态文明、文化传承”的新型城镇化道路，做美城市、做强县城、做大集镇、做优社区，推动大中小城市和小城镇协调发展。构建以宝鸡中心城市为主，蔡家坡、凤翔县、陇县为副，市域中部城镇发展为一带，南部发展和北部发展为两翼的“一主三副、一带两翼”城镇空间格局，</w:t>
      </w:r>
      <w:r>
        <w:rPr>
          <w:rFonts w:hint="eastAsia" w:ascii="仿宋_GB2312" w:hAnsi="华文中宋" w:eastAsia="仿宋_GB2312"/>
          <w:sz w:val="32"/>
          <w:szCs w:val="32"/>
        </w:rPr>
        <w:t>形成中心城区—副中心城市—其余县城—市级以上</w:t>
      </w:r>
      <w:r>
        <w:rPr>
          <w:rFonts w:ascii="仿宋_GB2312" w:hAnsi="华文中宋" w:eastAsia="仿宋_GB2312"/>
          <w:sz w:val="32"/>
          <w:szCs w:val="32"/>
        </w:rPr>
        <w:t>命名的</w:t>
      </w:r>
      <w:r>
        <w:rPr>
          <w:rFonts w:hint="eastAsia" w:ascii="仿宋_GB2312" w:hAnsi="华文中宋" w:eastAsia="仿宋_GB2312"/>
          <w:sz w:val="32"/>
          <w:szCs w:val="32"/>
        </w:rPr>
        <w:t>重点示范镇—其余特色小城镇—农村新型社区构成的六级城镇体系新格局，</w:t>
      </w:r>
      <w:r>
        <w:rPr>
          <w:rFonts w:hint="eastAsia" w:ascii="仿宋_GB2312" w:eastAsia="仿宋_GB2312"/>
          <w:sz w:val="32"/>
          <w:szCs w:val="32"/>
        </w:rPr>
        <w:t>促进大中小城市和小城镇功能互补、协同发展、城镇错落、田园相间、生态宜居的关中西部城镇群。</w:t>
      </w:r>
    </w:p>
    <w:p>
      <w:pPr>
        <w:spacing w:after="0" w:line="560" w:lineRule="exact"/>
        <w:ind w:firstLine="352" w:firstLineChars="196"/>
        <w:jc w:val="both"/>
        <w:rPr>
          <w:rFonts w:hint="eastAsia" w:ascii="宋体" w:hAnsi="宋体" w:eastAsia="宋体" w:cs="宋体"/>
          <w:sz w:val="18"/>
          <w:szCs w:val="18"/>
        </w:rPr>
      </w:pPr>
      <w:r>
        <w:rPr>
          <w:rFonts w:hint="eastAsia" w:ascii="宋体" w:hAnsi="宋体" w:eastAsia="宋体" w:cs="宋体"/>
          <w:sz w:val="18"/>
          <w:szCs w:val="18"/>
          <w:lang/>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83820</wp:posOffset>
                </wp:positionV>
                <wp:extent cx="5600700" cy="3146425"/>
                <wp:effectExtent l="4445" t="4445" r="14605" b="11430"/>
                <wp:wrapSquare wrapText="bothSides"/>
                <wp:docPr id="10" name="文本框 16"/>
                <wp:cNvGraphicFramePr/>
                <a:graphic xmlns:a="http://schemas.openxmlformats.org/drawingml/2006/main">
                  <a:graphicData uri="http://schemas.microsoft.com/office/word/2010/wordprocessingShape">
                    <wps:wsp>
                      <wps:cNvSpPr txBox="1"/>
                      <wps:spPr>
                        <a:xfrm>
                          <a:off x="0" y="0"/>
                          <a:ext cx="5600700" cy="3146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专栏10</w:t>
                            </w:r>
                          </w:p>
                          <w:p>
                            <w:pPr>
                              <w:spacing w:after="0" w:line="300" w:lineRule="exact"/>
                              <w:jc w:val="center"/>
                              <w:rPr>
                                <w:rFonts w:hint="eastAsia" w:ascii="黑体" w:hAnsi="黑体" w:eastAsia="黑体" w:cs="仿宋_GB2312"/>
                                <w:b/>
                                <w:bCs/>
                                <w:sz w:val="21"/>
                                <w:szCs w:val="21"/>
                              </w:rPr>
                            </w:pPr>
                            <w:r>
                              <w:rPr>
                                <w:rFonts w:hint="eastAsia" w:ascii="黑体" w:hAnsi="黑体" w:eastAsia="黑体" w:cs="仿宋_GB2312"/>
                                <w:b/>
                                <w:bCs/>
                                <w:sz w:val="21"/>
                                <w:szCs w:val="21"/>
                              </w:rPr>
                              <w:t>一主三副、一带两翼城镇空间（1）</w:t>
                            </w:r>
                          </w:p>
                          <w:p>
                            <w:pPr>
                              <w:spacing w:after="0" w:line="300" w:lineRule="exact"/>
                              <w:ind w:firstLine="422" w:firstLineChars="200"/>
                              <w:jc w:val="both"/>
                              <w:rPr>
                                <w:rFonts w:ascii="黑体" w:hAnsi="黑体" w:eastAsia="黑体" w:cs="仿宋_GB2312"/>
                                <w:b/>
                                <w:bCs/>
                                <w:sz w:val="21"/>
                                <w:szCs w:val="21"/>
                              </w:rPr>
                            </w:pPr>
                            <w:r>
                              <w:rPr>
                                <w:rFonts w:hint="eastAsia" w:ascii="楷体_GB2312" w:hAnsi="仿宋" w:eastAsia="楷体_GB2312" w:cs="仿宋_GB2312"/>
                                <w:b/>
                                <w:bCs/>
                                <w:sz w:val="21"/>
                                <w:szCs w:val="21"/>
                              </w:rPr>
                              <w:t>“一主”，即宝鸡中心城区：</w:t>
                            </w:r>
                          </w:p>
                          <w:p>
                            <w:pPr>
                              <w:spacing w:after="0" w:line="300" w:lineRule="exact"/>
                              <w:ind w:firstLine="420" w:firstLineChars="200"/>
                              <w:jc w:val="both"/>
                              <w:rPr>
                                <w:rFonts w:ascii="楷体_GB2312" w:hAnsi="仿宋" w:eastAsia="楷体_GB2312" w:cs="仿宋_GB2312"/>
                                <w:sz w:val="21"/>
                                <w:szCs w:val="21"/>
                              </w:rPr>
                            </w:pPr>
                            <w:r>
                              <w:rPr>
                                <w:rFonts w:hint="eastAsia" w:ascii="楷体_GB2312" w:hAnsi="仿宋" w:eastAsia="楷体_GB2312" w:cs="仿宋_GB2312"/>
                                <w:sz w:val="21"/>
                                <w:szCs w:val="21"/>
                              </w:rPr>
                              <w:t>继续完善中心城区</w:t>
                            </w:r>
                            <w:r>
                              <w:rPr>
                                <w:rFonts w:hint="eastAsia" w:ascii="楷体_GB2312" w:hAnsi="仿宋" w:eastAsia="楷体_GB2312" w:cs="仿宋_GB2312"/>
                                <w:b/>
                                <w:sz w:val="21"/>
                                <w:szCs w:val="21"/>
                              </w:rPr>
                              <w:t>“五大组团”</w:t>
                            </w:r>
                            <w:r>
                              <w:rPr>
                                <w:rFonts w:hint="eastAsia" w:ascii="楷体_GB2312" w:hAnsi="仿宋" w:eastAsia="楷体_GB2312" w:cs="仿宋_GB2312"/>
                                <w:sz w:val="21"/>
                                <w:szCs w:val="21"/>
                              </w:rPr>
                              <w:t>的空间结</w:t>
                            </w:r>
                            <w:r>
                              <w:rPr>
                                <w:rFonts w:hint="eastAsia" w:ascii="楷体_GB2312" w:hAnsi="仿宋" w:eastAsia="楷体_GB2312" w:cs="仿宋_GB2312"/>
                                <w:color w:val="000000"/>
                                <w:sz w:val="21"/>
                                <w:szCs w:val="21"/>
                              </w:rPr>
                              <w:t>构，实施向东适度拓展，向北加快</w:t>
                            </w:r>
                            <w:r>
                              <w:rPr>
                                <w:rFonts w:hint="eastAsia" w:ascii="Times New Roman" w:hAnsi="Times New Roman" w:eastAsia="楷体_GB2312" w:cs="仿宋_GB2312"/>
                                <w:color w:val="000000"/>
                                <w:sz w:val="21"/>
                                <w:szCs w:val="21"/>
                              </w:rPr>
                              <w:t>开发</w:t>
                            </w:r>
                            <w:r>
                              <w:rPr>
                                <w:rFonts w:hint="eastAsia" w:ascii="楷体_GB2312" w:hAnsi="仿宋" w:eastAsia="楷体_GB2312" w:cs="仿宋_GB2312"/>
                                <w:color w:val="000000"/>
                                <w:sz w:val="21"/>
                                <w:szCs w:val="21"/>
                              </w:rPr>
                              <w:t>，向南优化提升，向西涵养生态的空间发展战略，进一步拓展提升城市发展空间。建设西</w:t>
                            </w:r>
                            <w:r>
                              <w:rPr>
                                <w:rFonts w:hint="eastAsia" w:ascii="楷体_GB2312" w:hAnsi="仿宋" w:eastAsia="楷体_GB2312" w:cs="仿宋_GB2312"/>
                                <w:sz w:val="21"/>
                                <w:szCs w:val="21"/>
                              </w:rPr>
                              <w:t>部区域性中心城市、先进制造业基地和综合交通枢纽，独具文化特色的生态宜居城市。</w:t>
                            </w:r>
                          </w:p>
                          <w:p>
                            <w:pPr>
                              <w:spacing w:after="0" w:line="30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sz w:val="21"/>
                                <w:szCs w:val="21"/>
                              </w:rPr>
                              <w:t>行政组团：</w:t>
                            </w:r>
                            <w:r>
                              <w:rPr>
                                <w:rFonts w:hint="eastAsia" w:ascii="楷体_GB2312" w:hAnsi="仿宋" w:eastAsia="楷体_GB2312" w:cs="仿宋_GB2312"/>
                                <w:color w:val="000000"/>
                                <w:sz w:val="21"/>
                                <w:szCs w:val="21"/>
                              </w:rPr>
                              <w:t>主要</w:t>
                            </w:r>
                            <w:r>
                              <w:rPr>
                                <w:rFonts w:ascii="楷体_GB2312" w:hAnsi="仿宋" w:eastAsia="楷体_GB2312" w:cs="仿宋_GB2312"/>
                                <w:color w:val="000000"/>
                                <w:sz w:val="21"/>
                                <w:szCs w:val="21"/>
                              </w:rPr>
                              <w:t>涵盖</w:t>
                            </w:r>
                            <w:r>
                              <w:rPr>
                                <w:rFonts w:hint="eastAsia" w:ascii="楷体_GB2312" w:hAnsi="仿宋" w:eastAsia="楷体_GB2312" w:cs="仿宋_GB2312"/>
                                <w:color w:val="000000"/>
                                <w:sz w:val="21"/>
                                <w:szCs w:val="21"/>
                              </w:rPr>
                              <w:t>市行政中心</w:t>
                            </w:r>
                            <w:r>
                              <w:rPr>
                                <w:rFonts w:ascii="楷体_GB2312" w:hAnsi="仿宋" w:eastAsia="楷体_GB2312" w:cs="仿宋_GB2312"/>
                                <w:color w:val="000000"/>
                                <w:sz w:val="21"/>
                                <w:szCs w:val="21"/>
                              </w:rPr>
                              <w:t>周边</w:t>
                            </w:r>
                            <w:r>
                              <w:rPr>
                                <w:rFonts w:hint="eastAsia" w:ascii="楷体_GB2312" w:hAnsi="仿宋" w:eastAsia="楷体_GB2312" w:cs="仿宋_GB2312"/>
                                <w:color w:val="000000"/>
                                <w:sz w:val="21"/>
                                <w:szCs w:val="21"/>
                              </w:rPr>
                              <w:t>及</w:t>
                            </w:r>
                            <w:r>
                              <w:rPr>
                                <w:rFonts w:ascii="楷体_GB2312" w:hAnsi="仿宋" w:eastAsia="楷体_GB2312" w:cs="仿宋_GB2312"/>
                                <w:color w:val="000000"/>
                                <w:sz w:val="21"/>
                                <w:szCs w:val="21"/>
                              </w:rPr>
                              <w:t>南客站</w:t>
                            </w:r>
                            <w:r>
                              <w:rPr>
                                <w:rFonts w:hint="eastAsia" w:ascii="楷体_GB2312" w:hAnsi="仿宋" w:eastAsia="楷体_GB2312" w:cs="仿宋_GB2312"/>
                                <w:color w:val="000000"/>
                                <w:sz w:val="21"/>
                                <w:szCs w:val="21"/>
                              </w:rPr>
                              <w:t>区域，重</w:t>
                            </w:r>
                            <w:r>
                              <w:rPr>
                                <w:rFonts w:hint="eastAsia" w:ascii="楷体_GB2312" w:hAnsi="仿宋" w:eastAsia="楷体_GB2312" w:cs="仿宋_GB2312"/>
                                <w:sz w:val="21"/>
                                <w:szCs w:val="21"/>
                              </w:rPr>
                              <w:t>点建设市级行政中心、商务中心以及高铁站客运枢纽，强化行政综合服务职能。</w:t>
                            </w:r>
                            <w:r>
                              <w:rPr>
                                <w:rFonts w:hint="eastAsia" w:ascii="楷体_GB2312" w:hAnsi="仿宋" w:eastAsia="楷体_GB2312" w:cs="仿宋_GB2312"/>
                                <w:b/>
                                <w:sz w:val="21"/>
                                <w:szCs w:val="21"/>
                              </w:rPr>
                              <w:t>金渭组团</w:t>
                            </w:r>
                            <w:r>
                              <w:rPr>
                                <w:rFonts w:hint="eastAsia" w:ascii="楷体_GB2312" w:hAnsi="仿宋" w:eastAsia="楷体_GB2312" w:cs="仿宋_GB2312"/>
                                <w:sz w:val="21"/>
                                <w:szCs w:val="21"/>
                              </w:rPr>
                              <w:t>：涵盖金台区和渭滨区的老城区，重点建设市级商业中心和文化中心，强化区域综合服务职能。</w:t>
                            </w:r>
                            <w:r>
                              <w:rPr>
                                <w:rFonts w:hint="eastAsia" w:ascii="楷体_GB2312" w:hAnsi="仿宋" w:eastAsia="楷体_GB2312" w:cs="仿宋_GB2312"/>
                                <w:b/>
                                <w:sz w:val="21"/>
                                <w:szCs w:val="21"/>
                              </w:rPr>
                              <w:t>高新组团：</w:t>
                            </w:r>
                            <w:r>
                              <w:rPr>
                                <w:rFonts w:hint="eastAsia" w:ascii="楷体_GB2312" w:hAnsi="仿宋" w:eastAsia="楷体_GB2312" w:cs="仿宋_GB2312"/>
                                <w:sz w:val="21"/>
                                <w:szCs w:val="21"/>
                              </w:rPr>
                              <w:t>以宝鸡高新区东区为主体，加快基础设施建设，吸引人口集聚，注重产学城有机结合，发展</w:t>
                            </w:r>
                            <w:r>
                              <w:rPr>
                                <w:rFonts w:ascii="楷体_GB2312" w:hAnsi="仿宋" w:eastAsia="楷体_GB2312" w:cs="仿宋_GB2312"/>
                                <w:sz w:val="21"/>
                                <w:szCs w:val="21"/>
                              </w:rPr>
                              <w:t>高新产业，</w:t>
                            </w:r>
                            <w:r>
                              <w:rPr>
                                <w:rFonts w:hint="eastAsia" w:ascii="楷体_GB2312" w:hAnsi="仿宋" w:eastAsia="楷体_GB2312" w:cs="仿宋_GB2312"/>
                                <w:sz w:val="21"/>
                                <w:szCs w:val="21"/>
                              </w:rPr>
                              <w:t>形成环境友好、配套完善的宝鸡城市新区。</w:t>
                            </w:r>
                            <w:r>
                              <w:rPr>
                                <w:rFonts w:hint="eastAsia" w:ascii="楷体_GB2312" w:hAnsi="仿宋" w:eastAsia="楷体_GB2312" w:cs="仿宋_GB2312"/>
                                <w:b/>
                                <w:sz w:val="21"/>
                                <w:szCs w:val="21"/>
                              </w:rPr>
                              <w:t>蟠龙组团：</w:t>
                            </w:r>
                            <w:r>
                              <w:rPr>
                                <w:rFonts w:hint="eastAsia" w:ascii="楷体_GB2312" w:hAnsi="仿宋" w:eastAsia="楷体_GB2312" w:cs="仿宋_GB2312"/>
                                <w:sz w:val="21"/>
                                <w:szCs w:val="21"/>
                              </w:rPr>
                              <w:t>主要涵盖蟠龙新区，积极发展高新技术产业，强化区域综合服务职能，探索可持续发展模式，建设宜居生态新区。</w:t>
                            </w:r>
                            <w:r>
                              <w:rPr>
                                <w:rFonts w:hint="eastAsia" w:ascii="楷体_GB2312" w:hAnsi="仿宋" w:eastAsia="楷体_GB2312" w:cs="仿宋_GB2312"/>
                                <w:b/>
                                <w:sz w:val="21"/>
                                <w:szCs w:val="21"/>
                              </w:rPr>
                              <w:t>陈仓组团</w:t>
                            </w:r>
                            <w:r>
                              <w:rPr>
                                <w:rFonts w:hint="eastAsia" w:ascii="楷体_GB2312" w:hAnsi="仿宋" w:eastAsia="楷体_GB2312" w:cs="仿宋_GB2312"/>
                                <w:sz w:val="21"/>
                                <w:szCs w:val="21"/>
                              </w:rPr>
                              <w:t>：主要涵盖陈仓区东部地区，完善基础设施和公共服务设施的配套建设，加快</w:t>
                            </w:r>
                            <w:r>
                              <w:rPr>
                                <w:rFonts w:ascii="楷体_GB2312" w:hAnsi="仿宋" w:eastAsia="楷体_GB2312" w:cs="仿宋_GB2312"/>
                                <w:sz w:val="21"/>
                                <w:szCs w:val="21"/>
                              </w:rPr>
                              <w:t>现代物流服务业发展，</w:t>
                            </w:r>
                            <w:r>
                              <w:rPr>
                                <w:rFonts w:hint="eastAsia" w:ascii="楷体_GB2312" w:hAnsi="仿宋" w:eastAsia="楷体_GB2312" w:cs="仿宋_GB2312"/>
                                <w:sz w:val="21"/>
                                <w:szCs w:val="21"/>
                              </w:rPr>
                              <w:t>提升城市承载能力，加大融入宝鸡市区力度，加快建设生态型工业示范区。</w:t>
                            </w:r>
                          </w:p>
                        </w:txbxContent>
                      </wps:txbx>
                      <wps:bodyPr wrap="square" upright="1"/>
                    </wps:wsp>
                  </a:graphicData>
                </a:graphic>
              </wp:anchor>
            </w:drawing>
          </mc:Choice>
          <mc:Fallback>
            <w:pict>
              <v:shape id="文本框 16" o:spid="_x0000_s1026" o:spt="202" type="#_x0000_t202" style="position:absolute;left:0pt;margin-left:0pt;margin-top:6.6pt;height:247.75pt;width:441pt;mso-wrap-distance-bottom:0pt;mso-wrap-distance-left:9pt;mso-wrap-distance-right:9pt;mso-wrap-distance-top:0pt;z-index:251668480;mso-width-relative:page;mso-height-relative:page;" fillcolor="#FFFFFF" filled="t" stroked="t" coordsize="21600,21600" o:gfxdata="UEsDBAoAAAAAAIdO4kAAAAAAAAAAAAAAAAAEAAAAZHJzL1BLAwQUAAAACACHTuJA4zqvV9YAAAAH&#10;AQAADwAAAGRycy9kb3ducmV2LnhtbE2PwU7DMBBE70j8g7VIXBC1m0JrQpwekEBwg4Lg6sbbJMJe&#10;h9hNy9+znOA4M6uZt9X6GLyYcEx9JAPzmQKB1ETXU2vg7fX+UoNI2ZKzPhIa+MYE6/r0pLKliwd6&#10;wWmTW8EllEproMt5KKVMTYfBplkckDjbxTHYzHJspRvtgcuDl4VSSxlsT7zQ2QHvOmw+N/tgQF89&#10;Th/pafH83ix3/iZfrKaHr9GY87O5ugWR8Zj/juEXn9GhZqZt3JNLwhvgRzK7iwIEp1oXbGwNXCu9&#10;AllX8j9//QNQSwMEFAAAAAgAh07iQIZAEjgUAgAARwQAAA4AAABkcnMvZTJvRG9jLnhtbK1TTa7T&#10;MBDeI3EHy3uatLwWiJo+CUrZIEB6cADXdhJL/sPjNukF4Aas2LDnXD0HY6ev7wcWXZCFM/aMv5nv&#10;m/HyejCa7GUA5WxNp5OSEmm5E8q2Nf3yefPsJSUQmRVMOytrepBAr1dPnyx7X8mZ65wWMhAEsVD1&#10;vqZdjL4qCuCdNAwmzkuLzsYFwyJuQ1uIwHpEN7qYleWi6F0QPjguAfB0PTrpCTFcAuiaRnG5dnxn&#10;pI0japCaRaQEnfJAV7nappE8fmwakJHomiLTmFdMgvY2rcVqyao2MN8pfiqBXVLCI06GKYtJz1Br&#10;FhnZBfUXlFE8OHBNnHBnipFIVgRZTMtH2tx0zMvMBaUGfxYd/h8s/7D/FIgSOAkoiWUGO3788f34&#10;8/fx1zcyXSSBeg8Vxt14jIzDazdg8O054GHiPTTBpD8yIuhHrMNZXjlEwvFwvijLFyW6OPqeT68W&#10;V7N5winurvsA8Z10hiSjpgH7l2Vl+/cQx9DbkJQNnFZio7TOm9Bu3+hA9gx7vcnfCf1BmLakr+mr&#10;OeYmnOEANzg4aBqPIoBtc74HN+A+cJm/fwGnwtYMurGAjJDCWGVUlCFbnWTirRUkHjzqbPF90VSM&#10;kYISLfE5JitHRqb0JZGonbYoYerR2ItkxWE7IEwyt04csG89jjjS+7pjAXPufFBthwLnPubLOF+5&#10;E6e3kAb4/j6nuHv/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Oq9X1gAAAAcBAAAPAAAAAAAA&#10;AAEAIAAAACIAAABkcnMvZG93bnJldi54bWxQSwECFAAUAAAACACHTuJAhkASOBQCAABHBAAADgAA&#10;AAAAAAABACAAAAAlAQAAZHJzL2Uyb0RvYy54bWxQSwUGAAAAAAYABgBZAQAAqwUAAAAA&#10;">
                <v:fill on="t" focussize="0,0"/>
                <v:stroke color="#000000" joinstyle="miter"/>
                <v:imagedata o:title=""/>
                <o:lock v:ext="edit" aspectratio="f"/>
                <v:textbox>
                  <w:txbxContent>
                    <w:p>
                      <w:pPr>
                        <w:spacing w:after="0" w:line="30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专栏10</w:t>
                      </w:r>
                    </w:p>
                    <w:p>
                      <w:pPr>
                        <w:spacing w:after="0" w:line="300" w:lineRule="exact"/>
                        <w:jc w:val="center"/>
                        <w:rPr>
                          <w:rFonts w:hint="eastAsia" w:ascii="黑体" w:hAnsi="黑体" w:eastAsia="黑体" w:cs="仿宋_GB2312"/>
                          <w:b/>
                          <w:bCs/>
                          <w:sz w:val="21"/>
                          <w:szCs w:val="21"/>
                        </w:rPr>
                      </w:pPr>
                      <w:r>
                        <w:rPr>
                          <w:rFonts w:hint="eastAsia" w:ascii="黑体" w:hAnsi="黑体" w:eastAsia="黑体" w:cs="仿宋_GB2312"/>
                          <w:b/>
                          <w:bCs/>
                          <w:sz w:val="21"/>
                          <w:szCs w:val="21"/>
                        </w:rPr>
                        <w:t>一主三副、一带两翼城镇空间（1）</w:t>
                      </w:r>
                    </w:p>
                    <w:p>
                      <w:pPr>
                        <w:spacing w:after="0" w:line="300" w:lineRule="exact"/>
                        <w:ind w:firstLine="422" w:firstLineChars="200"/>
                        <w:jc w:val="both"/>
                        <w:rPr>
                          <w:rFonts w:ascii="黑体" w:hAnsi="黑体" w:eastAsia="黑体" w:cs="仿宋_GB2312"/>
                          <w:b/>
                          <w:bCs/>
                          <w:sz w:val="21"/>
                          <w:szCs w:val="21"/>
                        </w:rPr>
                      </w:pPr>
                      <w:r>
                        <w:rPr>
                          <w:rFonts w:hint="eastAsia" w:ascii="楷体_GB2312" w:hAnsi="仿宋" w:eastAsia="楷体_GB2312" w:cs="仿宋_GB2312"/>
                          <w:b/>
                          <w:bCs/>
                          <w:sz w:val="21"/>
                          <w:szCs w:val="21"/>
                        </w:rPr>
                        <w:t>“一主”，即宝鸡中心城区：</w:t>
                      </w:r>
                    </w:p>
                    <w:p>
                      <w:pPr>
                        <w:spacing w:after="0" w:line="300" w:lineRule="exact"/>
                        <w:ind w:firstLine="420" w:firstLineChars="200"/>
                        <w:jc w:val="both"/>
                        <w:rPr>
                          <w:rFonts w:ascii="楷体_GB2312" w:hAnsi="仿宋" w:eastAsia="楷体_GB2312" w:cs="仿宋_GB2312"/>
                          <w:sz w:val="21"/>
                          <w:szCs w:val="21"/>
                        </w:rPr>
                      </w:pPr>
                      <w:r>
                        <w:rPr>
                          <w:rFonts w:hint="eastAsia" w:ascii="楷体_GB2312" w:hAnsi="仿宋" w:eastAsia="楷体_GB2312" w:cs="仿宋_GB2312"/>
                          <w:sz w:val="21"/>
                          <w:szCs w:val="21"/>
                        </w:rPr>
                        <w:t>继续完善中心城区</w:t>
                      </w:r>
                      <w:r>
                        <w:rPr>
                          <w:rFonts w:hint="eastAsia" w:ascii="楷体_GB2312" w:hAnsi="仿宋" w:eastAsia="楷体_GB2312" w:cs="仿宋_GB2312"/>
                          <w:b/>
                          <w:sz w:val="21"/>
                          <w:szCs w:val="21"/>
                        </w:rPr>
                        <w:t>“五大组团”</w:t>
                      </w:r>
                      <w:r>
                        <w:rPr>
                          <w:rFonts w:hint="eastAsia" w:ascii="楷体_GB2312" w:hAnsi="仿宋" w:eastAsia="楷体_GB2312" w:cs="仿宋_GB2312"/>
                          <w:sz w:val="21"/>
                          <w:szCs w:val="21"/>
                        </w:rPr>
                        <w:t>的空间结</w:t>
                      </w:r>
                      <w:r>
                        <w:rPr>
                          <w:rFonts w:hint="eastAsia" w:ascii="楷体_GB2312" w:hAnsi="仿宋" w:eastAsia="楷体_GB2312" w:cs="仿宋_GB2312"/>
                          <w:color w:val="000000"/>
                          <w:sz w:val="21"/>
                          <w:szCs w:val="21"/>
                        </w:rPr>
                        <w:t>构，实施向东适度拓展，向北加快</w:t>
                      </w:r>
                      <w:r>
                        <w:rPr>
                          <w:rFonts w:hint="eastAsia" w:ascii="Times New Roman" w:hAnsi="Times New Roman" w:eastAsia="楷体_GB2312" w:cs="仿宋_GB2312"/>
                          <w:color w:val="000000"/>
                          <w:sz w:val="21"/>
                          <w:szCs w:val="21"/>
                        </w:rPr>
                        <w:t>开发</w:t>
                      </w:r>
                      <w:r>
                        <w:rPr>
                          <w:rFonts w:hint="eastAsia" w:ascii="楷体_GB2312" w:hAnsi="仿宋" w:eastAsia="楷体_GB2312" w:cs="仿宋_GB2312"/>
                          <w:color w:val="000000"/>
                          <w:sz w:val="21"/>
                          <w:szCs w:val="21"/>
                        </w:rPr>
                        <w:t>，向南优化提升，向西涵养生态的空间发展战略，进一步拓展提升城市发展空间。建设西</w:t>
                      </w:r>
                      <w:r>
                        <w:rPr>
                          <w:rFonts w:hint="eastAsia" w:ascii="楷体_GB2312" w:hAnsi="仿宋" w:eastAsia="楷体_GB2312" w:cs="仿宋_GB2312"/>
                          <w:sz w:val="21"/>
                          <w:szCs w:val="21"/>
                        </w:rPr>
                        <w:t>部区域性中心城市、先进制造业基地和综合交通枢纽，独具文化特色的生态宜居城市。</w:t>
                      </w:r>
                    </w:p>
                    <w:p>
                      <w:pPr>
                        <w:spacing w:after="0" w:line="30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sz w:val="21"/>
                          <w:szCs w:val="21"/>
                        </w:rPr>
                        <w:t>行政组团：</w:t>
                      </w:r>
                      <w:r>
                        <w:rPr>
                          <w:rFonts w:hint="eastAsia" w:ascii="楷体_GB2312" w:hAnsi="仿宋" w:eastAsia="楷体_GB2312" w:cs="仿宋_GB2312"/>
                          <w:color w:val="000000"/>
                          <w:sz w:val="21"/>
                          <w:szCs w:val="21"/>
                        </w:rPr>
                        <w:t>主要</w:t>
                      </w:r>
                      <w:r>
                        <w:rPr>
                          <w:rFonts w:ascii="楷体_GB2312" w:hAnsi="仿宋" w:eastAsia="楷体_GB2312" w:cs="仿宋_GB2312"/>
                          <w:color w:val="000000"/>
                          <w:sz w:val="21"/>
                          <w:szCs w:val="21"/>
                        </w:rPr>
                        <w:t>涵盖</w:t>
                      </w:r>
                      <w:r>
                        <w:rPr>
                          <w:rFonts w:hint="eastAsia" w:ascii="楷体_GB2312" w:hAnsi="仿宋" w:eastAsia="楷体_GB2312" w:cs="仿宋_GB2312"/>
                          <w:color w:val="000000"/>
                          <w:sz w:val="21"/>
                          <w:szCs w:val="21"/>
                        </w:rPr>
                        <w:t>市行政中心</w:t>
                      </w:r>
                      <w:r>
                        <w:rPr>
                          <w:rFonts w:ascii="楷体_GB2312" w:hAnsi="仿宋" w:eastAsia="楷体_GB2312" w:cs="仿宋_GB2312"/>
                          <w:color w:val="000000"/>
                          <w:sz w:val="21"/>
                          <w:szCs w:val="21"/>
                        </w:rPr>
                        <w:t>周边</w:t>
                      </w:r>
                      <w:r>
                        <w:rPr>
                          <w:rFonts w:hint="eastAsia" w:ascii="楷体_GB2312" w:hAnsi="仿宋" w:eastAsia="楷体_GB2312" w:cs="仿宋_GB2312"/>
                          <w:color w:val="000000"/>
                          <w:sz w:val="21"/>
                          <w:szCs w:val="21"/>
                        </w:rPr>
                        <w:t>及</w:t>
                      </w:r>
                      <w:r>
                        <w:rPr>
                          <w:rFonts w:ascii="楷体_GB2312" w:hAnsi="仿宋" w:eastAsia="楷体_GB2312" w:cs="仿宋_GB2312"/>
                          <w:color w:val="000000"/>
                          <w:sz w:val="21"/>
                          <w:szCs w:val="21"/>
                        </w:rPr>
                        <w:t>南客站</w:t>
                      </w:r>
                      <w:r>
                        <w:rPr>
                          <w:rFonts w:hint="eastAsia" w:ascii="楷体_GB2312" w:hAnsi="仿宋" w:eastAsia="楷体_GB2312" w:cs="仿宋_GB2312"/>
                          <w:color w:val="000000"/>
                          <w:sz w:val="21"/>
                          <w:szCs w:val="21"/>
                        </w:rPr>
                        <w:t>区域，重</w:t>
                      </w:r>
                      <w:r>
                        <w:rPr>
                          <w:rFonts w:hint="eastAsia" w:ascii="楷体_GB2312" w:hAnsi="仿宋" w:eastAsia="楷体_GB2312" w:cs="仿宋_GB2312"/>
                          <w:sz w:val="21"/>
                          <w:szCs w:val="21"/>
                        </w:rPr>
                        <w:t>点建设市级行政中心、商务中心以及高铁站客运枢纽，强化行政综合服务职能。</w:t>
                      </w:r>
                      <w:r>
                        <w:rPr>
                          <w:rFonts w:hint="eastAsia" w:ascii="楷体_GB2312" w:hAnsi="仿宋" w:eastAsia="楷体_GB2312" w:cs="仿宋_GB2312"/>
                          <w:b/>
                          <w:sz w:val="21"/>
                          <w:szCs w:val="21"/>
                        </w:rPr>
                        <w:t>金渭组团</w:t>
                      </w:r>
                      <w:r>
                        <w:rPr>
                          <w:rFonts w:hint="eastAsia" w:ascii="楷体_GB2312" w:hAnsi="仿宋" w:eastAsia="楷体_GB2312" w:cs="仿宋_GB2312"/>
                          <w:sz w:val="21"/>
                          <w:szCs w:val="21"/>
                        </w:rPr>
                        <w:t>：涵盖金台区和渭滨区的老城区，重点建设市级商业中心和文化中心，强化区域综合服务职能。</w:t>
                      </w:r>
                      <w:r>
                        <w:rPr>
                          <w:rFonts w:hint="eastAsia" w:ascii="楷体_GB2312" w:hAnsi="仿宋" w:eastAsia="楷体_GB2312" w:cs="仿宋_GB2312"/>
                          <w:b/>
                          <w:sz w:val="21"/>
                          <w:szCs w:val="21"/>
                        </w:rPr>
                        <w:t>高新组团：</w:t>
                      </w:r>
                      <w:r>
                        <w:rPr>
                          <w:rFonts w:hint="eastAsia" w:ascii="楷体_GB2312" w:hAnsi="仿宋" w:eastAsia="楷体_GB2312" w:cs="仿宋_GB2312"/>
                          <w:sz w:val="21"/>
                          <w:szCs w:val="21"/>
                        </w:rPr>
                        <w:t>以宝鸡高新区东区为主体，加快基础设施建设，吸引人口集聚，注重产学城有机结合，发展</w:t>
                      </w:r>
                      <w:r>
                        <w:rPr>
                          <w:rFonts w:ascii="楷体_GB2312" w:hAnsi="仿宋" w:eastAsia="楷体_GB2312" w:cs="仿宋_GB2312"/>
                          <w:sz w:val="21"/>
                          <w:szCs w:val="21"/>
                        </w:rPr>
                        <w:t>高新产业，</w:t>
                      </w:r>
                      <w:r>
                        <w:rPr>
                          <w:rFonts w:hint="eastAsia" w:ascii="楷体_GB2312" w:hAnsi="仿宋" w:eastAsia="楷体_GB2312" w:cs="仿宋_GB2312"/>
                          <w:sz w:val="21"/>
                          <w:szCs w:val="21"/>
                        </w:rPr>
                        <w:t>形成环境友好、配套完善的宝鸡城市新区。</w:t>
                      </w:r>
                      <w:r>
                        <w:rPr>
                          <w:rFonts w:hint="eastAsia" w:ascii="楷体_GB2312" w:hAnsi="仿宋" w:eastAsia="楷体_GB2312" w:cs="仿宋_GB2312"/>
                          <w:b/>
                          <w:sz w:val="21"/>
                          <w:szCs w:val="21"/>
                        </w:rPr>
                        <w:t>蟠龙组团：</w:t>
                      </w:r>
                      <w:r>
                        <w:rPr>
                          <w:rFonts w:hint="eastAsia" w:ascii="楷体_GB2312" w:hAnsi="仿宋" w:eastAsia="楷体_GB2312" w:cs="仿宋_GB2312"/>
                          <w:sz w:val="21"/>
                          <w:szCs w:val="21"/>
                        </w:rPr>
                        <w:t>主要涵盖蟠龙新区，积极发展高新技术产业，强化区域综合服务职能，探索可持续发展模式，建设宜居生态新区。</w:t>
                      </w:r>
                      <w:r>
                        <w:rPr>
                          <w:rFonts w:hint="eastAsia" w:ascii="楷体_GB2312" w:hAnsi="仿宋" w:eastAsia="楷体_GB2312" w:cs="仿宋_GB2312"/>
                          <w:b/>
                          <w:sz w:val="21"/>
                          <w:szCs w:val="21"/>
                        </w:rPr>
                        <w:t>陈仓组团</w:t>
                      </w:r>
                      <w:r>
                        <w:rPr>
                          <w:rFonts w:hint="eastAsia" w:ascii="楷体_GB2312" w:hAnsi="仿宋" w:eastAsia="楷体_GB2312" w:cs="仿宋_GB2312"/>
                          <w:sz w:val="21"/>
                          <w:szCs w:val="21"/>
                        </w:rPr>
                        <w:t>：主要涵盖陈仓区东部地区，完善基础设施和公共服务设施的配套建设，加快</w:t>
                      </w:r>
                      <w:r>
                        <w:rPr>
                          <w:rFonts w:ascii="楷体_GB2312" w:hAnsi="仿宋" w:eastAsia="楷体_GB2312" w:cs="仿宋_GB2312"/>
                          <w:sz w:val="21"/>
                          <w:szCs w:val="21"/>
                        </w:rPr>
                        <w:t>现代物流服务业发展，</w:t>
                      </w:r>
                      <w:r>
                        <w:rPr>
                          <w:rFonts w:hint="eastAsia" w:ascii="楷体_GB2312" w:hAnsi="仿宋" w:eastAsia="楷体_GB2312" w:cs="仿宋_GB2312"/>
                          <w:sz w:val="21"/>
                          <w:szCs w:val="21"/>
                        </w:rPr>
                        <w:t>提升城市承载能力，加大融入宝鸡市区力度，加快建设生态型工业示范区。</w:t>
                      </w:r>
                    </w:p>
                  </w:txbxContent>
                </v:textbox>
                <w10:wrap type="square"/>
              </v:shape>
            </w:pict>
          </mc:Fallback>
        </mc:AlternateContent>
      </w:r>
    </w:p>
    <w:p>
      <w:pPr>
        <w:spacing w:after="0" w:line="560" w:lineRule="exact"/>
        <w:ind w:firstLine="352" w:firstLineChars="196"/>
        <w:rPr>
          <w:rFonts w:hint="eastAsia" w:ascii="宋体" w:hAnsi="宋体" w:eastAsia="宋体" w:cs="宋体"/>
          <w:sz w:val="18"/>
          <w:szCs w:val="18"/>
        </w:rPr>
      </w:pPr>
    </w:p>
    <w:p>
      <w:pPr>
        <w:spacing w:after="0" w:line="560" w:lineRule="exact"/>
        <w:ind w:firstLine="352" w:firstLineChars="196"/>
        <w:rPr>
          <w:rFonts w:hint="eastAsia" w:ascii="宋体" w:hAnsi="宋体" w:eastAsia="宋体" w:cs="宋体"/>
          <w:sz w:val="18"/>
          <w:szCs w:val="18"/>
        </w:rPr>
      </w:pPr>
    </w:p>
    <w:p>
      <w:pPr>
        <w:spacing w:after="0" w:line="560" w:lineRule="exact"/>
        <w:ind w:firstLine="352" w:firstLineChars="196"/>
        <w:rPr>
          <w:rFonts w:hint="eastAsia" w:ascii="宋体" w:hAnsi="宋体" w:eastAsia="宋体" w:cs="宋体"/>
          <w:sz w:val="18"/>
          <w:szCs w:val="18"/>
        </w:rPr>
      </w:pPr>
      <w:r>
        <w:rPr>
          <w:rFonts w:hint="eastAsia" w:ascii="宋体" w:hAnsi="宋体" w:eastAsia="宋体" w:cs="宋体"/>
          <w:sz w:val="18"/>
          <w:szCs w:val="18"/>
          <w:lang/>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381635</wp:posOffset>
                </wp:positionV>
                <wp:extent cx="5534660" cy="4618355"/>
                <wp:effectExtent l="5080" t="4445" r="22860" b="6350"/>
                <wp:wrapSquare wrapText="bothSides"/>
                <wp:docPr id="19" name="文本框 44"/>
                <wp:cNvGraphicFramePr/>
                <a:graphic xmlns:a="http://schemas.openxmlformats.org/drawingml/2006/main">
                  <a:graphicData uri="http://schemas.microsoft.com/office/word/2010/wordprocessingShape">
                    <wps:wsp>
                      <wps:cNvSpPr txBox="1"/>
                      <wps:spPr>
                        <a:xfrm>
                          <a:off x="0" y="0"/>
                          <a:ext cx="5534660" cy="4618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专栏10</w:t>
                            </w:r>
                          </w:p>
                          <w:p>
                            <w:pPr>
                              <w:spacing w:after="0" w:line="300" w:lineRule="exact"/>
                              <w:jc w:val="center"/>
                              <w:rPr>
                                <w:rFonts w:hint="eastAsia" w:ascii="黑体" w:hAnsi="黑体" w:eastAsia="黑体" w:cs="仿宋_GB2312"/>
                                <w:b/>
                                <w:bCs/>
                                <w:sz w:val="21"/>
                                <w:szCs w:val="21"/>
                              </w:rPr>
                            </w:pPr>
                            <w:r>
                              <w:rPr>
                                <w:rFonts w:hint="eastAsia" w:ascii="黑体" w:hAnsi="黑体" w:eastAsia="黑体" w:cs="仿宋_GB2312"/>
                                <w:b/>
                                <w:bCs/>
                                <w:sz w:val="21"/>
                                <w:szCs w:val="21"/>
                              </w:rPr>
                              <w:t>一主三副、一带两翼城镇空间（2）</w:t>
                            </w:r>
                          </w:p>
                          <w:p>
                            <w:pPr>
                              <w:spacing w:after="0" w:line="300" w:lineRule="exact"/>
                              <w:ind w:firstLine="422" w:firstLineChars="200"/>
                              <w:jc w:val="both"/>
                              <w:rPr>
                                <w:rFonts w:ascii="楷体_GB2312" w:hAnsi="仿宋" w:eastAsia="楷体_GB2312" w:cs="仿宋_GB2312"/>
                                <w:b/>
                                <w:bCs/>
                                <w:sz w:val="21"/>
                                <w:szCs w:val="21"/>
                              </w:rPr>
                            </w:pPr>
                            <w:r>
                              <w:rPr>
                                <w:rFonts w:hint="eastAsia" w:ascii="楷体_GB2312" w:hAnsi="仿宋" w:eastAsia="楷体_GB2312" w:cs="仿宋_GB2312"/>
                                <w:b/>
                                <w:bCs/>
                                <w:sz w:val="21"/>
                                <w:szCs w:val="21"/>
                              </w:rPr>
                              <w:t>“三副”，即凤翔县城、陇县县城、蔡家坡地区：</w:t>
                            </w:r>
                          </w:p>
                          <w:p>
                            <w:pPr>
                              <w:spacing w:after="0" w:line="300" w:lineRule="exact"/>
                              <w:ind w:firstLine="422" w:firstLineChars="200"/>
                              <w:jc w:val="both"/>
                              <w:rPr>
                                <w:rFonts w:hint="eastAsia" w:ascii="楷体_GB2312" w:hAnsi="仿宋" w:eastAsia="楷体_GB2312" w:cs="仿宋_GB2312"/>
                                <w:sz w:val="21"/>
                                <w:szCs w:val="21"/>
                              </w:rPr>
                            </w:pPr>
                            <w:r>
                              <w:rPr>
                                <w:rFonts w:hint="eastAsia" w:ascii="楷体_GB2312" w:hAnsi="仿宋" w:eastAsia="楷体_GB2312" w:cs="仿宋_GB2312"/>
                                <w:b/>
                                <w:bCs/>
                                <w:sz w:val="21"/>
                                <w:szCs w:val="21"/>
                              </w:rPr>
                              <w:t>凤翔县：</w:t>
                            </w:r>
                            <w:r>
                              <w:rPr>
                                <w:rFonts w:hint="eastAsia" w:ascii="楷体_GB2312" w:hAnsi="仿宋" w:eastAsia="楷体_GB2312" w:cs="仿宋_GB2312"/>
                                <w:sz w:val="21"/>
                                <w:szCs w:val="21"/>
                              </w:rPr>
                              <w:t>建成宝鸡主城区的拓展区、关天经济区能源化工基地、西北地区白酒产业基地、国家历史文化名城，城镇化率达到60％以上。</w:t>
                            </w:r>
                          </w:p>
                          <w:p>
                            <w:pPr>
                              <w:spacing w:after="0" w:line="300" w:lineRule="exact"/>
                              <w:ind w:firstLine="422" w:firstLineChars="200"/>
                              <w:jc w:val="both"/>
                              <w:rPr>
                                <w:rFonts w:hint="eastAsia" w:ascii="楷体_GB2312" w:hAnsi="仿宋" w:eastAsia="楷体_GB2312" w:cs="仿宋_GB2312"/>
                                <w:sz w:val="21"/>
                                <w:szCs w:val="21"/>
                              </w:rPr>
                            </w:pPr>
                            <w:r>
                              <w:rPr>
                                <w:rFonts w:hint="eastAsia" w:ascii="楷体_GB2312" w:hAnsi="仿宋" w:eastAsia="楷体_GB2312" w:cs="仿宋_GB2312"/>
                                <w:b/>
                                <w:bCs/>
                                <w:sz w:val="21"/>
                                <w:szCs w:val="21"/>
                              </w:rPr>
                              <w:t>陇县：</w:t>
                            </w:r>
                            <w:r>
                              <w:rPr>
                                <w:rFonts w:hint="eastAsia" w:ascii="楷体_GB2312" w:hAnsi="仿宋" w:eastAsia="楷体_GB2312" w:cs="仿宋_GB2312"/>
                                <w:sz w:val="21"/>
                                <w:szCs w:val="21"/>
                              </w:rPr>
                              <w:t>建成六盘山南部片区商贸中心、关天经济区新能源</w:t>
                            </w:r>
                            <w:r>
                              <w:rPr>
                                <w:rFonts w:hint="eastAsia" w:ascii="楷体_GB2312" w:hAnsi="仿宋" w:eastAsia="楷体_GB2312" w:cs="仿宋_GB2312"/>
                                <w:color w:val="000000"/>
                                <w:sz w:val="21"/>
                                <w:szCs w:val="21"/>
                              </w:rPr>
                              <w:t>基地、关天</w:t>
                            </w:r>
                            <w:r>
                              <w:rPr>
                                <w:rFonts w:ascii="楷体_GB2312" w:hAnsi="仿宋" w:eastAsia="楷体_GB2312" w:cs="仿宋_GB2312"/>
                                <w:color w:val="000000"/>
                                <w:sz w:val="21"/>
                                <w:szCs w:val="21"/>
                              </w:rPr>
                              <w:t>经济区生态休闲度假旅游目的地、</w:t>
                            </w:r>
                            <w:r>
                              <w:rPr>
                                <w:rFonts w:hint="eastAsia" w:ascii="楷体_GB2312" w:hAnsi="仿宋" w:eastAsia="楷体_GB2312" w:cs="仿宋_GB2312"/>
                                <w:color w:val="000000"/>
                                <w:sz w:val="21"/>
                                <w:szCs w:val="21"/>
                              </w:rPr>
                              <w:t>特色农业基地、生态花园城市，城镇化率达到</w:t>
                            </w:r>
                            <w:r>
                              <w:rPr>
                                <w:rFonts w:hint="eastAsia" w:ascii="楷体_GB2312" w:hAnsi="仿宋" w:eastAsia="楷体_GB2312" w:cs="仿宋_GB2312"/>
                                <w:sz w:val="21"/>
                                <w:szCs w:val="21"/>
                              </w:rPr>
                              <w:t>60%以上。</w:t>
                            </w:r>
                          </w:p>
                          <w:p>
                            <w:pPr>
                              <w:spacing w:after="0" w:line="30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sz w:val="21"/>
                                <w:szCs w:val="21"/>
                              </w:rPr>
                              <w:t>蔡家坡地区：</w:t>
                            </w:r>
                            <w:r>
                              <w:rPr>
                                <w:rFonts w:hint="eastAsia" w:ascii="楷体_GB2312" w:hAnsi="仿宋" w:eastAsia="楷体_GB2312" w:cs="仿宋_GB2312"/>
                                <w:sz w:val="21"/>
                                <w:szCs w:val="21"/>
                              </w:rPr>
                              <w:t>建成中国西部汽车及零部件制造基地、关天经济区中等工业城市、统筹城乡发展示范区，城镇化率达到70%以上。</w:t>
                            </w:r>
                          </w:p>
                          <w:p>
                            <w:pPr>
                              <w:spacing w:after="0" w:line="300" w:lineRule="exact"/>
                              <w:ind w:firstLine="422" w:firstLineChars="200"/>
                              <w:jc w:val="both"/>
                              <w:rPr>
                                <w:rFonts w:hint="eastAsia" w:ascii="楷体_GB2312" w:hAnsi="仿宋" w:eastAsia="楷体_GB2312" w:cs="仿宋_GB2312"/>
                                <w:sz w:val="21"/>
                                <w:szCs w:val="21"/>
                              </w:rPr>
                            </w:pPr>
                            <w:r>
                              <w:rPr>
                                <w:rFonts w:hint="eastAsia" w:ascii="楷体_GB2312" w:hAnsi="仿宋" w:eastAsia="楷体_GB2312" w:cs="仿宋_GB2312"/>
                                <w:b/>
                                <w:bCs/>
                                <w:sz w:val="21"/>
                                <w:szCs w:val="21"/>
                              </w:rPr>
                              <w:t>“一带”，即市域中部城镇发展带：</w:t>
                            </w:r>
                            <w:r>
                              <w:rPr>
                                <w:rFonts w:hint="eastAsia" w:ascii="楷体_GB2312" w:hAnsi="仿宋" w:eastAsia="楷体_GB2312" w:cs="仿宋_GB2312"/>
                                <w:sz w:val="21"/>
                                <w:szCs w:val="21"/>
                              </w:rPr>
                              <w:t>渭河沿岸带是宝鸡人口重要的聚居区和产业发展重点区域，要按照“拉大框架、完善功能、优化布局”的总体思路，围绕中心城市，宝鸡高新区、蔡家坡、眉县县城，加快这一区域的基础设施建设，加大省市级重点镇建设力度，着力打造人口集中、产业发达、环境优美、竞争力强的宝鸡经济社会发展核心城镇带。</w:t>
                            </w:r>
                          </w:p>
                          <w:p>
                            <w:pPr>
                              <w:spacing w:after="0" w:line="300" w:lineRule="exact"/>
                              <w:ind w:firstLine="422" w:firstLineChars="200"/>
                              <w:jc w:val="both"/>
                              <w:rPr>
                                <w:rFonts w:ascii="楷体_GB2312" w:hAnsi="仿宋" w:eastAsia="楷体_GB2312" w:cs="仿宋_GB2312"/>
                                <w:b/>
                                <w:bCs/>
                                <w:sz w:val="21"/>
                                <w:szCs w:val="21"/>
                              </w:rPr>
                            </w:pPr>
                            <w:r>
                              <w:rPr>
                                <w:rFonts w:hint="eastAsia" w:ascii="楷体_GB2312" w:hAnsi="仿宋" w:eastAsia="楷体_GB2312" w:cs="仿宋_GB2312"/>
                                <w:b/>
                                <w:bCs/>
                                <w:sz w:val="21"/>
                                <w:szCs w:val="21"/>
                              </w:rPr>
                              <w:t>“两翼”，即北部发展翼和南部发展翼</w:t>
                            </w:r>
                          </w:p>
                          <w:p>
                            <w:pPr>
                              <w:spacing w:after="0" w:line="30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bCs/>
                                <w:sz w:val="21"/>
                                <w:szCs w:val="21"/>
                              </w:rPr>
                              <w:t>北部发展翼：</w:t>
                            </w:r>
                            <w:r>
                              <w:rPr>
                                <w:rFonts w:hint="eastAsia" w:ascii="楷体_GB2312" w:hAnsi="仿宋" w:eastAsia="楷体_GB2312" w:cs="仿宋_GB2312"/>
                                <w:sz w:val="21"/>
                                <w:szCs w:val="21"/>
                              </w:rPr>
                              <w:t>包括扶风、岐山、凤翔北部及麟游、千阳、陇县。要依托县城、重点镇及重点园区进一步突出重点、集中力量，加大基础设施、公共服务设施、旧城（镇）区改造提升，高起点规划，高标准建设省级文化街区，把城镇的基础设施建设和产业发展紧密结合，辐射和带动周边发展，着力打造布局合理、功能齐全、环境优美、特色鲜明的特色城镇群。</w:t>
                            </w:r>
                          </w:p>
                          <w:p>
                            <w:pPr>
                              <w:spacing w:after="0" w:line="300" w:lineRule="exact"/>
                              <w:ind w:firstLine="422" w:firstLineChars="200"/>
                              <w:jc w:val="both"/>
                            </w:pPr>
                            <w:r>
                              <w:rPr>
                                <w:rFonts w:hint="eastAsia" w:ascii="楷体_GB2312" w:hAnsi="仿宋" w:eastAsia="楷体_GB2312" w:cs="仿宋_GB2312"/>
                                <w:b/>
                                <w:bCs/>
                                <w:sz w:val="21"/>
                                <w:szCs w:val="21"/>
                              </w:rPr>
                              <w:t>南部发展翼：</w:t>
                            </w:r>
                            <w:r>
                              <w:rPr>
                                <w:rFonts w:hint="eastAsia" w:ascii="楷体_GB2312" w:hAnsi="仿宋" w:eastAsia="楷体_GB2312" w:cs="仿宋_GB2312"/>
                                <w:sz w:val="21"/>
                                <w:szCs w:val="21"/>
                              </w:rPr>
                              <w:t>包括凤县、太白及秦岭北麓地区。要发挥生态环境优势明显、生物多样性丰富的特点，有序加强凤县、太白县城及秦岭北麓基础设施建设，引导人口向县城及重点镇集聚，大力发展旅游休闲产业及绿色加工产业，着力打造（凤县）秦岭生态旅游名城、（太白）西部慢城及秦岭北麓休闲旅游观光带，形成生态宜居、功能完善、环境优美的点状城镇群。</w:t>
                            </w:r>
                          </w:p>
                        </w:txbxContent>
                      </wps:txbx>
                      <wps:bodyPr wrap="square" upright="1"/>
                    </wps:wsp>
                  </a:graphicData>
                </a:graphic>
              </wp:anchor>
            </w:drawing>
          </mc:Choice>
          <mc:Fallback>
            <w:pict>
              <v:shape id="文本框 44" o:spid="_x0000_s1026" o:spt="202" type="#_x0000_t202" style="position:absolute;left:0pt;margin-left:0pt;margin-top:30.05pt;height:363.65pt;width:435.8pt;mso-wrap-distance-bottom:0pt;mso-wrap-distance-left:9pt;mso-wrap-distance-right:9pt;mso-wrap-distance-top:0pt;z-index:251677696;mso-width-relative:page;mso-height-relative:page;" fillcolor="#FFFFFF" filled="t" stroked="t" coordsize="21600,21600" o:gfxdata="UEsDBAoAAAAAAIdO4kAAAAAAAAAAAAAAAAAEAAAAZHJzL1BLAwQUAAAACACHTuJAn9Vji9cAAAAH&#10;AQAADwAAAGRycy9kb3ducmV2LnhtbE2PwU7DMBBE70j8g7VIXFBrB6okhGx6QALBDQoqVzfeJhHx&#10;OthuWv4ec4LjaEYzb+r1yY5iJh8GxwjZUoEgbp0ZuEN4f3tYlCBC1Gz06JgQvinAujk/q3Vl3JFf&#10;ad7ETqQSDpVG6GOcKilD25PVYekm4uTtnbc6Juk7abw+pnI7ymulcmn1wGmh1xPd99R+bg4WoVw9&#10;zR/h+eZl2+b78TZeFfPjl0e8vMjUHYhIp/gXhl/8hA5NYtq5A5sgRoR0JCLkKgOR3LLIchA7hKIs&#10;ViCbWv7nb34AUEsDBBQAAAAIAIdO4kDqVbAeFwIAAEcEAAAOAAAAZHJzL2Uyb0RvYy54bWytU82O&#10;0zAQviPxDpbvNGm3qXajpitBKRcESAsPMHWcxJL/sN0mfQF4A05cuPNcfQ7GTrf7A4ceyMEZez5/&#10;M/PNeHk7KEn23HlhdEWnk5wSrpmphW4r+uXz5tU1JT6ArkEazSt64J7erl6+WPa25DPTGVlzR5BE&#10;+7K3Fe1CsGWWedZxBX5iLNfobIxTEHDr2qx20CO7ktkszxdZb1xtnWHcezxdj056YnSXEJqmEYyv&#10;DdsprsPI6riEgCX5TlhPVynbpuEsfGwazwORFcVKQ1oxCNrbuGarJZStA9sJdkoBLknhWU0KhMag&#10;Z6o1BCA7J/6iUoI5400TJsyobCwkKYJVTPNn2tx1YHmqBaX29iy6/3+07MP+kyOixkm4oUSDwo4f&#10;f3w//vx9/PWNzOdRoN76EnF3FpFheG0GBN+fezyMdQ+NU/GPFRH0o7yHs7x8CIThYVFczRcLdDH0&#10;zRfT66uiiDzZw3XrfHjHjSLRqKjD/iVZYf/ehxF6D4nRvJGi3ggp08a12zfSkT1grzfpO7E/gUlN&#10;+oreFLMCEwEc4AYHB01lUQSv2xTvyQ3/mDhP37+IY2Jr8N2YQGKIMCiVCNwlq+NQv9U1CQeLOmt8&#10;XzQmo3hNieT4HKOVkAGEvASJ2kmNEsYejb2IVhi2A9JEc2vqA/atxxHH8r7uwGHMnXWi7VDg1Md0&#10;GecrdeL0FuIAP96nEA/vf/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9Vji9cAAAAHAQAADwAA&#10;AAAAAAABACAAAAAiAAAAZHJzL2Rvd25yZXYueG1sUEsBAhQAFAAAAAgAh07iQOpVsB4XAgAARwQA&#10;AA4AAAAAAAAAAQAgAAAAJgEAAGRycy9lMm9Eb2MueG1sUEsFBgAAAAAGAAYAWQEAAK8FAAAAAA==&#10;">
                <v:fill on="t" focussize="0,0"/>
                <v:stroke color="#000000" joinstyle="miter"/>
                <v:imagedata o:title=""/>
                <o:lock v:ext="edit" aspectratio="f"/>
                <v:textbox>
                  <w:txbxContent>
                    <w:p>
                      <w:pPr>
                        <w:spacing w:after="0" w:line="30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专栏10</w:t>
                      </w:r>
                    </w:p>
                    <w:p>
                      <w:pPr>
                        <w:spacing w:after="0" w:line="300" w:lineRule="exact"/>
                        <w:jc w:val="center"/>
                        <w:rPr>
                          <w:rFonts w:hint="eastAsia" w:ascii="黑体" w:hAnsi="黑体" w:eastAsia="黑体" w:cs="仿宋_GB2312"/>
                          <w:b/>
                          <w:bCs/>
                          <w:sz w:val="21"/>
                          <w:szCs w:val="21"/>
                        </w:rPr>
                      </w:pPr>
                      <w:r>
                        <w:rPr>
                          <w:rFonts w:hint="eastAsia" w:ascii="黑体" w:hAnsi="黑体" w:eastAsia="黑体" w:cs="仿宋_GB2312"/>
                          <w:b/>
                          <w:bCs/>
                          <w:sz w:val="21"/>
                          <w:szCs w:val="21"/>
                        </w:rPr>
                        <w:t>一主三副、一带两翼城镇空间（2）</w:t>
                      </w:r>
                    </w:p>
                    <w:p>
                      <w:pPr>
                        <w:spacing w:after="0" w:line="300" w:lineRule="exact"/>
                        <w:ind w:firstLine="422" w:firstLineChars="200"/>
                        <w:jc w:val="both"/>
                        <w:rPr>
                          <w:rFonts w:ascii="楷体_GB2312" w:hAnsi="仿宋" w:eastAsia="楷体_GB2312" w:cs="仿宋_GB2312"/>
                          <w:b/>
                          <w:bCs/>
                          <w:sz w:val="21"/>
                          <w:szCs w:val="21"/>
                        </w:rPr>
                      </w:pPr>
                      <w:r>
                        <w:rPr>
                          <w:rFonts w:hint="eastAsia" w:ascii="楷体_GB2312" w:hAnsi="仿宋" w:eastAsia="楷体_GB2312" w:cs="仿宋_GB2312"/>
                          <w:b/>
                          <w:bCs/>
                          <w:sz w:val="21"/>
                          <w:szCs w:val="21"/>
                        </w:rPr>
                        <w:t>“三副”，即凤翔县城、陇县县城、蔡家坡地区：</w:t>
                      </w:r>
                    </w:p>
                    <w:p>
                      <w:pPr>
                        <w:spacing w:after="0" w:line="300" w:lineRule="exact"/>
                        <w:ind w:firstLine="422" w:firstLineChars="200"/>
                        <w:jc w:val="both"/>
                        <w:rPr>
                          <w:rFonts w:hint="eastAsia" w:ascii="楷体_GB2312" w:hAnsi="仿宋" w:eastAsia="楷体_GB2312" w:cs="仿宋_GB2312"/>
                          <w:sz w:val="21"/>
                          <w:szCs w:val="21"/>
                        </w:rPr>
                      </w:pPr>
                      <w:r>
                        <w:rPr>
                          <w:rFonts w:hint="eastAsia" w:ascii="楷体_GB2312" w:hAnsi="仿宋" w:eastAsia="楷体_GB2312" w:cs="仿宋_GB2312"/>
                          <w:b/>
                          <w:bCs/>
                          <w:sz w:val="21"/>
                          <w:szCs w:val="21"/>
                        </w:rPr>
                        <w:t>凤翔县：</w:t>
                      </w:r>
                      <w:r>
                        <w:rPr>
                          <w:rFonts w:hint="eastAsia" w:ascii="楷体_GB2312" w:hAnsi="仿宋" w:eastAsia="楷体_GB2312" w:cs="仿宋_GB2312"/>
                          <w:sz w:val="21"/>
                          <w:szCs w:val="21"/>
                        </w:rPr>
                        <w:t>建成宝鸡主城区的拓展区、关天经济区能源化工基地、西北地区白酒产业基地、国家历史文化名城，城镇化率达到60％以上。</w:t>
                      </w:r>
                    </w:p>
                    <w:p>
                      <w:pPr>
                        <w:spacing w:after="0" w:line="300" w:lineRule="exact"/>
                        <w:ind w:firstLine="422" w:firstLineChars="200"/>
                        <w:jc w:val="both"/>
                        <w:rPr>
                          <w:rFonts w:hint="eastAsia" w:ascii="楷体_GB2312" w:hAnsi="仿宋" w:eastAsia="楷体_GB2312" w:cs="仿宋_GB2312"/>
                          <w:sz w:val="21"/>
                          <w:szCs w:val="21"/>
                        </w:rPr>
                      </w:pPr>
                      <w:r>
                        <w:rPr>
                          <w:rFonts w:hint="eastAsia" w:ascii="楷体_GB2312" w:hAnsi="仿宋" w:eastAsia="楷体_GB2312" w:cs="仿宋_GB2312"/>
                          <w:b/>
                          <w:bCs/>
                          <w:sz w:val="21"/>
                          <w:szCs w:val="21"/>
                        </w:rPr>
                        <w:t>陇县：</w:t>
                      </w:r>
                      <w:r>
                        <w:rPr>
                          <w:rFonts w:hint="eastAsia" w:ascii="楷体_GB2312" w:hAnsi="仿宋" w:eastAsia="楷体_GB2312" w:cs="仿宋_GB2312"/>
                          <w:sz w:val="21"/>
                          <w:szCs w:val="21"/>
                        </w:rPr>
                        <w:t>建成六盘山南部片区商贸中心、关天经济区新能源</w:t>
                      </w:r>
                      <w:r>
                        <w:rPr>
                          <w:rFonts w:hint="eastAsia" w:ascii="楷体_GB2312" w:hAnsi="仿宋" w:eastAsia="楷体_GB2312" w:cs="仿宋_GB2312"/>
                          <w:color w:val="000000"/>
                          <w:sz w:val="21"/>
                          <w:szCs w:val="21"/>
                        </w:rPr>
                        <w:t>基地、关天</w:t>
                      </w:r>
                      <w:r>
                        <w:rPr>
                          <w:rFonts w:ascii="楷体_GB2312" w:hAnsi="仿宋" w:eastAsia="楷体_GB2312" w:cs="仿宋_GB2312"/>
                          <w:color w:val="000000"/>
                          <w:sz w:val="21"/>
                          <w:szCs w:val="21"/>
                        </w:rPr>
                        <w:t>经济区生态休闲度假旅游目的地、</w:t>
                      </w:r>
                      <w:r>
                        <w:rPr>
                          <w:rFonts w:hint="eastAsia" w:ascii="楷体_GB2312" w:hAnsi="仿宋" w:eastAsia="楷体_GB2312" w:cs="仿宋_GB2312"/>
                          <w:color w:val="000000"/>
                          <w:sz w:val="21"/>
                          <w:szCs w:val="21"/>
                        </w:rPr>
                        <w:t>特色农业基地、生态花园城市，城镇化率达到</w:t>
                      </w:r>
                      <w:r>
                        <w:rPr>
                          <w:rFonts w:hint="eastAsia" w:ascii="楷体_GB2312" w:hAnsi="仿宋" w:eastAsia="楷体_GB2312" w:cs="仿宋_GB2312"/>
                          <w:sz w:val="21"/>
                          <w:szCs w:val="21"/>
                        </w:rPr>
                        <w:t>60%以上。</w:t>
                      </w:r>
                    </w:p>
                    <w:p>
                      <w:pPr>
                        <w:spacing w:after="0" w:line="30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sz w:val="21"/>
                          <w:szCs w:val="21"/>
                        </w:rPr>
                        <w:t>蔡家坡地区：</w:t>
                      </w:r>
                      <w:r>
                        <w:rPr>
                          <w:rFonts w:hint="eastAsia" w:ascii="楷体_GB2312" w:hAnsi="仿宋" w:eastAsia="楷体_GB2312" w:cs="仿宋_GB2312"/>
                          <w:sz w:val="21"/>
                          <w:szCs w:val="21"/>
                        </w:rPr>
                        <w:t>建成中国西部汽车及零部件制造基地、关天经济区中等工业城市、统筹城乡发展示范区，城镇化率达到70%以上。</w:t>
                      </w:r>
                    </w:p>
                    <w:p>
                      <w:pPr>
                        <w:spacing w:after="0" w:line="300" w:lineRule="exact"/>
                        <w:ind w:firstLine="422" w:firstLineChars="200"/>
                        <w:jc w:val="both"/>
                        <w:rPr>
                          <w:rFonts w:hint="eastAsia" w:ascii="楷体_GB2312" w:hAnsi="仿宋" w:eastAsia="楷体_GB2312" w:cs="仿宋_GB2312"/>
                          <w:sz w:val="21"/>
                          <w:szCs w:val="21"/>
                        </w:rPr>
                      </w:pPr>
                      <w:r>
                        <w:rPr>
                          <w:rFonts w:hint="eastAsia" w:ascii="楷体_GB2312" w:hAnsi="仿宋" w:eastAsia="楷体_GB2312" w:cs="仿宋_GB2312"/>
                          <w:b/>
                          <w:bCs/>
                          <w:sz w:val="21"/>
                          <w:szCs w:val="21"/>
                        </w:rPr>
                        <w:t>“一带”，即市域中部城镇发展带：</w:t>
                      </w:r>
                      <w:r>
                        <w:rPr>
                          <w:rFonts w:hint="eastAsia" w:ascii="楷体_GB2312" w:hAnsi="仿宋" w:eastAsia="楷体_GB2312" w:cs="仿宋_GB2312"/>
                          <w:sz w:val="21"/>
                          <w:szCs w:val="21"/>
                        </w:rPr>
                        <w:t>渭河沿岸带是宝鸡人口重要的聚居区和产业发展重点区域，要按照“拉大框架、完善功能、优化布局”的总体思路，围绕中心城市，宝鸡高新区、蔡家坡、眉县县城，加快这一区域的基础设施建设，加大省市级重点镇建设力度，着力打造人口集中、产业发达、环境优美、竞争力强的宝鸡经济社会发展核心城镇带。</w:t>
                      </w:r>
                    </w:p>
                    <w:p>
                      <w:pPr>
                        <w:spacing w:after="0" w:line="300" w:lineRule="exact"/>
                        <w:ind w:firstLine="422" w:firstLineChars="200"/>
                        <w:jc w:val="both"/>
                        <w:rPr>
                          <w:rFonts w:ascii="楷体_GB2312" w:hAnsi="仿宋" w:eastAsia="楷体_GB2312" w:cs="仿宋_GB2312"/>
                          <w:b/>
                          <w:bCs/>
                          <w:sz w:val="21"/>
                          <w:szCs w:val="21"/>
                        </w:rPr>
                      </w:pPr>
                      <w:r>
                        <w:rPr>
                          <w:rFonts w:hint="eastAsia" w:ascii="楷体_GB2312" w:hAnsi="仿宋" w:eastAsia="楷体_GB2312" w:cs="仿宋_GB2312"/>
                          <w:b/>
                          <w:bCs/>
                          <w:sz w:val="21"/>
                          <w:szCs w:val="21"/>
                        </w:rPr>
                        <w:t>“两翼”，即北部发展翼和南部发展翼</w:t>
                      </w:r>
                    </w:p>
                    <w:p>
                      <w:pPr>
                        <w:spacing w:after="0" w:line="30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bCs/>
                          <w:sz w:val="21"/>
                          <w:szCs w:val="21"/>
                        </w:rPr>
                        <w:t>北部发展翼：</w:t>
                      </w:r>
                      <w:r>
                        <w:rPr>
                          <w:rFonts w:hint="eastAsia" w:ascii="楷体_GB2312" w:hAnsi="仿宋" w:eastAsia="楷体_GB2312" w:cs="仿宋_GB2312"/>
                          <w:sz w:val="21"/>
                          <w:szCs w:val="21"/>
                        </w:rPr>
                        <w:t>包括扶风、岐山、凤翔北部及麟游、千阳、陇县。要依托县城、重点镇及重点园区进一步突出重点、集中力量，加大基础设施、公共服务设施、旧城（镇）区改造提升，高起点规划，高标准建设省级文化街区，把城镇的基础设施建设和产业发展紧密结合，辐射和带动周边发展，着力打造布局合理、功能齐全、环境优美、特色鲜明的特色城镇群。</w:t>
                      </w:r>
                    </w:p>
                    <w:p>
                      <w:pPr>
                        <w:spacing w:after="0" w:line="300" w:lineRule="exact"/>
                        <w:ind w:firstLine="422" w:firstLineChars="200"/>
                        <w:jc w:val="both"/>
                      </w:pPr>
                      <w:r>
                        <w:rPr>
                          <w:rFonts w:hint="eastAsia" w:ascii="楷体_GB2312" w:hAnsi="仿宋" w:eastAsia="楷体_GB2312" w:cs="仿宋_GB2312"/>
                          <w:b/>
                          <w:bCs/>
                          <w:sz w:val="21"/>
                          <w:szCs w:val="21"/>
                        </w:rPr>
                        <w:t>南部发展翼：</w:t>
                      </w:r>
                      <w:r>
                        <w:rPr>
                          <w:rFonts w:hint="eastAsia" w:ascii="楷体_GB2312" w:hAnsi="仿宋" w:eastAsia="楷体_GB2312" w:cs="仿宋_GB2312"/>
                          <w:sz w:val="21"/>
                          <w:szCs w:val="21"/>
                        </w:rPr>
                        <w:t>包括凤县、太白及秦岭北麓地区。要发挥生态环境优势明显、生物多样性丰富的特点，有序加强凤县、太白县城及秦岭北麓基础设施建设，引导人口向县城及重点镇集聚，大力发展旅游休闲产业及绿色加工产业，着力打造（凤县）秦岭生态旅游名城、（太白）西部慢城及秦岭北麓休闲旅游观光带，形成生态宜居、功能完善、环境优美的点状城镇群。</w:t>
                      </w:r>
                    </w:p>
                  </w:txbxContent>
                </v:textbox>
                <w10:wrap type="square"/>
              </v:shape>
            </w:pict>
          </mc:Fallback>
        </mc:AlternateContent>
      </w:r>
    </w:p>
    <w:p>
      <w:pPr>
        <w:spacing w:after="0" w:line="560" w:lineRule="exact"/>
        <w:ind w:firstLine="352" w:firstLineChars="196"/>
        <w:rPr>
          <w:rFonts w:hint="eastAsia" w:ascii="宋体" w:hAnsi="宋体" w:eastAsia="宋体" w:cs="宋体"/>
          <w:sz w:val="18"/>
          <w:szCs w:val="18"/>
        </w:rPr>
      </w:pPr>
    </w:p>
    <w:p>
      <w:pPr>
        <w:sectPr>
          <w:pgSz w:w="11906" w:h="16838"/>
          <w:pgMar w:top="1418" w:right="1588" w:bottom="1418" w:left="1588" w:header="851" w:footer="397" w:gutter="0"/>
          <w:cols w:space="425" w:num="1"/>
          <w:docGrid w:type="lines" w:linePitch="312" w:charSpace="0"/>
        </w:sectPr>
      </w:pPr>
      <w:r>
        <w:rPr>
          <w:rFonts w:hint="eastAsia" w:ascii="宋体" w:hAnsi="宋体" w:eastAsia="宋体" w:cs="宋体"/>
          <w:sz w:val="18"/>
          <w:szCs w:val="18"/>
          <w:lang/>
        </w:rPr>
        <mc:AlternateContent>
          <mc:Choice Requires="wps">
            <w:drawing>
              <wp:anchor distT="0" distB="0" distL="114300" distR="114300" simplePos="0" relativeHeight="251678720" behindDoc="0" locked="0" layoutInCell="1" allowOverlap="1">
                <wp:simplePos x="0" y="0"/>
                <wp:positionH relativeFrom="margin">
                  <wp:posOffset>10795</wp:posOffset>
                </wp:positionH>
                <wp:positionV relativeFrom="margin">
                  <wp:posOffset>5482590</wp:posOffset>
                </wp:positionV>
                <wp:extent cx="5523865" cy="2741295"/>
                <wp:effectExtent l="4445" t="4445" r="15240" b="16510"/>
                <wp:wrapSquare wrapText="bothSides"/>
                <wp:docPr id="20" name="文本框 45"/>
                <wp:cNvGraphicFramePr/>
                <a:graphic xmlns:a="http://schemas.openxmlformats.org/drawingml/2006/main">
                  <a:graphicData uri="http://schemas.microsoft.com/office/word/2010/wordprocessingShape">
                    <wps:wsp>
                      <wps:cNvSpPr txBox="1"/>
                      <wps:spPr>
                        <a:xfrm>
                          <a:off x="0" y="0"/>
                          <a:ext cx="5523865" cy="2741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
                              <w:adjustRightInd w:val="0"/>
                              <w:snapToGrid w:val="0"/>
                              <w:spacing w:line="300" w:lineRule="exact"/>
                              <w:rPr>
                                <w:rFonts w:hint="eastAsia" w:ascii="黑体" w:hAnsi="黑体" w:eastAsia="黑体" w:cs="仿宋_GB2312"/>
                                <w:b/>
                                <w:snapToGrid w:val="0"/>
                              </w:rPr>
                            </w:pPr>
                            <w:r>
                              <w:rPr>
                                <w:rFonts w:hint="eastAsia" w:ascii="楷体_GB2312" w:hAnsi="黑体" w:eastAsia="楷体_GB2312" w:cs="仿宋_GB2312"/>
                                <w:b/>
                                <w:bCs/>
                              </w:rPr>
                              <w:t>专栏11</w:t>
                            </w:r>
                          </w:p>
                          <w:p>
                            <w:pPr>
                              <w:pStyle w:val="9"/>
                              <w:adjustRightInd w:val="0"/>
                              <w:snapToGrid w:val="0"/>
                              <w:spacing w:line="300" w:lineRule="exact"/>
                              <w:jc w:val="center"/>
                              <w:rPr>
                                <w:rFonts w:ascii="黑体" w:hAnsi="黑体" w:eastAsia="黑体" w:cs="仿宋_GB2312"/>
                                <w:b/>
                                <w:snapToGrid w:val="0"/>
                              </w:rPr>
                            </w:pPr>
                            <w:r>
                              <w:rPr>
                                <w:rFonts w:hint="eastAsia" w:ascii="黑体" w:hAnsi="黑体" w:eastAsia="黑体" w:cs="仿宋_GB2312"/>
                                <w:b/>
                                <w:snapToGrid w:val="0"/>
                              </w:rPr>
                              <w:t>六级城镇体系新格局</w:t>
                            </w:r>
                          </w:p>
                          <w:p>
                            <w:pPr>
                              <w:spacing w:after="0" w:line="300" w:lineRule="exact"/>
                              <w:ind w:firstLine="422" w:firstLineChars="200"/>
                              <w:jc w:val="both"/>
                              <w:rPr>
                                <w:rFonts w:ascii="楷体_GB2312" w:hAnsi="仿宋" w:eastAsia="楷体_GB2312" w:cs="仿宋_GB2312"/>
                                <w:b/>
                                <w:sz w:val="21"/>
                                <w:szCs w:val="21"/>
                              </w:rPr>
                            </w:pPr>
                            <w:r>
                              <w:rPr>
                                <w:rFonts w:hint="eastAsia" w:ascii="楷体_GB2312" w:hAnsi="仿宋" w:eastAsia="楷体_GB2312" w:cs="仿宋_GB2312"/>
                                <w:b/>
                                <w:sz w:val="21"/>
                                <w:szCs w:val="21"/>
                              </w:rPr>
                              <w:t>一级：市域中心城区；</w:t>
                            </w:r>
                          </w:p>
                          <w:p>
                            <w:pPr>
                              <w:spacing w:after="0" w:line="30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sz w:val="21"/>
                                <w:szCs w:val="21"/>
                              </w:rPr>
                              <w:t>二级：副中心城市，</w:t>
                            </w:r>
                            <w:r>
                              <w:rPr>
                                <w:rFonts w:hint="eastAsia" w:ascii="楷体_GB2312" w:hAnsi="仿宋" w:eastAsia="楷体_GB2312" w:cs="仿宋_GB2312"/>
                                <w:sz w:val="21"/>
                                <w:szCs w:val="21"/>
                              </w:rPr>
                              <w:t>凤翔县、陇县、蔡家坡地区；</w:t>
                            </w:r>
                          </w:p>
                          <w:p>
                            <w:pPr>
                              <w:spacing w:after="0" w:line="30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sz w:val="21"/>
                                <w:szCs w:val="21"/>
                              </w:rPr>
                              <w:t>三级：其余县城，</w:t>
                            </w:r>
                            <w:r>
                              <w:rPr>
                                <w:rFonts w:hint="eastAsia" w:ascii="楷体_GB2312" w:hAnsi="仿宋" w:eastAsia="楷体_GB2312" w:cs="仿宋_GB2312"/>
                                <w:sz w:val="21"/>
                                <w:szCs w:val="21"/>
                              </w:rPr>
                              <w:t>岐山县、眉县、扶风县、千阳县、凤县、太白县、麟游县县城；</w:t>
                            </w:r>
                          </w:p>
                          <w:p>
                            <w:pPr>
                              <w:spacing w:after="0" w:line="30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sz w:val="21"/>
                                <w:szCs w:val="21"/>
                              </w:rPr>
                              <w:t>四级：市级</w:t>
                            </w:r>
                            <w:r>
                              <w:rPr>
                                <w:rFonts w:ascii="楷体_GB2312" w:hAnsi="仿宋" w:eastAsia="楷体_GB2312" w:cs="仿宋_GB2312"/>
                                <w:b/>
                                <w:sz w:val="21"/>
                                <w:szCs w:val="21"/>
                              </w:rPr>
                              <w:t>以上命名的</w:t>
                            </w:r>
                            <w:r>
                              <w:rPr>
                                <w:rFonts w:hint="eastAsia" w:ascii="楷体_GB2312" w:hAnsi="仿宋" w:eastAsia="楷体_GB2312" w:cs="仿宋_GB2312"/>
                                <w:b/>
                                <w:sz w:val="21"/>
                                <w:szCs w:val="21"/>
                              </w:rPr>
                              <w:t>重点示范镇</w:t>
                            </w:r>
                            <w:r>
                              <w:rPr>
                                <w:rFonts w:hint="eastAsia" w:ascii="楷体_GB2312" w:hAnsi="仿宋" w:eastAsia="楷体_GB2312" w:cs="仿宋_GB2312"/>
                                <w:sz w:val="21"/>
                                <w:szCs w:val="21"/>
                              </w:rPr>
                              <w:t>，加快实施重点镇综合改革,支持有条件的重点镇设立镇级市，提升聚集承载能力，推动小城镇向小城市转型，把重点镇打造成为承接城市产业转移、就近就地吸纳农村人口的重要载体；</w:t>
                            </w:r>
                          </w:p>
                          <w:p>
                            <w:pPr>
                              <w:spacing w:after="0" w:line="30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sz w:val="21"/>
                                <w:szCs w:val="21"/>
                              </w:rPr>
                              <w:t>五级：除县城及市级以上重点镇以外的小城镇。</w:t>
                            </w:r>
                            <w:r>
                              <w:rPr>
                                <w:rFonts w:hint="eastAsia" w:ascii="楷体_GB2312" w:hAnsi="仿宋" w:eastAsia="楷体_GB2312" w:cs="仿宋_GB2312"/>
                                <w:sz w:val="21"/>
                                <w:szCs w:val="21"/>
                              </w:rPr>
                              <w:t>支持引导各小城镇依据资源条件、自身特色和发展基础，加强配套设施建设，发展成为依托自身现有产业，发挥自然资源、人文资源、交通区位等独特优势资源的工业重镇、商贸强镇、生态靓镇、休闲名镇等特色小城镇；</w:t>
                            </w:r>
                          </w:p>
                          <w:p>
                            <w:pPr>
                              <w:spacing w:after="0" w:line="300" w:lineRule="exact"/>
                              <w:ind w:firstLine="422" w:firstLineChars="200"/>
                              <w:jc w:val="both"/>
                            </w:pPr>
                            <w:r>
                              <w:rPr>
                                <w:rFonts w:hint="eastAsia" w:ascii="楷体_GB2312" w:hAnsi="仿宋" w:eastAsia="楷体_GB2312" w:cs="仿宋_GB2312"/>
                                <w:b/>
                                <w:sz w:val="21"/>
                                <w:szCs w:val="21"/>
                              </w:rPr>
                              <w:t>六级：农村新型社区，</w:t>
                            </w:r>
                            <w:r>
                              <w:rPr>
                                <w:rFonts w:hint="eastAsia" w:ascii="楷体_GB2312" w:hAnsi="仿宋" w:eastAsia="楷体_GB2312" w:cs="仿宋_GB2312"/>
                                <w:sz w:val="21"/>
                                <w:szCs w:val="21"/>
                              </w:rPr>
                              <w:t>实施“社区化新农村建设工程”，科学推进中心村整合，打造农民幸福家园，到</w:t>
                            </w:r>
                            <w:r>
                              <w:rPr>
                                <w:rFonts w:ascii="楷体_GB2312" w:hAnsi="仿宋" w:eastAsia="楷体_GB2312" w:cs="仿宋_GB2312"/>
                                <w:sz w:val="21"/>
                                <w:szCs w:val="21"/>
                              </w:rPr>
                              <w:t>2020</w:t>
                            </w:r>
                            <w:r>
                              <w:rPr>
                                <w:rFonts w:hint="eastAsia" w:ascii="楷体_GB2312" w:hAnsi="仿宋" w:eastAsia="楷体_GB2312" w:cs="仿宋_GB2312"/>
                                <w:sz w:val="21"/>
                                <w:szCs w:val="21"/>
                              </w:rPr>
                              <w:t>年建成</w:t>
                            </w:r>
                            <w:r>
                              <w:rPr>
                                <w:rFonts w:ascii="楷体_GB2312" w:hAnsi="仿宋" w:eastAsia="楷体_GB2312" w:cs="仿宋_GB2312"/>
                                <w:sz w:val="21"/>
                                <w:szCs w:val="21"/>
                              </w:rPr>
                              <w:t>120</w:t>
                            </w:r>
                            <w:r>
                              <w:rPr>
                                <w:rFonts w:hint="eastAsia" w:ascii="楷体_GB2312" w:hAnsi="仿宋" w:eastAsia="楷体_GB2312" w:cs="仿宋_GB2312"/>
                                <w:sz w:val="21"/>
                                <w:szCs w:val="21"/>
                              </w:rPr>
                              <w:t>个左右标准化新型农村社区。</w:t>
                            </w:r>
                          </w:p>
                        </w:txbxContent>
                      </wps:txbx>
                      <wps:bodyPr wrap="square" upright="1"/>
                    </wps:wsp>
                  </a:graphicData>
                </a:graphic>
              </wp:anchor>
            </w:drawing>
          </mc:Choice>
          <mc:Fallback>
            <w:pict>
              <v:shape id="文本框 45" o:spid="_x0000_s1026" o:spt="202" type="#_x0000_t202" style="position:absolute;left:0pt;margin-left:0.85pt;margin-top:431.7pt;height:215.85pt;width:434.95pt;mso-position-horizontal-relative:margin;mso-position-vertical-relative:margin;mso-wrap-distance-bottom:0pt;mso-wrap-distance-left:9pt;mso-wrap-distance-right:9pt;mso-wrap-distance-top:0pt;z-index:251678720;mso-width-relative:page;mso-height-relative:page;" fillcolor="#FFFFFF" filled="t" stroked="t" coordsize="21600,21600" o:gfxdata="UEsDBAoAAAAAAIdO4kAAAAAAAAAAAAAAAAAEAAAAZHJzL1BLAwQUAAAACACHTuJAhvhxA9gAAAAK&#10;AQAADwAAAGRycy9kb3ducmV2LnhtbE2PwU7DMBBE70j8g7VIXBB10pYkDXF6QALBDQpqr268TSLi&#10;dbDdtPw9ywmOoxm9fVutz3YQE/rQO1KQzhIQSI0zPbUKPt4fbwsQIWoyenCECr4xwLq+vKh0adyJ&#10;3nDaxFYwhEKpFXQxjqWUoenQ6jBzIxJ3B+etjhx9K43XJ4bbQc6TJJNW98QXOj3iQ4fN5+ZoFRTL&#10;52kXXhav2yY7DKt4k09PX16p66s0uQcR8Rz/xvCrz+pQs9PeHckEMXDOeciobLEEwX2RpxmIPRfz&#10;1V0Ksq7k/xfqH1BLAwQUAAAACACHTuJAq+vwPBkCAABHBAAADgAAAGRycy9lMm9Eb2MueG1srVNL&#10;ktMwEN1TxR1U2hM7ZjLMuOJMFYSwoYCqgQMokmyrSj/USuxcAG7Aig17zpVz0FIymQ8sssALuSW1&#10;Xvd73T2/GY0mWxlAOdvQ6aSkRFruhLJdQ798Xr24ogQis4JpZ2VDdxLozeL5s/nga1m53mkhA0EQ&#10;C/XgG9rH6OuiAN5Lw2DivLR42bpgWMRt6AoR2IDoRhdVWV4WgwvCB8clAJ4uD5f0iBjOAXRtq7hc&#10;Or4x0sYDapCaRaQEvfJAFznbtpU8fmxbkJHohiLTmFcMgvY6rcVizuouMN8rfkyBnZPCE06GKYtB&#10;T1BLFhnZBPUXlFE8OHBtnHBnigORrAiymJZPtLntmZeZC0oN/iQ6/D9Y/mH7KRAlGlqhJJYZrPj+&#10;x/f9z9/7X9/IxSwJNHio0e/Wo2ccX7sR2+buHPAw8R7bYNIfGRG8R6zdSV45RsLxcDarXl5dzijh&#10;eFe9uphW1xm/uH/uA8R30hmSjIYGrF+WlW3fQ8RU0PXOJUUDp5VYKa3zJnTrNzqQLcNar/KXssQn&#10;j9y0JUNDr2dVSoRhA7fYOGgajyKA7XK8Ry/gIXCZv38Bp8SWDPpDAhkhubHaqChDtnrJxFsrSNx5&#10;1NnifNGUjJGCEi1xHJOVPSNT+hxPZKctkkw1OtQiWXFcjwiTzLUTO6zbgC2O9L5uWMCYGx9U16PA&#10;uY75MfZX1uo4C6mBH+5ziPv5X/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vhxA9gAAAAKAQAA&#10;DwAAAAAAAAABACAAAAAiAAAAZHJzL2Rvd25yZXYueG1sUEsBAhQAFAAAAAgAh07iQKvr8DwZAgAA&#10;RwQAAA4AAAAAAAAAAQAgAAAAJwEAAGRycy9lMm9Eb2MueG1sUEsFBgAAAAAGAAYAWQEAALIFAAAA&#10;AA==&#10;">
                <v:fill on="t" focussize="0,0"/>
                <v:stroke color="#000000" joinstyle="miter"/>
                <v:imagedata o:title=""/>
                <o:lock v:ext="edit" aspectratio="f"/>
                <v:textbox>
                  <w:txbxContent>
                    <w:p>
                      <w:pPr>
                        <w:pStyle w:val="9"/>
                        <w:adjustRightInd w:val="0"/>
                        <w:snapToGrid w:val="0"/>
                        <w:spacing w:line="300" w:lineRule="exact"/>
                        <w:rPr>
                          <w:rFonts w:hint="eastAsia" w:ascii="黑体" w:hAnsi="黑体" w:eastAsia="黑体" w:cs="仿宋_GB2312"/>
                          <w:b/>
                          <w:snapToGrid w:val="0"/>
                        </w:rPr>
                      </w:pPr>
                      <w:r>
                        <w:rPr>
                          <w:rFonts w:hint="eastAsia" w:ascii="楷体_GB2312" w:hAnsi="黑体" w:eastAsia="楷体_GB2312" w:cs="仿宋_GB2312"/>
                          <w:b/>
                          <w:bCs/>
                        </w:rPr>
                        <w:t>专栏11</w:t>
                      </w:r>
                    </w:p>
                    <w:p>
                      <w:pPr>
                        <w:pStyle w:val="9"/>
                        <w:adjustRightInd w:val="0"/>
                        <w:snapToGrid w:val="0"/>
                        <w:spacing w:line="300" w:lineRule="exact"/>
                        <w:jc w:val="center"/>
                        <w:rPr>
                          <w:rFonts w:ascii="黑体" w:hAnsi="黑体" w:eastAsia="黑体" w:cs="仿宋_GB2312"/>
                          <w:b/>
                          <w:snapToGrid w:val="0"/>
                        </w:rPr>
                      </w:pPr>
                      <w:r>
                        <w:rPr>
                          <w:rFonts w:hint="eastAsia" w:ascii="黑体" w:hAnsi="黑体" w:eastAsia="黑体" w:cs="仿宋_GB2312"/>
                          <w:b/>
                          <w:snapToGrid w:val="0"/>
                        </w:rPr>
                        <w:t>六级城镇体系新格局</w:t>
                      </w:r>
                    </w:p>
                    <w:p>
                      <w:pPr>
                        <w:spacing w:after="0" w:line="300" w:lineRule="exact"/>
                        <w:ind w:firstLine="422" w:firstLineChars="200"/>
                        <w:jc w:val="both"/>
                        <w:rPr>
                          <w:rFonts w:ascii="楷体_GB2312" w:hAnsi="仿宋" w:eastAsia="楷体_GB2312" w:cs="仿宋_GB2312"/>
                          <w:b/>
                          <w:sz w:val="21"/>
                          <w:szCs w:val="21"/>
                        </w:rPr>
                      </w:pPr>
                      <w:r>
                        <w:rPr>
                          <w:rFonts w:hint="eastAsia" w:ascii="楷体_GB2312" w:hAnsi="仿宋" w:eastAsia="楷体_GB2312" w:cs="仿宋_GB2312"/>
                          <w:b/>
                          <w:sz w:val="21"/>
                          <w:szCs w:val="21"/>
                        </w:rPr>
                        <w:t>一级：市域中心城区；</w:t>
                      </w:r>
                    </w:p>
                    <w:p>
                      <w:pPr>
                        <w:spacing w:after="0" w:line="30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sz w:val="21"/>
                          <w:szCs w:val="21"/>
                        </w:rPr>
                        <w:t>二级：副中心城市，</w:t>
                      </w:r>
                      <w:r>
                        <w:rPr>
                          <w:rFonts w:hint="eastAsia" w:ascii="楷体_GB2312" w:hAnsi="仿宋" w:eastAsia="楷体_GB2312" w:cs="仿宋_GB2312"/>
                          <w:sz w:val="21"/>
                          <w:szCs w:val="21"/>
                        </w:rPr>
                        <w:t>凤翔县、陇县、蔡家坡地区；</w:t>
                      </w:r>
                    </w:p>
                    <w:p>
                      <w:pPr>
                        <w:spacing w:after="0" w:line="30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sz w:val="21"/>
                          <w:szCs w:val="21"/>
                        </w:rPr>
                        <w:t>三级：其余县城，</w:t>
                      </w:r>
                      <w:r>
                        <w:rPr>
                          <w:rFonts w:hint="eastAsia" w:ascii="楷体_GB2312" w:hAnsi="仿宋" w:eastAsia="楷体_GB2312" w:cs="仿宋_GB2312"/>
                          <w:sz w:val="21"/>
                          <w:szCs w:val="21"/>
                        </w:rPr>
                        <w:t>岐山县、眉县、扶风县、千阳县、凤县、太白县、麟游县县城；</w:t>
                      </w:r>
                    </w:p>
                    <w:p>
                      <w:pPr>
                        <w:spacing w:after="0" w:line="30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sz w:val="21"/>
                          <w:szCs w:val="21"/>
                        </w:rPr>
                        <w:t>四级：市级</w:t>
                      </w:r>
                      <w:r>
                        <w:rPr>
                          <w:rFonts w:ascii="楷体_GB2312" w:hAnsi="仿宋" w:eastAsia="楷体_GB2312" w:cs="仿宋_GB2312"/>
                          <w:b/>
                          <w:sz w:val="21"/>
                          <w:szCs w:val="21"/>
                        </w:rPr>
                        <w:t>以上命名的</w:t>
                      </w:r>
                      <w:r>
                        <w:rPr>
                          <w:rFonts w:hint="eastAsia" w:ascii="楷体_GB2312" w:hAnsi="仿宋" w:eastAsia="楷体_GB2312" w:cs="仿宋_GB2312"/>
                          <w:b/>
                          <w:sz w:val="21"/>
                          <w:szCs w:val="21"/>
                        </w:rPr>
                        <w:t>重点示范镇</w:t>
                      </w:r>
                      <w:r>
                        <w:rPr>
                          <w:rFonts w:hint="eastAsia" w:ascii="楷体_GB2312" w:hAnsi="仿宋" w:eastAsia="楷体_GB2312" w:cs="仿宋_GB2312"/>
                          <w:sz w:val="21"/>
                          <w:szCs w:val="21"/>
                        </w:rPr>
                        <w:t>，加快实施重点镇综合改革,支持有条件的重点镇设立镇级市，提升聚集承载能力，推动小城镇向小城市转型，把重点镇打造成为承接城市产业转移、就近就地吸纳农村人口的重要载体；</w:t>
                      </w:r>
                    </w:p>
                    <w:p>
                      <w:pPr>
                        <w:spacing w:after="0" w:line="30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sz w:val="21"/>
                          <w:szCs w:val="21"/>
                        </w:rPr>
                        <w:t>五级：除县城及市级以上重点镇以外的小城镇。</w:t>
                      </w:r>
                      <w:r>
                        <w:rPr>
                          <w:rFonts w:hint="eastAsia" w:ascii="楷体_GB2312" w:hAnsi="仿宋" w:eastAsia="楷体_GB2312" w:cs="仿宋_GB2312"/>
                          <w:sz w:val="21"/>
                          <w:szCs w:val="21"/>
                        </w:rPr>
                        <w:t>支持引导各小城镇依据资源条件、自身特色和发展基础，加强配套设施建设，发展成为依托自身现有产业，发挥自然资源、人文资源、交通区位等独特优势资源的工业重镇、商贸强镇、生态靓镇、休闲名镇等特色小城镇；</w:t>
                      </w:r>
                    </w:p>
                    <w:p>
                      <w:pPr>
                        <w:spacing w:after="0" w:line="300" w:lineRule="exact"/>
                        <w:ind w:firstLine="422" w:firstLineChars="200"/>
                        <w:jc w:val="both"/>
                      </w:pPr>
                      <w:r>
                        <w:rPr>
                          <w:rFonts w:hint="eastAsia" w:ascii="楷体_GB2312" w:hAnsi="仿宋" w:eastAsia="楷体_GB2312" w:cs="仿宋_GB2312"/>
                          <w:b/>
                          <w:sz w:val="21"/>
                          <w:szCs w:val="21"/>
                        </w:rPr>
                        <w:t>六级：农村新型社区，</w:t>
                      </w:r>
                      <w:r>
                        <w:rPr>
                          <w:rFonts w:hint="eastAsia" w:ascii="楷体_GB2312" w:hAnsi="仿宋" w:eastAsia="楷体_GB2312" w:cs="仿宋_GB2312"/>
                          <w:sz w:val="21"/>
                          <w:szCs w:val="21"/>
                        </w:rPr>
                        <w:t>实施“社区化新农村建设工程”，科学推进中心村整合，打造农民幸福家园，到</w:t>
                      </w:r>
                      <w:r>
                        <w:rPr>
                          <w:rFonts w:ascii="楷体_GB2312" w:hAnsi="仿宋" w:eastAsia="楷体_GB2312" w:cs="仿宋_GB2312"/>
                          <w:sz w:val="21"/>
                          <w:szCs w:val="21"/>
                        </w:rPr>
                        <w:t>2020</w:t>
                      </w:r>
                      <w:r>
                        <w:rPr>
                          <w:rFonts w:hint="eastAsia" w:ascii="楷体_GB2312" w:hAnsi="仿宋" w:eastAsia="楷体_GB2312" w:cs="仿宋_GB2312"/>
                          <w:sz w:val="21"/>
                          <w:szCs w:val="21"/>
                        </w:rPr>
                        <w:t>年建成</w:t>
                      </w:r>
                      <w:r>
                        <w:rPr>
                          <w:rFonts w:ascii="楷体_GB2312" w:hAnsi="仿宋" w:eastAsia="楷体_GB2312" w:cs="仿宋_GB2312"/>
                          <w:sz w:val="21"/>
                          <w:szCs w:val="21"/>
                        </w:rPr>
                        <w:t>120</w:t>
                      </w:r>
                      <w:r>
                        <w:rPr>
                          <w:rFonts w:hint="eastAsia" w:ascii="楷体_GB2312" w:hAnsi="仿宋" w:eastAsia="楷体_GB2312" w:cs="仿宋_GB2312"/>
                          <w:sz w:val="21"/>
                          <w:szCs w:val="21"/>
                        </w:rPr>
                        <w:t>个左右标准化新型农村社区。</w:t>
                      </w:r>
                    </w:p>
                  </w:txbxContent>
                </v:textbox>
                <w10:wrap type="square"/>
              </v:shape>
            </w:pict>
          </mc:Fallback>
        </mc:AlternateContent>
      </w:r>
      <w:r>
        <w:br w:type="page"/>
      </w:r>
      <w:r>
        <w:rPr>
          <w:lang/>
        </w:rPr>
        <w:drawing>
          <wp:anchor distT="0" distB="0" distL="114300" distR="114300" simplePos="0" relativeHeight="251718656" behindDoc="0" locked="0" layoutInCell="1" allowOverlap="1">
            <wp:simplePos x="0" y="0"/>
            <wp:positionH relativeFrom="column">
              <wp:posOffset>0</wp:posOffset>
            </wp:positionH>
            <wp:positionV relativeFrom="paragraph">
              <wp:posOffset>1270</wp:posOffset>
            </wp:positionV>
            <wp:extent cx="5554980" cy="8816340"/>
            <wp:effectExtent l="0" t="0" r="7620" b="3810"/>
            <wp:wrapSquare wrapText="bothSides"/>
            <wp:docPr id="59" name="图片 1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5" descr="2"/>
                    <pic:cNvPicPr>
                      <a:picLocks noChangeAspect="1"/>
                    </pic:cNvPicPr>
                  </pic:nvPicPr>
                  <pic:blipFill>
                    <a:blip r:embed="rId27"/>
                    <a:stretch>
                      <a:fillRect/>
                    </a:stretch>
                  </pic:blipFill>
                  <pic:spPr>
                    <a:xfrm>
                      <a:off x="0" y="0"/>
                      <a:ext cx="5554980" cy="8816340"/>
                    </a:xfrm>
                    <a:prstGeom prst="rect">
                      <a:avLst/>
                    </a:prstGeom>
                    <a:noFill/>
                    <a:ln>
                      <a:noFill/>
                    </a:ln>
                  </pic:spPr>
                </pic:pic>
              </a:graphicData>
            </a:graphic>
          </wp:anchor>
        </w:drawing>
      </w:r>
    </w:p>
    <w:p>
      <w:r>
        <w:rPr>
          <w:lang/>
        </w:rPr>
        <w:drawing>
          <wp:anchor distT="0" distB="0" distL="114300" distR="114300" simplePos="0" relativeHeight="251719680" behindDoc="0" locked="0" layoutInCell="1" allowOverlap="1">
            <wp:simplePos x="0" y="0"/>
            <wp:positionH relativeFrom="column">
              <wp:posOffset>0</wp:posOffset>
            </wp:positionH>
            <wp:positionV relativeFrom="paragraph">
              <wp:posOffset>1270</wp:posOffset>
            </wp:positionV>
            <wp:extent cx="5554980" cy="8816340"/>
            <wp:effectExtent l="0" t="0" r="7620" b="3810"/>
            <wp:wrapSquare wrapText="bothSides"/>
            <wp:docPr id="60" name="图片 1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6" descr="6"/>
                    <pic:cNvPicPr>
                      <a:picLocks noChangeAspect="1"/>
                    </pic:cNvPicPr>
                  </pic:nvPicPr>
                  <pic:blipFill>
                    <a:blip r:embed="rId28"/>
                    <a:stretch>
                      <a:fillRect/>
                    </a:stretch>
                  </pic:blipFill>
                  <pic:spPr>
                    <a:xfrm>
                      <a:off x="0" y="0"/>
                      <a:ext cx="5554980" cy="8816340"/>
                    </a:xfrm>
                    <a:prstGeom prst="rect">
                      <a:avLst/>
                    </a:prstGeom>
                    <a:noFill/>
                    <a:ln>
                      <a:noFill/>
                    </a:ln>
                  </pic:spPr>
                </pic:pic>
              </a:graphicData>
            </a:graphic>
          </wp:anchor>
        </w:drawing>
      </w:r>
    </w:p>
    <w:p>
      <w:pPr>
        <w:rPr>
          <w:rFonts w:ascii="宋体" w:hAnsi="宋体" w:eastAsia="宋体" w:cs="宋体"/>
          <w:sz w:val="18"/>
          <w:szCs w:val="18"/>
        </w:rPr>
      </w:pPr>
      <w:r>
        <w:rPr>
          <w:lang/>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5518150" cy="8915400"/>
            <wp:effectExtent l="0" t="0" r="6350" b="0"/>
            <wp:wrapSquare wrapText="bothSides"/>
            <wp:docPr id="61" name="图片 14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1" descr="9"/>
                    <pic:cNvPicPr>
                      <a:picLocks noChangeAspect="1"/>
                    </pic:cNvPicPr>
                  </pic:nvPicPr>
                  <pic:blipFill>
                    <a:blip r:embed="rId29"/>
                    <a:stretch>
                      <a:fillRect/>
                    </a:stretch>
                  </pic:blipFill>
                  <pic:spPr>
                    <a:xfrm>
                      <a:off x="0" y="0"/>
                      <a:ext cx="5518150" cy="8915400"/>
                    </a:xfrm>
                    <a:prstGeom prst="rect">
                      <a:avLst/>
                    </a:prstGeom>
                    <a:noFill/>
                    <a:ln>
                      <a:noFill/>
                    </a:ln>
                  </pic:spPr>
                </pic:pic>
              </a:graphicData>
            </a:graphic>
          </wp:anchor>
        </w:drawing>
      </w:r>
    </w:p>
    <w:p>
      <w:pPr>
        <w:spacing w:after="0" w:line="600" w:lineRule="exact"/>
        <w:jc w:val="center"/>
        <w:rPr>
          <w:rFonts w:ascii="黑体" w:hAnsi="黑体" w:eastAsia="黑体"/>
          <w:sz w:val="32"/>
          <w:szCs w:val="32"/>
        </w:rPr>
      </w:pPr>
      <w:r>
        <w:rPr>
          <w:rFonts w:hint="eastAsia" w:ascii="黑体" w:hAnsi="黑体" w:eastAsia="黑体"/>
          <w:sz w:val="32"/>
          <w:szCs w:val="32"/>
        </w:rPr>
        <w:t>第八章</w:t>
      </w:r>
      <w:r>
        <w:rPr>
          <w:rFonts w:ascii="黑体" w:hAnsi="黑体" w:eastAsia="黑体"/>
          <w:sz w:val="32"/>
          <w:szCs w:val="32"/>
        </w:rPr>
        <w:t xml:space="preserve">  </w:t>
      </w:r>
      <w:r>
        <w:rPr>
          <w:rFonts w:hint="eastAsia" w:ascii="黑体" w:hAnsi="黑体" w:eastAsia="黑体"/>
          <w:sz w:val="32"/>
          <w:szCs w:val="32"/>
        </w:rPr>
        <w:t>生态基础空间布局</w:t>
      </w:r>
    </w:p>
    <w:p>
      <w:pPr>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优化区域生态空间，因势成景、因景配绿，全面建设“一屏四带”的生态体系，推动形成人与自然和谐发展的生态文明新格局。</w:t>
      </w:r>
    </w:p>
    <w:p>
      <w:pPr>
        <w:spacing w:after="0" w:line="560" w:lineRule="exact"/>
        <w:ind w:firstLine="440" w:firstLineChars="200"/>
        <w:jc w:val="both"/>
        <w:rPr>
          <w:rFonts w:ascii="方正小标宋简体" w:hAnsi="华文中宋" w:eastAsia="方正小标宋简体"/>
          <w:b/>
          <w:spacing w:val="-20"/>
          <w:sz w:val="36"/>
          <w:szCs w:val="36"/>
        </w:rPr>
      </w:pPr>
      <w:r>
        <w:rPr>
          <w:lang/>
        </w:rPr>
        <mc:AlternateContent>
          <mc:Choice Requires="wps">
            <w:drawing>
              <wp:anchor distT="45720" distB="45720" distL="114300" distR="114300" simplePos="0" relativeHeight="251696128" behindDoc="0" locked="0" layoutInCell="1" allowOverlap="1">
                <wp:simplePos x="0" y="0"/>
                <wp:positionH relativeFrom="column">
                  <wp:posOffset>3175</wp:posOffset>
                </wp:positionH>
                <wp:positionV relativeFrom="paragraph">
                  <wp:posOffset>172720</wp:posOffset>
                </wp:positionV>
                <wp:extent cx="5521960" cy="6622415"/>
                <wp:effectExtent l="4445" t="4445" r="17145" b="21590"/>
                <wp:wrapSquare wrapText="bothSides"/>
                <wp:docPr id="37" name="文本框 2"/>
                <wp:cNvGraphicFramePr/>
                <a:graphic xmlns:a="http://schemas.openxmlformats.org/drawingml/2006/main">
                  <a:graphicData uri="http://schemas.microsoft.com/office/word/2010/wordprocessingShape">
                    <wps:wsp>
                      <wps:cNvSpPr txBox="1"/>
                      <wps:spPr>
                        <a:xfrm>
                          <a:off x="0" y="0"/>
                          <a:ext cx="5521960" cy="6622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20" w:lineRule="exact"/>
                              <w:ind w:right="340"/>
                              <w:rPr>
                                <w:rFonts w:hint="eastAsia" w:ascii="黑体" w:hAnsi="黑体" w:eastAsia="黑体" w:cs="仿宋_GB2312"/>
                                <w:b/>
                                <w:bCs/>
                                <w:sz w:val="21"/>
                                <w:szCs w:val="21"/>
                              </w:rPr>
                            </w:pPr>
                            <w:r>
                              <w:rPr>
                                <w:rFonts w:hint="eastAsia" w:ascii="楷体_GB2312" w:hAnsi="黑体" w:eastAsia="楷体_GB2312" w:cs="仿宋_GB2312"/>
                                <w:b/>
                                <w:bCs/>
                                <w:sz w:val="21"/>
                                <w:szCs w:val="21"/>
                              </w:rPr>
                              <w:t>专栏12</w:t>
                            </w:r>
                          </w:p>
                          <w:p>
                            <w:pPr>
                              <w:spacing w:after="0" w:line="320" w:lineRule="exact"/>
                              <w:ind w:right="340"/>
                              <w:jc w:val="center"/>
                              <w:rPr>
                                <w:rFonts w:hint="eastAsia" w:ascii="楷体_GB2312" w:hAnsi="仿宋" w:eastAsia="楷体_GB2312" w:cs="仿宋_GB2312"/>
                                <w:b/>
                                <w:bCs/>
                                <w:sz w:val="21"/>
                                <w:szCs w:val="21"/>
                              </w:rPr>
                            </w:pPr>
                            <w:r>
                              <w:rPr>
                                <w:rFonts w:hint="eastAsia" w:ascii="黑体" w:hAnsi="黑体" w:eastAsia="黑体" w:cs="仿宋_GB2312"/>
                                <w:b/>
                                <w:bCs/>
                                <w:sz w:val="21"/>
                                <w:szCs w:val="21"/>
                              </w:rPr>
                              <w:t>一屏四带生态基础空间</w:t>
                            </w:r>
                          </w:p>
                          <w:p>
                            <w:pPr>
                              <w:spacing w:after="0" w:line="320" w:lineRule="exact"/>
                              <w:ind w:firstLine="422" w:firstLineChars="200"/>
                              <w:jc w:val="both"/>
                              <w:rPr>
                                <w:rFonts w:ascii="楷体_GB2312" w:hAnsi="仿宋" w:eastAsia="楷体_GB2312" w:cs="仿宋_GB2312"/>
                                <w:b/>
                                <w:bCs/>
                                <w:sz w:val="21"/>
                                <w:szCs w:val="21"/>
                              </w:rPr>
                            </w:pPr>
                            <w:r>
                              <w:rPr>
                                <w:rFonts w:hint="eastAsia" w:ascii="楷体_GB2312" w:hAnsi="仿宋" w:eastAsia="楷体_GB2312" w:cs="仿宋_GB2312"/>
                                <w:b/>
                                <w:bCs/>
                                <w:sz w:val="21"/>
                                <w:szCs w:val="21"/>
                              </w:rPr>
                              <w:t>“一屏”：</w:t>
                            </w:r>
                          </w:p>
                          <w:p>
                            <w:pPr>
                              <w:spacing w:after="0" w:line="32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bCs/>
                                <w:sz w:val="21"/>
                                <w:szCs w:val="21"/>
                              </w:rPr>
                              <w:t>关中西部生态屏障：</w:t>
                            </w:r>
                            <w:r>
                              <w:rPr>
                                <w:rFonts w:hint="eastAsia" w:ascii="楷体_GB2312" w:hAnsi="仿宋" w:eastAsia="楷体_GB2312" w:cs="仿宋_GB2312"/>
                                <w:sz w:val="21"/>
                                <w:szCs w:val="21"/>
                              </w:rPr>
                              <w:t>全面实施城区绿化、台塬坡面绿化、交通道路绿化、水系绿化、镇点绿化、景区绿化、经济林、生态公益林和生态家园“九大工程”建设，大规模增绿，高品位美化，在市域内高速公路、国省道和铁路沿线，全面推进林带建设、宜林荒山造林、坡耕地退耕还林和环境整治，重点抓好国省道沿线宽幅林带贯通、节点提升和环境综合整治，构建起三季有花、四季常青的生态景观长廊。形成城镇森林绿地建点、道路水系林网连片、百公里川塬绿荫成带、周边环山景观扩面的城乡森林生态系统，构筑关中西部生态屏障。</w:t>
                            </w:r>
                          </w:p>
                          <w:p>
                            <w:pPr>
                              <w:spacing w:after="0" w:line="320" w:lineRule="exact"/>
                              <w:ind w:firstLine="422" w:firstLineChars="200"/>
                              <w:jc w:val="both"/>
                              <w:rPr>
                                <w:rFonts w:hint="eastAsia" w:ascii="楷体_GB2312" w:hAnsi="仿宋" w:eastAsia="楷体_GB2312" w:cs="仿宋_GB2312"/>
                                <w:b/>
                                <w:bCs/>
                                <w:sz w:val="21"/>
                                <w:szCs w:val="21"/>
                              </w:rPr>
                            </w:pPr>
                            <w:r>
                              <w:rPr>
                                <w:rFonts w:hint="eastAsia" w:ascii="楷体_GB2312" w:hAnsi="仿宋" w:eastAsia="楷体_GB2312" w:cs="仿宋_GB2312"/>
                                <w:b/>
                                <w:bCs/>
                                <w:sz w:val="21"/>
                                <w:szCs w:val="21"/>
                              </w:rPr>
                              <w:t>“四带”：</w:t>
                            </w:r>
                          </w:p>
                          <w:p>
                            <w:pPr>
                              <w:spacing w:after="0" w:line="320" w:lineRule="exact"/>
                              <w:ind w:firstLine="422" w:firstLineChars="200"/>
                              <w:jc w:val="both"/>
                              <w:rPr>
                                <w:rFonts w:hint="eastAsia" w:ascii="楷体_GB2312" w:hAnsi="仿宋" w:eastAsia="楷体_GB2312" w:cs="仿宋_GB2312"/>
                                <w:sz w:val="21"/>
                                <w:szCs w:val="21"/>
                              </w:rPr>
                            </w:pPr>
                            <w:r>
                              <w:rPr>
                                <w:rFonts w:hint="eastAsia" w:ascii="楷体_GB2312" w:hAnsi="仿宋" w:eastAsia="楷体_GB2312" w:cs="仿宋_GB2312"/>
                                <w:b/>
                                <w:bCs/>
                                <w:sz w:val="21"/>
                                <w:szCs w:val="21"/>
                              </w:rPr>
                              <w:t>秦岭关山森林生态风景带：</w:t>
                            </w:r>
                            <w:r>
                              <w:rPr>
                                <w:rFonts w:hint="eastAsia" w:ascii="楷体_GB2312" w:hAnsi="仿宋" w:eastAsia="楷体_GB2312" w:cs="仿宋_GB2312"/>
                                <w:sz w:val="21"/>
                                <w:szCs w:val="21"/>
                              </w:rPr>
                              <w:t>在优先保护自然生态和生物多样性的前提下，构建深山区森林公园、浅山区生态绿地游园和林下经济融合发展的生态屏障。以陕西打造“秦岭国家中央公园”为契机，在陇县和陈仓区西部、太白县、凤县，封、造、管多措并举，实施生态环境建设和园林化工程；保护和利用森林资源，挖掘森林文化，提升现有森林公园和人文景点，兴建新的森林公园，提高森林生态服务功能。在岐山县、眉县、渭滨区和高新区南部浅山台塬区，大力营造景观林和经济林，发展乡村游，形成集观光、采摘、休闲为一体的田园生态景观带。</w:t>
                            </w:r>
                          </w:p>
                          <w:p>
                            <w:pPr>
                              <w:spacing w:after="0" w:line="320" w:lineRule="exact"/>
                              <w:ind w:firstLine="422" w:firstLineChars="200"/>
                              <w:jc w:val="both"/>
                              <w:rPr>
                                <w:rFonts w:hint="eastAsia" w:ascii="楷体_GB2312" w:hAnsi="仿宋" w:eastAsia="楷体_GB2312" w:cs="仿宋_GB2312"/>
                                <w:sz w:val="21"/>
                                <w:szCs w:val="21"/>
                              </w:rPr>
                            </w:pPr>
                            <w:r>
                              <w:rPr>
                                <w:rFonts w:hint="eastAsia" w:ascii="楷体_GB2312" w:hAnsi="仿宋" w:eastAsia="楷体_GB2312" w:cs="仿宋_GB2312"/>
                                <w:b/>
                                <w:bCs/>
                                <w:sz w:val="21"/>
                                <w:szCs w:val="21"/>
                              </w:rPr>
                              <w:t>千山生态经济防护带：</w:t>
                            </w:r>
                            <w:r>
                              <w:rPr>
                                <w:rFonts w:hint="eastAsia" w:ascii="楷体_GB2312" w:hAnsi="仿宋" w:eastAsia="楷体_GB2312" w:cs="仿宋_GB2312"/>
                                <w:sz w:val="21"/>
                                <w:szCs w:val="21"/>
                              </w:rPr>
                              <w:t>以人工造林为主，发展生态经济兼用林，恢复绿色植被，形成黄土丘陵沟壑区生态屏障。在麟游县、千阳县和陇县东部，扶风县、岐山县、凤翔县北部，实行山、水、田、林、路综合治理，绿化改造环境，恢复自然植被，突出发展针阔、乔灌等多树种混交林，营造经济防护林，提高森林覆盖率和防护林经济效益。</w:t>
                            </w:r>
                          </w:p>
                          <w:p>
                            <w:pPr>
                              <w:spacing w:after="0" w:line="32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bCs/>
                                <w:sz w:val="21"/>
                                <w:szCs w:val="21"/>
                              </w:rPr>
                              <w:t>渭河沿岸生态景观带：</w:t>
                            </w:r>
                            <w:r>
                              <w:rPr>
                                <w:rFonts w:hint="eastAsia" w:ascii="楷体_GB2312" w:hAnsi="仿宋" w:eastAsia="楷体_GB2312" w:cs="仿宋_GB2312"/>
                                <w:sz w:val="21"/>
                                <w:szCs w:val="21"/>
                              </w:rPr>
                              <w:t>综合治理河道，绿化美化河堤，发展川道高效观光农业，形成河岸两侧花果飘香的生态景观带。在西起渭滨区高家镇，东至眉县常兴镇的渭河沿岸区域，坚持治理黄金水道和生态景观建设相结合，高标准跟进堤、滩绿化，实现湿地、水面覆盖；坚持治水与产业发展相结合，发展滨河高效农业、绿色果品蔬菜、苗木花卉等绿色观光园、生态产业园，打造成“生态、文化、景观”长廊。</w:t>
                            </w:r>
                          </w:p>
                          <w:p>
                            <w:pPr>
                              <w:spacing w:after="0" w:line="320" w:lineRule="exact"/>
                              <w:ind w:firstLine="422" w:firstLineChars="200"/>
                              <w:jc w:val="both"/>
                            </w:pPr>
                            <w:r>
                              <w:rPr>
                                <w:rFonts w:hint="eastAsia" w:ascii="楷体_GB2312" w:hAnsi="仿宋" w:eastAsia="楷体_GB2312" w:cs="仿宋_GB2312"/>
                                <w:b/>
                                <w:bCs/>
                                <w:sz w:val="21"/>
                                <w:szCs w:val="21"/>
                              </w:rPr>
                              <w:t>渭河北坡森林屏障景观带：</w:t>
                            </w:r>
                            <w:r>
                              <w:rPr>
                                <w:rFonts w:hint="eastAsia" w:ascii="楷体_GB2312" w:hAnsi="仿宋" w:eastAsia="楷体_GB2312" w:cs="仿宋_GB2312"/>
                                <w:sz w:val="21"/>
                                <w:szCs w:val="21"/>
                              </w:rPr>
                              <w:t>实施断档处林带贯通、裸露处绿色覆盖、疏林地补植改造，形成坡顶景观林带、台田经济林木、地埂常绿成网、坡地郊野游园的森林生态屏障。在西起金台区硖石镇林家村、东至扶风县绛帐镇双庙村的渭河北坡区域，重点推进义务植树基地建设和植被裸露处绿化治理，营造景观林，发展经济林，建设休闲生态游园，打造森林文化公园，构筑百公里绿树成荫、四季常绿的森林屏障。</w:t>
                            </w:r>
                          </w:p>
                        </w:txbxContent>
                      </wps:txbx>
                      <wps:bodyPr wrap="square" upright="1"/>
                    </wps:wsp>
                  </a:graphicData>
                </a:graphic>
              </wp:anchor>
            </w:drawing>
          </mc:Choice>
          <mc:Fallback>
            <w:pict>
              <v:shape id="文本框 2" o:spid="_x0000_s1026" o:spt="202" type="#_x0000_t202" style="position:absolute;left:0pt;margin-left:0.25pt;margin-top:13.6pt;height:521.45pt;width:434.8pt;mso-wrap-distance-bottom:3.6pt;mso-wrap-distance-left:9pt;mso-wrap-distance-right:9pt;mso-wrap-distance-top:3.6pt;z-index:251696128;mso-width-relative:margin;mso-height-relative:margin;" fillcolor="#FFFFFF" filled="t" stroked="t" coordsize="21600,21600" o:gfxdata="UEsDBAoAAAAAAIdO4kAAAAAAAAAAAAAAAAAEAAAAZHJzL1BLAwQUAAAACACHTuJAdE7dj9YAAAAI&#10;AQAADwAAAGRycy9kb3ducmV2LnhtbE2PwU7DMAyG70i8Q2QkLoglLbCW0nQHJBDcYCC4Zo3XVjRO&#10;SbJuvD3eCW62/k+/P9ergxvFjCEOnjRkCwUCqfV2oE7D+9vDZQkiJkPWjJ5Qww9GWDWnJ7WprN/T&#10;K87r1AkuoVgZDX1KUyVlbHt0Ji78hMTZ1gdnEq+hkzaYPZe7UeZKLaUzA/GF3kx432P7td45DeX1&#10;0/wZn69ePtrldrxNF8X8+B20Pj/L1B2IhIf0B8NRn9WhYaeN35GNYtRww5yGvMhBcFoWKgOxYUwd&#10;J9nU8v8DzS9QSwMEFAAAAAgAh07iQGrETDQWAgAARgQAAA4AAABkcnMvZTJvRG9jLnhtbK1TTa7T&#10;MBDeI3EHy3uaNtDCi5o+CUrZIEB6cADXdhJL/sPjNukF4Aas2LDnXD0HY6ev7wcWXZCFM/aMv5nv&#10;m/HyejCa7GUA5WxNZ5MpJdJyJ5Rta/rl8+bZK0ogMiuYdlbW9CCBXq+ePln2vpKl65wWMhAEsVD1&#10;vqZdjL4qCuCdNAwmzkuLzsYFwyJuQ1uIwHpEN7oop9NF0bsgfHBcAuDpenTSE2K4BNA1jeJy7fjO&#10;SBtH1CA1i0gJOuWBrnK1TSN5/Ng0ICPRNUWmMa+YBO1tWovVklVtYL5T/FQCu6SER5wMUxaTnqHW&#10;LDKyC+ovKKN4cOCaOOHOFCORrAiymE0faXPTMS8zF5Qa/Fl0+H+w/MP+UyBK1PT5S0osM9jx44/v&#10;x5+/j7++kTLp03uoMOzGY2AcXrsBp+b2HPAw0R6aYNIfCRH0o7qHs7pyiITj4Xxezq4W6OLoWyzK&#10;8sVsnnCKu+s+QHwnnSHJqGnA9mVV2f49xDH0NiRlA6eV2Cit8ya02zc6kD3DVm/yd0J/EKYt6Wt6&#10;NS/nWAjD+W1wbtA0HjUA2+Z8D27AfeBp/v4FnApbM+jGAjJCCmOVUVGGbHWSibdWkHjwKLPF50VT&#10;MUYKSrTE15isHBmZ0pdEonbaooSpR2MvkhWH7YAwydw6ccC+9TjhSO/rjgXMufNBtR0KnPuYL+N4&#10;5U6cnkKa3/v7nOLu+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RO3Y/WAAAACAEAAA8AAAAA&#10;AAAAAQAgAAAAIgAAAGRycy9kb3ducmV2LnhtbFBLAQIUABQAAAAIAIdO4kBqxEw0FgIAAEYEAAAO&#10;AAAAAAAAAAEAIAAAACUBAABkcnMvZTJvRG9jLnhtbFBLBQYAAAAABgAGAFkBAACtBQAAAAA=&#10;">
                <v:fill on="t" focussize="0,0"/>
                <v:stroke color="#000000" joinstyle="miter"/>
                <v:imagedata o:title=""/>
                <o:lock v:ext="edit" aspectratio="f"/>
                <v:textbox>
                  <w:txbxContent>
                    <w:p>
                      <w:pPr>
                        <w:spacing w:after="0" w:line="320" w:lineRule="exact"/>
                        <w:ind w:right="340"/>
                        <w:rPr>
                          <w:rFonts w:hint="eastAsia" w:ascii="黑体" w:hAnsi="黑体" w:eastAsia="黑体" w:cs="仿宋_GB2312"/>
                          <w:b/>
                          <w:bCs/>
                          <w:sz w:val="21"/>
                          <w:szCs w:val="21"/>
                        </w:rPr>
                      </w:pPr>
                      <w:r>
                        <w:rPr>
                          <w:rFonts w:hint="eastAsia" w:ascii="楷体_GB2312" w:hAnsi="黑体" w:eastAsia="楷体_GB2312" w:cs="仿宋_GB2312"/>
                          <w:b/>
                          <w:bCs/>
                          <w:sz w:val="21"/>
                          <w:szCs w:val="21"/>
                        </w:rPr>
                        <w:t>专栏12</w:t>
                      </w:r>
                    </w:p>
                    <w:p>
                      <w:pPr>
                        <w:spacing w:after="0" w:line="320" w:lineRule="exact"/>
                        <w:ind w:right="340"/>
                        <w:jc w:val="center"/>
                        <w:rPr>
                          <w:rFonts w:hint="eastAsia" w:ascii="楷体_GB2312" w:hAnsi="仿宋" w:eastAsia="楷体_GB2312" w:cs="仿宋_GB2312"/>
                          <w:b/>
                          <w:bCs/>
                          <w:sz w:val="21"/>
                          <w:szCs w:val="21"/>
                        </w:rPr>
                      </w:pPr>
                      <w:r>
                        <w:rPr>
                          <w:rFonts w:hint="eastAsia" w:ascii="黑体" w:hAnsi="黑体" w:eastAsia="黑体" w:cs="仿宋_GB2312"/>
                          <w:b/>
                          <w:bCs/>
                          <w:sz w:val="21"/>
                          <w:szCs w:val="21"/>
                        </w:rPr>
                        <w:t>一屏四带生态基础空间</w:t>
                      </w:r>
                    </w:p>
                    <w:p>
                      <w:pPr>
                        <w:spacing w:after="0" w:line="320" w:lineRule="exact"/>
                        <w:ind w:firstLine="422" w:firstLineChars="200"/>
                        <w:jc w:val="both"/>
                        <w:rPr>
                          <w:rFonts w:ascii="楷体_GB2312" w:hAnsi="仿宋" w:eastAsia="楷体_GB2312" w:cs="仿宋_GB2312"/>
                          <w:b/>
                          <w:bCs/>
                          <w:sz w:val="21"/>
                          <w:szCs w:val="21"/>
                        </w:rPr>
                      </w:pPr>
                      <w:r>
                        <w:rPr>
                          <w:rFonts w:hint="eastAsia" w:ascii="楷体_GB2312" w:hAnsi="仿宋" w:eastAsia="楷体_GB2312" w:cs="仿宋_GB2312"/>
                          <w:b/>
                          <w:bCs/>
                          <w:sz w:val="21"/>
                          <w:szCs w:val="21"/>
                        </w:rPr>
                        <w:t>“一屏”：</w:t>
                      </w:r>
                    </w:p>
                    <w:p>
                      <w:pPr>
                        <w:spacing w:after="0" w:line="32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bCs/>
                          <w:sz w:val="21"/>
                          <w:szCs w:val="21"/>
                        </w:rPr>
                        <w:t>关中西部生态屏障：</w:t>
                      </w:r>
                      <w:r>
                        <w:rPr>
                          <w:rFonts w:hint="eastAsia" w:ascii="楷体_GB2312" w:hAnsi="仿宋" w:eastAsia="楷体_GB2312" w:cs="仿宋_GB2312"/>
                          <w:sz w:val="21"/>
                          <w:szCs w:val="21"/>
                        </w:rPr>
                        <w:t>全面实施城区绿化、台塬坡面绿化、交通道路绿化、水系绿化、镇点绿化、景区绿化、经济林、生态公益林和生态家园“九大工程”建设，大规模增绿，高品位美化，在市域内高速公路、国省道和铁路沿线，全面推进林带建设、宜林荒山造林、坡耕地退耕还林和环境整治，重点抓好国省道沿线宽幅林带贯通、节点提升和环境综合整治，构建起三季有花、四季常青的生态景观长廊。形成城镇森林绿地建点、道路水系林网连片、百公里川塬绿荫成带、周边环山景观扩面的城乡森林生态系统，构筑关中西部生态屏障。</w:t>
                      </w:r>
                    </w:p>
                    <w:p>
                      <w:pPr>
                        <w:spacing w:after="0" w:line="320" w:lineRule="exact"/>
                        <w:ind w:firstLine="422" w:firstLineChars="200"/>
                        <w:jc w:val="both"/>
                        <w:rPr>
                          <w:rFonts w:hint="eastAsia" w:ascii="楷体_GB2312" w:hAnsi="仿宋" w:eastAsia="楷体_GB2312" w:cs="仿宋_GB2312"/>
                          <w:b/>
                          <w:bCs/>
                          <w:sz w:val="21"/>
                          <w:szCs w:val="21"/>
                        </w:rPr>
                      </w:pPr>
                      <w:r>
                        <w:rPr>
                          <w:rFonts w:hint="eastAsia" w:ascii="楷体_GB2312" w:hAnsi="仿宋" w:eastAsia="楷体_GB2312" w:cs="仿宋_GB2312"/>
                          <w:b/>
                          <w:bCs/>
                          <w:sz w:val="21"/>
                          <w:szCs w:val="21"/>
                        </w:rPr>
                        <w:t>“四带”：</w:t>
                      </w:r>
                    </w:p>
                    <w:p>
                      <w:pPr>
                        <w:spacing w:after="0" w:line="320" w:lineRule="exact"/>
                        <w:ind w:firstLine="422" w:firstLineChars="200"/>
                        <w:jc w:val="both"/>
                        <w:rPr>
                          <w:rFonts w:hint="eastAsia" w:ascii="楷体_GB2312" w:hAnsi="仿宋" w:eastAsia="楷体_GB2312" w:cs="仿宋_GB2312"/>
                          <w:sz w:val="21"/>
                          <w:szCs w:val="21"/>
                        </w:rPr>
                      </w:pPr>
                      <w:r>
                        <w:rPr>
                          <w:rFonts w:hint="eastAsia" w:ascii="楷体_GB2312" w:hAnsi="仿宋" w:eastAsia="楷体_GB2312" w:cs="仿宋_GB2312"/>
                          <w:b/>
                          <w:bCs/>
                          <w:sz w:val="21"/>
                          <w:szCs w:val="21"/>
                        </w:rPr>
                        <w:t>秦岭关山森林生态风景带：</w:t>
                      </w:r>
                      <w:r>
                        <w:rPr>
                          <w:rFonts w:hint="eastAsia" w:ascii="楷体_GB2312" w:hAnsi="仿宋" w:eastAsia="楷体_GB2312" w:cs="仿宋_GB2312"/>
                          <w:sz w:val="21"/>
                          <w:szCs w:val="21"/>
                        </w:rPr>
                        <w:t>在优先保护自然生态和生物多样性的前提下，构建深山区森林公园、浅山区生态绿地游园和林下经济融合发展的生态屏障。以陕西打造“秦岭国家中央公园”为契机，在陇县和陈仓区西部、太白县、凤县，封、造、管多措并举，实施生态环境建设和园林化工程；保护和利用森林资源，挖掘森林文化，提升现有森林公园和人文景点，兴建新的森林公园，提高森林生态服务功能。在岐山县、眉县、渭滨区和高新区南部浅山台塬区，大力营造景观林和经济林，发展乡村游，形成集观光、采摘、休闲为一体的田园生态景观带。</w:t>
                      </w:r>
                    </w:p>
                    <w:p>
                      <w:pPr>
                        <w:spacing w:after="0" w:line="320" w:lineRule="exact"/>
                        <w:ind w:firstLine="422" w:firstLineChars="200"/>
                        <w:jc w:val="both"/>
                        <w:rPr>
                          <w:rFonts w:hint="eastAsia" w:ascii="楷体_GB2312" w:hAnsi="仿宋" w:eastAsia="楷体_GB2312" w:cs="仿宋_GB2312"/>
                          <w:sz w:val="21"/>
                          <w:szCs w:val="21"/>
                        </w:rPr>
                      </w:pPr>
                      <w:r>
                        <w:rPr>
                          <w:rFonts w:hint="eastAsia" w:ascii="楷体_GB2312" w:hAnsi="仿宋" w:eastAsia="楷体_GB2312" w:cs="仿宋_GB2312"/>
                          <w:b/>
                          <w:bCs/>
                          <w:sz w:val="21"/>
                          <w:szCs w:val="21"/>
                        </w:rPr>
                        <w:t>千山生态经济防护带：</w:t>
                      </w:r>
                      <w:r>
                        <w:rPr>
                          <w:rFonts w:hint="eastAsia" w:ascii="楷体_GB2312" w:hAnsi="仿宋" w:eastAsia="楷体_GB2312" w:cs="仿宋_GB2312"/>
                          <w:sz w:val="21"/>
                          <w:szCs w:val="21"/>
                        </w:rPr>
                        <w:t>以人工造林为主，发展生态经济兼用林，恢复绿色植被，形成黄土丘陵沟壑区生态屏障。在麟游县、千阳县和陇县东部，扶风县、岐山县、凤翔县北部，实行山、水、田、林、路综合治理，绿化改造环境，恢复自然植被，突出发展针阔、乔灌等多树种混交林，营造经济防护林，提高森林覆盖率和防护林经济效益。</w:t>
                      </w:r>
                    </w:p>
                    <w:p>
                      <w:pPr>
                        <w:spacing w:after="0" w:line="320" w:lineRule="exact"/>
                        <w:ind w:firstLine="422" w:firstLineChars="200"/>
                        <w:jc w:val="both"/>
                        <w:rPr>
                          <w:rFonts w:ascii="楷体_GB2312" w:hAnsi="仿宋" w:eastAsia="楷体_GB2312" w:cs="仿宋_GB2312"/>
                          <w:sz w:val="21"/>
                          <w:szCs w:val="21"/>
                        </w:rPr>
                      </w:pPr>
                      <w:r>
                        <w:rPr>
                          <w:rFonts w:hint="eastAsia" w:ascii="楷体_GB2312" w:hAnsi="仿宋" w:eastAsia="楷体_GB2312" w:cs="仿宋_GB2312"/>
                          <w:b/>
                          <w:bCs/>
                          <w:sz w:val="21"/>
                          <w:szCs w:val="21"/>
                        </w:rPr>
                        <w:t>渭河沿岸生态景观带：</w:t>
                      </w:r>
                      <w:r>
                        <w:rPr>
                          <w:rFonts w:hint="eastAsia" w:ascii="楷体_GB2312" w:hAnsi="仿宋" w:eastAsia="楷体_GB2312" w:cs="仿宋_GB2312"/>
                          <w:sz w:val="21"/>
                          <w:szCs w:val="21"/>
                        </w:rPr>
                        <w:t>综合治理河道，绿化美化河堤，发展川道高效观光农业，形成河岸两侧花果飘香的生态景观带。在西起渭滨区高家镇，东至眉县常兴镇的渭河沿岸区域，坚持治理黄金水道和生态景观建设相结合，高标准跟进堤、滩绿化，实现湿地、水面覆盖；坚持治水与产业发展相结合，发展滨河高效农业、绿色果品蔬菜、苗木花卉等绿色观光园、生态产业园，打造成“生态、文化、景观”长廊。</w:t>
                      </w:r>
                    </w:p>
                    <w:p>
                      <w:pPr>
                        <w:spacing w:after="0" w:line="320" w:lineRule="exact"/>
                        <w:ind w:firstLine="422" w:firstLineChars="200"/>
                        <w:jc w:val="both"/>
                      </w:pPr>
                      <w:r>
                        <w:rPr>
                          <w:rFonts w:hint="eastAsia" w:ascii="楷体_GB2312" w:hAnsi="仿宋" w:eastAsia="楷体_GB2312" w:cs="仿宋_GB2312"/>
                          <w:b/>
                          <w:bCs/>
                          <w:sz w:val="21"/>
                          <w:szCs w:val="21"/>
                        </w:rPr>
                        <w:t>渭河北坡森林屏障景观带：</w:t>
                      </w:r>
                      <w:r>
                        <w:rPr>
                          <w:rFonts w:hint="eastAsia" w:ascii="楷体_GB2312" w:hAnsi="仿宋" w:eastAsia="楷体_GB2312" w:cs="仿宋_GB2312"/>
                          <w:sz w:val="21"/>
                          <w:szCs w:val="21"/>
                        </w:rPr>
                        <w:t>实施断档处林带贯通、裸露处绿色覆盖、疏林地补植改造，形成坡顶景观林带、台田经济林木、地埂常绿成网、坡地郊野游园的森林生态屏障。在西起金台区硖石镇林家村、东至扶风县绛帐镇双庙村的渭河北坡区域，重点推进义务植树基地建设和植被裸露处绿化治理，营造景观林，发展经济林，建设休闲生态游园，打造森林文化公园，构筑百公里绿树成荫、四季常绿的森林屏障。</w:t>
                      </w:r>
                    </w:p>
                  </w:txbxContent>
                </v:textbox>
                <w10:wrap type="square"/>
              </v:shape>
            </w:pict>
          </mc:Fallback>
        </mc:AlternateContent>
      </w:r>
    </w:p>
    <w:p>
      <w:pPr>
        <w:spacing w:after="0" w:line="560" w:lineRule="exact"/>
        <w:jc w:val="center"/>
        <w:rPr>
          <w:rFonts w:ascii="方正小标宋简体" w:hAnsi="华文中宋" w:eastAsia="方正小标宋简体"/>
          <w:b/>
          <w:spacing w:val="-20"/>
          <w:sz w:val="36"/>
          <w:szCs w:val="36"/>
        </w:rPr>
        <w:sectPr>
          <w:pgSz w:w="11906" w:h="16838"/>
          <w:pgMar w:top="1418" w:right="1588" w:bottom="1418" w:left="1588" w:header="851" w:footer="397" w:gutter="0"/>
          <w:cols w:space="425" w:num="1"/>
          <w:docGrid w:type="lines" w:linePitch="312" w:charSpace="0"/>
        </w:sectPr>
      </w:pPr>
    </w:p>
    <w:p>
      <w:r>
        <w:rPr>
          <w:lang/>
        </w:rPr>
        <w:drawing>
          <wp:anchor distT="0" distB="0" distL="114300" distR="114300" simplePos="0" relativeHeight="251705344" behindDoc="0" locked="0" layoutInCell="1" allowOverlap="1">
            <wp:simplePos x="0" y="0"/>
            <wp:positionH relativeFrom="margin">
              <wp:align>center</wp:align>
            </wp:positionH>
            <wp:positionV relativeFrom="margin">
              <wp:align>top</wp:align>
            </wp:positionV>
            <wp:extent cx="5554980" cy="8816340"/>
            <wp:effectExtent l="0" t="0" r="7620" b="3810"/>
            <wp:wrapSquare wrapText="bothSides"/>
            <wp:docPr id="46" name="图片 1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7" descr="4"/>
                    <pic:cNvPicPr>
                      <a:picLocks noChangeAspect="1"/>
                    </pic:cNvPicPr>
                  </pic:nvPicPr>
                  <pic:blipFill>
                    <a:blip r:embed="rId30"/>
                    <a:stretch>
                      <a:fillRect/>
                    </a:stretch>
                  </pic:blipFill>
                  <pic:spPr>
                    <a:xfrm>
                      <a:off x="0" y="0"/>
                      <a:ext cx="5554980" cy="8816340"/>
                    </a:xfrm>
                    <a:prstGeom prst="rect">
                      <a:avLst/>
                    </a:prstGeom>
                    <a:noFill/>
                    <a:ln>
                      <a:noFill/>
                    </a:ln>
                  </pic:spPr>
                </pic:pic>
              </a:graphicData>
            </a:graphic>
          </wp:anchor>
        </w:drawing>
      </w:r>
    </w:p>
    <w:p>
      <w:pPr>
        <w:spacing w:after="0" w:line="560" w:lineRule="exact"/>
        <w:jc w:val="center"/>
        <w:rPr>
          <w:rFonts w:ascii="方正小标宋简体" w:hAnsi="华文中宋" w:eastAsia="方正小标宋简体"/>
          <w:b/>
          <w:spacing w:val="-20"/>
          <w:sz w:val="36"/>
          <w:szCs w:val="36"/>
        </w:rPr>
        <w:sectPr>
          <w:pgSz w:w="11906" w:h="16838"/>
          <w:pgMar w:top="1418" w:right="1588" w:bottom="1418" w:left="1588" w:header="851" w:footer="397" w:gutter="0"/>
          <w:cols w:space="425" w:num="1"/>
          <w:docGrid w:type="lines" w:linePitch="312" w:charSpace="0"/>
        </w:sectPr>
      </w:pPr>
    </w:p>
    <w:p>
      <w:pPr>
        <w:widowControl w:val="0"/>
        <w:spacing w:after="0" w:line="600" w:lineRule="exact"/>
        <w:jc w:val="center"/>
        <w:rPr>
          <w:rFonts w:ascii="华文中宋" w:hAnsi="华文中宋" w:eastAsia="华文中宋"/>
          <w:b/>
          <w:sz w:val="36"/>
          <w:szCs w:val="36"/>
        </w:rPr>
      </w:pPr>
      <w:r>
        <w:rPr>
          <w:rFonts w:hint="eastAsia" w:ascii="华文中宋" w:hAnsi="华文中宋" w:eastAsia="华文中宋"/>
          <w:b/>
          <w:sz w:val="36"/>
          <w:szCs w:val="36"/>
        </w:rPr>
        <w:t>第三篇  全力构建现代产业体系</w:t>
      </w:r>
    </w:p>
    <w:p>
      <w:pPr>
        <w:widowControl w:val="0"/>
        <w:spacing w:after="0" w:line="600" w:lineRule="exact"/>
        <w:jc w:val="center"/>
        <w:rPr>
          <w:rFonts w:hint="eastAsia" w:ascii="方正小标宋简体" w:eastAsia="方正小标宋简体"/>
          <w:b/>
          <w:sz w:val="36"/>
          <w:szCs w:val="36"/>
        </w:rPr>
      </w:pPr>
    </w:p>
    <w:p>
      <w:pPr>
        <w:widowControl w:val="0"/>
        <w:pBdr>
          <w:bottom w:val="single" w:color="FFFFFF" w:sz="4" w:space="31"/>
        </w:pBdr>
        <w:topLinePunct/>
        <w:spacing w:after="0" w:line="600" w:lineRule="exact"/>
        <w:ind w:firstLine="640" w:firstLineChars="200"/>
        <w:contextualSpacing/>
        <w:jc w:val="both"/>
        <w:rPr>
          <w:rFonts w:ascii="仿宋_GB2312" w:hAnsi="华文中宋" w:eastAsia="仿宋_GB2312"/>
          <w:sz w:val="32"/>
          <w:szCs w:val="32"/>
        </w:rPr>
      </w:pPr>
      <w:r>
        <w:rPr>
          <w:rFonts w:hint="eastAsia" w:ascii="仿宋_GB2312" w:hAnsi="华文中宋" w:eastAsia="仿宋_GB2312"/>
          <w:sz w:val="32"/>
          <w:szCs w:val="32"/>
        </w:rPr>
        <w:t>积极实施“中国制造2025”、“互联网+”行动计划，以先进制造业和现代服务业为方向，加快转型升级步伐，推动四大农业主导产业特色化，五大工业支柱产业高端化，五大战略性新兴产业规模化，三大特色工业产业低碳化，十大服务业领域现代化。全面优化三次产业结构，推动两化融合、军民融合和产业融合，实现宝鸡制造由大到强、现代服务由小到大，壮大产业集群，增强产业竞争力，“十三五”末三次产业比例调整为9:61:30，建成全省高端装备制造业基地和国家新材料基地，全国一流的旅游目的地和集散地。</w:t>
      </w:r>
    </w:p>
    <w:p>
      <w:pPr>
        <w:pBdr>
          <w:bottom w:val="single" w:color="FFFFFF" w:sz="4" w:space="31"/>
        </w:pBdr>
        <w:topLinePunct/>
        <w:spacing w:after="0" w:line="600" w:lineRule="exact"/>
        <w:ind w:firstLine="560" w:firstLineChars="200"/>
        <w:contextualSpacing/>
        <w:jc w:val="both"/>
        <w:rPr>
          <w:rFonts w:ascii="仿宋_GB2312" w:hAnsi="华文中宋" w:eastAsia="仿宋_GB2312"/>
          <w:spacing w:val="-20"/>
          <w:sz w:val="32"/>
          <w:szCs w:val="32"/>
        </w:rPr>
      </w:pPr>
    </w:p>
    <w:p>
      <w:pPr>
        <w:pBdr>
          <w:bottom w:val="single" w:color="FFFFFF" w:sz="4" w:space="31"/>
        </w:pBdr>
        <w:topLinePunct/>
        <w:spacing w:after="0" w:line="600" w:lineRule="exact"/>
        <w:jc w:val="center"/>
        <w:rPr>
          <w:rFonts w:hint="eastAsia" w:ascii="黑体" w:hAnsi="黑体" w:eastAsia="黑体"/>
          <w:sz w:val="32"/>
          <w:szCs w:val="32"/>
        </w:rPr>
      </w:pPr>
      <w:r>
        <w:rPr>
          <w:rFonts w:hint="eastAsia" w:ascii="黑体" w:hAnsi="黑体" w:eastAsia="黑体"/>
          <w:sz w:val="32"/>
          <w:szCs w:val="32"/>
        </w:rPr>
        <w:t>第九章</w:t>
      </w:r>
      <w:r>
        <w:rPr>
          <w:rFonts w:ascii="黑体" w:hAnsi="黑体" w:eastAsia="黑体"/>
          <w:sz w:val="32"/>
          <w:szCs w:val="32"/>
        </w:rPr>
        <w:t xml:space="preserve">  </w:t>
      </w:r>
      <w:r>
        <w:rPr>
          <w:rFonts w:hint="eastAsia" w:ascii="黑体" w:hAnsi="黑体" w:eastAsia="黑体"/>
          <w:sz w:val="32"/>
          <w:szCs w:val="32"/>
        </w:rPr>
        <w:t>大力发展现代农业</w:t>
      </w:r>
    </w:p>
    <w:p>
      <w:pPr>
        <w:pBdr>
          <w:bottom w:val="single" w:color="FFFFFF" w:sz="4" w:space="31"/>
        </w:pBdr>
        <w:topLinePunct/>
        <w:spacing w:after="0" w:line="600" w:lineRule="exact"/>
        <w:jc w:val="center"/>
        <w:rPr>
          <w:rFonts w:hint="eastAsia" w:ascii="楷体_GB2312" w:hAnsi="华文中宋" w:eastAsia="楷体_GB2312"/>
          <w:b/>
          <w:sz w:val="32"/>
          <w:szCs w:val="32"/>
        </w:rPr>
      </w:pPr>
    </w:p>
    <w:p>
      <w:pPr>
        <w:pBdr>
          <w:bottom w:val="single" w:color="FFFFFF" w:sz="4" w:space="31"/>
        </w:pBdr>
        <w:topLinePunct/>
        <w:spacing w:after="0" w:line="600" w:lineRule="exact"/>
        <w:jc w:val="center"/>
        <w:rPr>
          <w:rFonts w:hint="eastAsia" w:ascii="楷体_GB2312" w:hAnsi="华文中宋" w:eastAsia="楷体_GB2312"/>
          <w:b/>
          <w:sz w:val="32"/>
          <w:szCs w:val="32"/>
        </w:rPr>
      </w:pPr>
      <w:r>
        <w:rPr>
          <w:rFonts w:hint="eastAsia" w:ascii="楷体_GB2312" w:hAnsi="华文中宋" w:eastAsia="楷体_GB2312"/>
          <w:b/>
          <w:sz w:val="32"/>
          <w:szCs w:val="32"/>
        </w:rPr>
        <w:t>第一节</w:t>
      </w:r>
      <w:r>
        <w:rPr>
          <w:rFonts w:ascii="楷体_GB2312" w:hAnsi="华文中宋" w:eastAsia="楷体_GB2312"/>
          <w:b/>
          <w:sz w:val="32"/>
          <w:szCs w:val="32"/>
        </w:rPr>
        <w:t xml:space="preserve">  </w:t>
      </w:r>
      <w:r>
        <w:rPr>
          <w:rFonts w:hint="eastAsia" w:ascii="楷体_GB2312" w:hAnsi="华文中宋" w:eastAsia="楷体_GB2312"/>
          <w:b/>
          <w:sz w:val="32"/>
          <w:szCs w:val="32"/>
        </w:rPr>
        <w:t>构建农业产业体系</w:t>
      </w:r>
    </w:p>
    <w:p>
      <w:pPr>
        <w:widowControl w:val="0"/>
        <w:pBdr>
          <w:bottom w:val="single" w:color="FFFFFF" w:sz="4" w:space="31"/>
        </w:pBdr>
        <w:topLinePunct/>
        <w:spacing w:after="0" w:line="600" w:lineRule="exact"/>
        <w:ind w:firstLine="640" w:firstLineChars="200"/>
        <w:jc w:val="both"/>
        <w:rPr>
          <w:rFonts w:hint="eastAsia" w:ascii="仿宋_GB2312" w:hAnsi="华文中宋" w:eastAsia="仿宋_GB2312"/>
          <w:color w:val="000000"/>
          <w:sz w:val="32"/>
          <w:szCs w:val="32"/>
        </w:rPr>
      </w:pPr>
      <w:r>
        <w:rPr>
          <w:rFonts w:hint="eastAsia" w:ascii="仿宋_GB2312" w:hAnsi="华文中宋" w:eastAsia="仿宋_GB2312"/>
          <w:color w:val="000000"/>
          <w:sz w:val="32"/>
          <w:szCs w:val="32"/>
        </w:rPr>
        <w:t>坚持</w:t>
      </w:r>
      <w:r>
        <w:rPr>
          <w:rFonts w:ascii="仿宋_GB2312" w:hAnsi="华文中宋" w:eastAsia="仿宋_GB2312"/>
          <w:color w:val="000000"/>
          <w:sz w:val="32"/>
          <w:szCs w:val="32"/>
        </w:rPr>
        <w:t>一条主线（</w:t>
      </w:r>
      <w:r>
        <w:rPr>
          <w:rFonts w:hint="eastAsia" w:ascii="仿宋_GB2312" w:hAnsi="华文中宋" w:eastAsia="仿宋_GB2312"/>
          <w:color w:val="000000"/>
          <w:sz w:val="32"/>
          <w:szCs w:val="32"/>
        </w:rPr>
        <w:t>转变</w:t>
      </w:r>
      <w:r>
        <w:rPr>
          <w:rFonts w:ascii="仿宋_GB2312" w:hAnsi="华文中宋" w:eastAsia="仿宋_GB2312"/>
          <w:color w:val="000000"/>
          <w:sz w:val="32"/>
          <w:szCs w:val="32"/>
        </w:rPr>
        <w:t>农业发展方式，加快农业现代化进程）</w:t>
      </w:r>
      <w:r>
        <w:rPr>
          <w:rFonts w:hint="eastAsia" w:ascii="仿宋_GB2312" w:hAnsi="华文中宋" w:eastAsia="仿宋_GB2312"/>
          <w:color w:val="000000"/>
          <w:sz w:val="32"/>
          <w:szCs w:val="32"/>
        </w:rPr>
        <w:t>，</w:t>
      </w:r>
      <w:r>
        <w:rPr>
          <w:rFonts w:ascii="仿宋_GB2312" w:hAnsi="华文中宋" w:eastAsia="仿宋_GB2312"/>
          <w:color w:val="000000"/>
          <w:sz w:val="32"/>
          <w:szCs w:val="32"/>
        </w:rPr>
        <w:t>推进三个转变（</w:t>
      </w:r>
      <w:r>
        <w:rPr>
          <w:rFonts w:hint="eastAsia" w:ascii="仿宋_GB2312" w:hAnsi="华文中宋" w:eastAsia="仿宋_GB2312"/>
          <w:color w:val="000000"/>
          <w:sz w:val="32"/>
          <w:szCs w:val="32"/>
        </w:rPr>
        <w:t>由</w:t>
      </w:r>
      <w:r>
        <w:rPr>
          <w:rFonts w:ascii="仿宋_GB2312" w:hAnsi="华文中宋" w:eastAsia="仿宋_GB2312"/>
          <w:color w:val="000000"/>
          <w:sz w:val="32"/>
          <w:szCs w:val="32"/>
        </w:rPr>
        <w:t>数量</w:t>
      </w:r>
      <w:r>
        <w:rPr>
          <w:rFonts w:hint="eastAsia" w:ascii="仿宋_GB2312" w:hAnsi="华文中宋" w:eastAsia="仿宋_GB2312"/>
          <w:color w:val="000000"/>
          <w:sz w:val="32"/>
          <w:szCs w:val="32"/>
        </w:rPr>
        <w:t>扩张</w:t>
      </w:r>
      <w:r>
        <w:rPr>
          <w:rFonts w:ascii="仿宋_GB2312" w:hAnsi="华文中宋" w:eastAsia="仿宋_GB2312"/>
          <w:color w:val="000000"/>
          <w:sz w:val="32"/>
          <w:szCs w:val="32"/>
        </w:rPr>
        <w:t>向注重质量效益转变，由依靠物质要素投入</w:t>
      </w:r>
      <w:r>
        <w:rPr>
          <w:rFonts w:hint="eastAsia" w:ascii="仿宋_GB2312" w:hAnsi="华文中宋" w:eastAsia="仿宋_GB2312"/>
          <w:color w:val="000000"/>
          <w:sz w:val="32"/>
          <w:szCs w:val="32"/>
        </w:rPr>
        <w:t>向</w:t>
      </w:r>
      <w:r>
        <w:rPr>
          <w:rFonts w:ascii="仿宋_GB2312" w:hAnsi="华文中宋" w:eastAsia="仿宋_GB2312"/>
          <w:color w:val="000000"/>
          <w:sz w:val="32"/>
          <w:szCs w:val="32"/>
        </w:rPr>
        <w:t>科技创新驱动</w:t>
      </w:r>
      <w:r>
        <w:rPr>
          <w:rFonts w:hint="eastAsia" w:ascii="仿宋_GB2312" w:hAnsi="华文中宋" w:eastAsia="仿宋_GB2312"/>
          <w:color w:val="000000"/>
          <w:sz w:val="32"/>
          <w:szCs w:val="32"/>
        </w:rPr>
        <w:t>、</w:t>
      </w:r>
      <w:r>
        <w:rPr>
          <w:rFonts w:ascii="仿宋_GB2312" w:hAnsi="华文中宋" w:eastAsia="仿宋_GB2312"/>
          <w:color w:val="000000"/>
          <w:sz w:val="32"/>
          <w:szCs w:val="32"/>
        </w:rPr>
        <w:t>提高劳动者素质转变</w:t>
      </w:r>
      <w:r>
        <w:rPr>
          <w:rFonts w:hint="eastAsia" w:ascii="仿宋_GB2312" w:hAnsi="华文中宋" w:eastAsia="仿宋_GB2312"/>
          <w:color w:val="000000"/>
          <w:sz w:val="32"/>
          <w:szCs w:val="32"/>
        </w:rPr>
        <w:t>，</w:t>
      </w:r>
      <w:r>
        <w:rPr>
          <w:rFonts w:ascii="仿宋_GB2312" w:hAnsi="华文中宋" w:eastAsia="仿宋_GB2312"/>
          <w:color w:val="000000"/>
          <w:sz w:val="32"/>
          <w:szCs w:val="32"/>
        </w:rPr>
        <w:t>由资源消耗</w:t>
      </w:r>
      <w:r>
        <w:rPr>
          <w:rFonts w:hint="eastAsia" w:ascii="仿宋_GB2312" w:hAnsi="华文中宋" w:eastAsia="仿宋_GB2312"/>
          <w:color w:val="000000"/>
          <w:sz w:val="32"/>
          <w:szCs w:val="32"/>
        </w:rPr>
        <w:t>型</w:t>
      </w:r>
      <w:r>
        <w:rPr>
          <w:rFonts w:ascii="仿宋_GB2312" w:hAnsi="华文中宋" w:eastAsia="仿宋_GB2312"/>
          <w:color w:val="000000"/>
          <w:sz w:val="32"/>
          <w:szCs w:val="32"/>
        </w:rPr>
        <w:t>向绿色可持续发展转变）</w:t>
      </w:r>
      <w:r>
        <w:rPr>
          <w:rFonts w:hint="eastAsia" w:ascii="仿宋_GB2312" w:hAnsi="华文中宋" w:eastAsia="仿宋_GB2312"/>
          <w:color w:val="000000"/>
          <w:sz w:val="32"/>
          <w:szCs w:val="32"/>
        </w:rPr>
        <w:t>，</w:t>
      </w:r>
      <w:r>
        <w:rPr>
          <w:rFonts w:ascii="仿宋_GB2312" w:hAnsi="华文中宋" w:eastAsia="仿宋_GB2312"/>
          <w:color w:val="000000"/>
          <w:sz w:val="32"/>
          <w:szCs w:val="32"/>
        </w:rPr>
        <w:t>完善五</w:t>
      </w:r>
      <w:r>
        <w:rPr>
          <w:rFonts w:hint="eastAsia" w:ascii="仿宋_GB2312" w:hAnsi="华文中宋" w:eastAsia="仿宋_GB2312"/>
          <w:color w:val="000000"/>
          <w:sz w:val="32"/>
          <w:szCs w:val="32"/>
        </w:rPr>
        <w:t>个</w:t>
      </w:r>
      <w:r>
        <w:rPr>
          <w:rFonts w:ascii="仿宋_GB2312" w:hAnsi="华文中宋" w:eastAsia="仿宋_GB2312"/>
          <w:color w:val="000000"/>
          <w:sz w:val="32"/>
          <w:szCs w:val="32"/>
        </w:rPr>
        <w:t>体系（</w:t>
      </w:r>
      <w:r>
        <w:rPr>
          <w:rFonts w:hint="eastAsia" w:ascii="仿宋_GB2312" w:hAnsi="华文中宋" w:eastAsia="仿宋_GB2312"/>
          <w:color w:val="000000"/>
          <w:sz w:val="32"/>
          <w:szCs w:val="32"/>
        </w:rPr>
        <w:t>产业</w:t>
      </w:r>
      <w:r>
        <w:rPr>
          <w:rFonts w:ascii="仿宋_GB2312" w:hAnsi="华文中宋" w:eastAsia="仿宋_GB2312"/>
          <w:color w:val="000000"/>
          <w:sz w:val="32"/>
          <w:szCs w:val="32"/>
        </w:rPr>
        <w:t>体系、经营体系、科技创新体系、质量安全监管体系、支持保护体系）</w:t>
      </w:r>
      <w:r>
        <w:rPr>
          <w:rFonts w:hint="eastAsia" w:ascii="仿宋_GB2312" w:hAnsi="华文中宋" w:eastAsia="仿宋_GB2312"/>
          <w:color w:val="000000"/>
          <w:sz w:val="32"/>
          <w:szCs w:val="32"/>
        </w:rPr>
        <w:t>，</w:t>
      </w:r>
      <w:r>
        <w:rPr>
          <w:rFonts w:hint="eastAsia" w:ascii="仿宋_GB2312" w:eastAsia="仿宋_GB2312"/>
          <w:color w:val="000000"/>
          <w:sz w:val="32"/>
          <w:szCs w:val="32"/>
        </w:rPr>
        <w:t>努力把宝鸡建成全球最大苹果矮化自根砧苗木繁育基地、全国一流中早熟矮化苹果生产基地、全国最大绿色有机猕猴桃生产基地和面向全国、辐射周边国家和地区农产品物流中心、农产品精深加工中心和现代农业高新技术产业密集区。到2020年，全市农业总产值达到500亿元，科技进步对农业增长的贡献率达到65%以上；农产品加工业与农业产值之比达到1.7∶1。</w:t>
      </w:r>
      <w:r>
        <w:rPr>
          <w:rFonts w:hint="eastAsia" w:ascii="仿宋_GB2312" w:hAnsi="华文中宋" w:eastAsia="仿宋_GB2312"/>
          <w:color w:val="000000"/>
          <w:sz w:val="32"/>
          <w:szCs w:val="32"/>
        </w:rPr>
        <w:t>调整</w:t>
      </w:r>
      <w:r>
        <w:rPr>
          <w:rFonts w:ascii="仿宋_GB2312" w:hAnsi="华文中宋" w:eastAsia="仿宋_GB2312"/>
          <w:color w:val="000000"/>
          <w:sz w:val="32"/>
          <w:szCs w:val="32"/>
        </w:rPr>
        <w:t>优化农业结构，大力实施现代农业产业基地建设工程</w:t>
      </w:r>
      <w:r>
        <w:rPr>
          <w:rFonts w:hint="eastAsia" w:ascii="仿宋_GB2312" w:hAnsi="华文中宋" w:eastAsia="仿宋_GB2312"/>
          <w:color w:val="000000"/>
          <w:sz w:val="32"/>
          <w:szCs w:val="32"/>
        </w:rPr>
        <w:t>，</w:t>
      </w:r>
      <w:r>
        <w:rPr>
          <w:rFonts w:ascii="仿宋_GB2312" w:hAnsi="华文中宋" w:eastAsia="仿宋_GB2312"/>
          <w:color w:val="000000"/>
          <w:sz w:val="32"/>
          <w:szCs w:val="32"/>
        </w:rPr>
        <w:t>提升粮食综合产能</w:t>
      </w:r>
      <w:r>
        <w:rPr>
          <w:rFonts w:hint="eastAsia" w:ascii="仿宋_GB2312" w:hAnsi="华文中宋" w:eastAsia="仿宋_GB2312"/>
          <w:color w:val="000000"/>
          <w:sz w:val="32"/>
          <w:szCs w:val="32"/>
        </w:rPr>
        <w:t>，</w:t>
      </w:r>
      <w:r>
        <w:rPr>
          <w:rFonts w:ascii="仿宋_GB2312" w:hAnsi="华文中宋" w:eastAsia="仿宋_GB2312"/>
          <w:color w:val="000000"/>
          <w:sz w:val="32"/>
          <w:szCs w:val="32"/>
        </w:rPr>
        <w:t>促进果菜产业转型升级</w:t>
      </w:r>
      <w:r>
        <w:rPr>
          <w:rFonts w:hint="eastAsia" w:ascii="仿宋_GB2312" w:hAnsi="华文中宋" w:eastAsia="仿宋_GB2312"/>
          <w:color w:val="000000"/>
          <w:sz w:val="32"/>
          <w:szCs w:val="32"/>
        </w:rPr>
        <w:t>，</w:t>
      </w:r>
      <w:r>
        <w:rPr>
          <w:rFonts w:ascii="仿宋_GB2312" w:hAnsi="华文中宋" w:eastAsia="仿宋_GB2312"/>
          <w:color w:val="000000"/>
          <w:sz w:val="32"/>
          <w:szCs w:val="32"/>
        </w:rPr>
        <w:t>推进畜牧标准化养殖</w:t>
      </w:r>
      <w:r>
        <w:rPr>
          <w:rFonts w:hint="eastAsia" w:ascii="仿宋_GB2312" w:hAnsi="华文中宋" w:eastAsia="仿宋_GB2312"/>
          <w:color w:val="000000"/>
          <w:sz w:val="32"/>
          <w:szCs w:val="32"/>
        </w:rPr>
        <w:t>，</w:t>
      </w:r>
      <w:r>
        <w:rPr>
          <w:rFonts w:ascii="仿宋_GB2312" w:hAnsi="华文中宋" w:eastAsia="仿宋_GB2312"/>
          <w:color w:val="000000"/>
          <w:sz w:val="32"/>
          <w:szCs w:val="32"/>
        </w:rPr>
        <w:t>稳步</w:t>
      </w:r>
      <w:r>
        <w:rPr>
          <w:rFonts w:hint="eastAsia" w:ascii="仿宋_GB2312" w:hAnsi="华文中宋" w:eastAsia="仿宋_GB2312"/>
          <w:color w:val="000000"/>
          <w:sz w:val="32"/>
          <w:szCs w:val="32"/>
        </w:rPr>
        <w:t>发展</w:t>
      </w:r>
      <w:r>
        <w:rPr>
          <w:rFonts w:ascii="仿宋_GB2312" w:hAnsi="华文中宋" w:eastAsia="仿宋_GB2312"/>
          <w:color w:val="000000"/>
          <w:sz w:val="32"/>
          <w:szCs w:val="32"/>
        </w:rPr>
        <w:t>设施农业。</w:t>
      </w:r>
    </w:p>
    <w:p>
      <w:pPr>
        <w:widowControl w:val="0"/>
        <w:pBdr>
          <w:bottom w:val="single" w:color="FFFFFF" w:sz="4" w:space="31"/>
        </w:pBdr>
        <w:topLinePunct/>
        <w:spacing w:after="0" w:line="100" w:lineRule="exact"/>
        <w:ind w:firstLine="440" w:firstLineChars="200"/>
        <w:jc w:val="both"/>
        <w:rPr>
          <w:rFonts w:ascii="楷体_GB2312" w:hAnsi="华文中宋" w:eastAsia="楷体_GB2312"/>
          <w:b/>
          <w:sz w:val="32"/>
          <w:szCs w:val="32"/>
        </w:rPr>
      </w:pPr>
      <w:r>
        <w:rPr>
          <w:lang/>
        </w:rPr>
        <mc:AlternateContent>
          <mc:Choice Requires="wps">
            <w:drawing>
              <wp:anchor distT="45720" distB="45720" distL="114300" distR="114300" simplePos="0" relativeHeight="251711488" behindDoc="0" locked="0" layoutInCell="1" allowOverlap="1">
                <wp:simplePos x="0" y="0"/>
                <wp:positionH relativeFrom="column">
                  <wp:posOffset>0</wp:posOffset>
                </wp:positionH>
                <wp:positionV relativeFrom="paragraph">
                  <wp:posOffset>91440</wp:posOffset>
                </wp:positionV>
                <wp:extent cx="5600700" cy="3962400"/>
                <wp:effectExtent l="4445" t="4445" r="14605" b="14605"/>
                <wp:wrapSquare wrapText="bothSides"/>
                <wp:docPr id="52" name="文本框 2"/>
                <wp:cNvGraphicFramePr/>
                <a:graphic xmlns:a="http://schemas.openxmlformats.org/drawingml/2006/main">
                  <a:graphicData uri="http://schemas.microsoft.com/office/word/2010/wordprocessingShape">
                    <wps:wsp>
                      <wps:cNvSpPr txBox="1"/>
                      <wps:spPr>
                        <a:xfrm>
                          <a:off x="0" y="0"/>
                          <a:ext cx="5600700" cy="3962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专栏13</w:t>
                            </w:r>
                          </w:p>
                          <w:p>
                            <w:pPr>
                              <w:spacing w:after="0" w:line="300" w:lineRule="exact"/>
                              <w:jc w:val="center"/>
                              <w:rPr>
                                <w:rFonts w:ascii="黑体" w:hAnsi="黑体" w:eastAsia="黑体"/>
                                <w:b/>
                                <w:sz w:val="21"/>
                                <w:szCs w:val="21"/>
                              </w:rPr>
                            </w:pPr>
                            <w:r>
                              <w:rPr>
                                <w:rFonts w:hint="eastAsia" w:ascii="黑体" w:hAnsi="黑体" w:eastAsia="黑体"/>
                                <w:b/>
                                <w:sz w:val="21"/>
                                <w:szCs w:val="21"/>
                              </w:rPr>
                              <w:t>现代农业产业基地建设工程</w:t>
                            </w:r>
                          </w:p>
                          <w:p>
                            <w:pPr>
                              <w:spacing w:after="0" w:line="300" w:lineRule="exact"/>
                              <w:ind w:firstLine="422" w:firstLineChars="200"/>
                              <w:jc w:val="both"/>
                              <w:rPr>
                                <w:rFonts w:ascii="楷体_GB2312" w:eastAsia="楷体_GB2312"/>
                                <w:sz w:val="21"/>
                                <w:szCs w:val="21"/>
                              </w:rPr>
                            </w:pPr>
                            <w:r>
                              <w:rPr>
                                <w:rFonts w:hint="eastAsia" w:ascii="楷体_GB2312" w:eastAsia="楷体_GB2312"/>
                                <w:b/>
                                <w:sz w:val="21"/>
                                <w:szCs w:val="21"/>
                              </w:rPr>
                              <w:t>畜牧业：</w:t>
                            </w:r>
                            <w:r>
                              <w:rPr>
                                <w:rFonts w:hint="eastAsia" w:ascii="楷体_GB2312" w:eastAsia="楷体_GB2312"/>
                                <w:sz w:val="21"/>
                                <w:szCs w:val="21"/>
                              </w:rPr>
                              <w:t>发展千头现代化奶牛场</w:t>
                            </w:r>
                            <w:r>
                              <w:rPr>
                                <w:rFonts w:ascii="楷体_GB2312" w:eastAsia="楷体_GB2312"/>
                                <w:sz w:val="21"/>
                                <w:szCs w:val="21"/>
                              </w:rPr>
                              <w:t>5</w:t>
                            </w:r>
                            <w:r>
                              <w:rPr>
                                <w:rFonts w:hint="eastAsia" w:ascii="楷体_GB2312" w:eastAsia="楷体_GB2312"/>
                                <w:sz w:val="21"/>
                                <w:szCs w:val="21"/>
                              </w:rPr>
                              <w:t>个、</w:t>
                            </w:r>
                            <w:r>
                              <w:rPr>
                                <w:rFonts w:ascii="楷体_GB2312" w:eastAsia="楷体_GB2312"/>
                                <w:sz w:val="21"/>
                                <w:szCs w:val="21"/>
                              </w:rPr>
                              <w:t>500</w:t>
                            </w:r>
                            <w:r>
                              <w:rPr>
                                <w:rFonts w:hint="eastAsia" w:ascii="楷体_GB2312" w:eastAsia="楷体_GB2312"/>
                                <w:sz w:val="21"/>
                                <w:szCs w:val="21"/>
                              </w:rPr>
                              <w:t>头小区（家庭奶牛场）</w:t>
                            </w:r>
                            <w:r>
                              <w:rPr>
                                <w:rFonts w:ascii="楷体_GB2312" w:eastAsia="楷体_GB2312"/>
                                <w:sz w:val="21"/>
                                <w:szCs w:val="21"/>
                              </w:rPr>
                              <w:t>15</w:t>
                            </w:r>
                            <w:r>
                              <w:rPr>
                                <w:rFonts w:hint="eastAsia" w:ascii="楷体_GB2312" w:eastAsia="楷体_GB2312"/>
                                <w:sz w:val="21"/>
                                <w:szCs w:val="21"/>
                              </w:rPr>
                              <w:t>个，建设百只以上奶山羊场</w:t>
                            </w:r>
                            <w:r>
                              <w:rPr>
                                <w:rFonts w:ascii="楷体_GB2312" w:eastAsia="楷体_GB2312"/>
                                <w:sz w:val="21"/>
                                <w:szCs w:val="21"/>
                              </w:rPr>
                              <w:t>200</w:t>
                            </w:r>
                            <w:r>
                              <w:rPr>
                                <w:rFonts w:hint="eastAsia" w:ascii="楷体_GB2312" w:eastAsia="楷体_GB2312"/>
                                <w:sz w:val="21"/>
                                <w:szCs w:val="21"/>
                              </w:rPr>
                              <w:t>个，千头肉牛村</w:t>
                            </w:r>
                            <w:r>
                              <w:rPr>
                                <w:rFonts w:ascii="楷体_GB2312" w:eastAsia="楷体_GB2312"/>
                                <w:sz w:val="21"/>
                                <w:szCs w:val="21"/>
                              </w:rPr>
                              <w:t>140</w:t>
                            </w:r>
                            <w:r>
                              <w:rPr>
                                <w:rFonts w:hint="eastAsia" w:ascii="楷体_GB2312" w:eastAsia="楷体_GB2312"/>
                                <w:sz w:val="21"/>
                                <w:szCs w:val="21"/>
                              </w:rPr>
                              <w:t>个、百头场</w:t>
                            </w:r>
                            <w:r>
                              <w:rPr>
                                <w:rFonts w:ascii="楷体_GB2312" w:eastAsia="楷体_GB2312"/>
                                <w:sz w:val="21"/>
                                <w:szCs w:val="21"/>
                              </w:rPr>
                              <w:t>1300</w:t>
                            </w:r>
                            <w:r>
                              <w:rPr>
                                <w:rFonts w:hint="eastAsia" w:ascii="楷体_GB2312" w:eastAsia="楷体_GB2312"/>
                                <w:sz w:val="21"/>
                                <w:szCs w:val="21"/>
                              </w:rPr>
                              <w:t>个，千只肉羊村</w:t>
                            </w:r>
                            <w:r>
                              <w:rPr>
                                <w:rFonts w:ascii="楷体_GB2312" w:eastAsia="楷体_GB2312"/>
                                <w:sz w:val="21"/>
                                <w:szCs w:val="21"/>
                              </w:rPr>
                              <w:t>250</w:t>
                            </w:r>
                            <w:r>
                              <w:rPr>
                                <w:rFonts w:hint="eastAsia" w:ascii="楷体_GB2312" w:eastAsia="楷体_GB2312"/>
                                <w:sz w:val="21"/>
                                <w:szCs w:val="21"/>
                              </w:rPr>
                              <w:t>个、</w:t>
                            </w:r>
                            <w:r>
                              <w:rPr>
                                <w:rFonts w:ascii="楷体_GB2312" w:eastAsia="楷体_GB2312"/>
                                <w:sz w:val="21"/>
                                <w:szCs w:val="21"/>
                              </w:rPr>
                              <w:t>200</w:t>
                            </w:r>
                            <w:r>
                              <w:rPr>
                                <w:rFonts w:hint="eastAsia" w:ascii="楷体_GB2312" w:eastAsia="楷体_GB2312"/>
                                <w:sz w:val="21"/>
                                <w:szCs w:val="21"/>
                              </w:rPr>
                              <w:t>只场</w:t>
                            </w:r>
                            <w:r>
                              <w:rPr>
                                <w:rFonts w:ascii="楷体_GB2312" w:eastAsia="楷体_GB2312"/>
                                <w:sz w:val="21"/>
                                <w:szCs w:val="21"/>
                              </w:rPr>
                              <w:t>1500</w:t>
                            </w:r>
                            <w:r>
                              <w:rPr>
                                <w:rFonts w:hint="eastAsia" w:ascii="楷体_GB2312" w:eastAsia="楷体_GB2312"/>
                                <w:sz w:val="21"/>
                                <w:szCs w:val="21"/>
                              </w:rPr>
                              <w:t>个。</w:t>
                            </w:r>
                            <w:r>
                              <w:rPr>
                                <w:rFonts w:hint="eastAsia" w:ascii="楷体_GB2312" w:eastAsia="楷体_GB2312"/>
                                <w:b/>
                                <w:sz w:val="21"/>
                                <w:szCs w:val="21"/>
                              </w:rPr>
                              <w:t>到</w:t>
                            </w:r>
                            <w:r>
                              <w:rPr>
                                <w:rFonts w:ascii="楷体_GB2312" w:eastAsia="楷体_GB2312"/>
                                <w:b/>
                                <w:sz w:val="21"/>
                                <w:szCs w:val="21"/>
                              </w:rPr>
                              <w:t>2020</w:t>
                            </w:r>
                            <w:r>
                              <w:rPr>
                                <w:rFonts w:hint="eastAsia" w:ascii="楷体_GB2312" w:eastAsia="楷体_GB2312"/>
                                <w:b/>
                                <w:sz w:val="21"/>
                                <w:szCs w:val="21"/>
                              </w:rPr>
                              <w:t>年，家畜（禽）全市存栏量达到</w:t>
                            </w:r>
                            <w:r>
                              <w:rPr>
                                <w:rFonts w:ascii="楷体_GB2312" w:eastAsia="楷体_GB2312"/>
                                <w:b/>
                                <w:sz w:val="21"/>
                                <w:szCs w:val="21"/>
                              </w:rPr>
                              <w:t>5470</w:t>
                            </w:r>
                            <w:r>
                              <w:rPr>
                                <w:rFonts w:hint="eastAsia" w:ascii="楷体_GB2312" w:eastAsia="楷体_GB2312"/>
                                <w:b/>
                                <w:sz w:val="21"/>
                                <w:szCs w:val="21"/>
                              </w:rPr>
                              <w:t>万头（只）</w:t>
                            </w:r>
                            <w:r>
                              <w:rPr>
                                <w:rFonts w:hint="eastAsia" w:ascii="楷体_GB2312" w:eastAsia="楷体_GB2312"/>
                                <w:sz w:val="21"/>
                                <w:szCs w:val="21"/>
                              </w:rPr>
                              <w:t>（其中：奶牛</w:t>
                            </w:r>
                            <w:r>
                              <w:rPr>
                                <w:rFonts w:ascii="楷体_GB2312" w:eastAsia="楷体_GB2312"/>
                                <w:sz w:val="21"/>
                                <w:szCs w:val="21"/>
                              </w:rPr>
                              <w:t>25</w:t>
                            </w:r>
                            <w:r>
                              <w:rPr>
                                <w:rFonts w:hint="eastAsia" w:ascii="楷体_GB2312" w:eastAsia="楷体_GB2312"/>
                                <w:sz w:val="21"/>
                                <w:szCs w:val="21"/>
                              </w:rPr>
                              <w:t>万头、肉牛</w:t>
                            </w:r>
                            <w:r>
                              <w:rPr>
                                <w:rFonts w:ascii="楷体_GB2312" w:eastAsia="楷体_GB2312"/>
                                <w:sz w:val="21"/>
                                <w:szCs w:val="21"/>
                              </w:rPr>
                              <w:t>45</w:t>
                            </w:r>
                            <w:r>
                              <w:rPr>
                                <w:rFonts w:hint="eastAsia" w:ascii="楷体_GB2312" w:eastAsia="楷体_GB2312"/>
                                <w:sz w:val="21"/>
                                <w:szCs w:val="21"/>
                              </w:rPr>
                              <w:t>万头、奶山羊</w:t>
                            </w:r>
                            <w:r>
                              <w:rPr>
                                <w:rFonts w:ascii="楷体_GB2312" w:eastAsia="楷体_GB2312"/>
                                <w:sz w:val="21"/>
                                <w:szCs w:val="21"/>
                              </w:rPr>
                              <w:t>50</w:t>
                            </w:r>
                            <w:r>
                              <w:rPr>
                                <w:rFonts w:hint="eastAsia" w:ascii="楷体_GB2312" w:eastAsia="楷体_GB2312"/>
                                <w:sz w:val="21"/>
                                <w:szCs w:val="21"/>
                              </w:rPr>
                              <w:t>万只、肉羊</w:t>
                            </w:r>
                            <w:r>
                              <w:rPr>
                                <w:rFonts w:ascii="楷体_GB2312" w:eastAsia="楷体_GB2312"/>
                                <w:sz w:val="21"/>
                                <w:szCs w:val="21"/>
                              </w:rPr>
                              <w:t>50</w:t>
                            </w:r>
                            <w:r>
                              <w:rPr>
                                <w:rFonts w:hint="eastAsia" w:ascii="楷体_GB2312" w:eastAsia="楷体_GB2312"/>
                                <w:sz w:val="21"/>
                                <w:szCs w:val="21"/>
                              </w:rPr>
                              <w:t>万只、年出栏生猪</w:t>
                            </w:r>
                            <w:r>
                              <w:rPr>
                                <w:rFonts w:ascii="楷体_GB2312" w:eastAsia="楷体_GB2312"/>
                                <w:sz w:val="21"/>
                                <w:szCs w:val="21"/>
                              </w:rPr>
                              <w:t>300</w:t>
                            </w:r>
                            <w:r>
                              <w:rPr>
                                <w:rFonts w:hint="eastAsia" w:ascii="楷体_GB2312" w:eastAsia="楷体_GB2312"/>
                                <w:sz w:val="21"/>
                                <w:szCs w:val="21"/>
                              </w:rPr>
                              <w:t>万头、商品肉鸡</w:t>
                            </w:r>
                            <w:r>
                              <w:rPr>
                                <w:rFonts w:ascii="楷体_GB2312" w:eastAsia="楷体_GB2312"/>
                                <w:sz w:val="21"/>
                                <w:szCs w:val="21"/>
                              </w:rPr>
                              <w:t>5000</w:t>
                            </w:r>
                            <w:r>
                              <w:rPr>
                                <w:rFonts w:hint="eastAsia" w:ascii="楷体_GB2312" w:eastAsia="楷体_GB2312"/>
                                <w:sz w:val="21"/>
                                <w:szCs w:val="21"/>
                              </w:rPr>
                              <w:t>万只）。以中峰养殖为主，重点发展一批存栏</w:t>
                            </w:r>
                            <w:r>
                              <w:rPr>
                                <w:rFonts w:ascii="楷体_GB2312" w:eastAsia="楷体_GB2312"/>
                                <w:sz w:val="21"/>
                                <w:szCs w:val="21"/>
                              </w:rPr>
                              <w:t>50</w:t>
                            </w:r>
                            <w:r>
                              <w:rPr>
                                <w:rFonts w:hint="eastAsia" w:ascii="楷体_GB2312" w:eastAsia="楷体_GB2312"/>
                                <w:sz w:val="21"/>
                                <w:szCs w:val="21"/>
                              </w:rPr>
                              <w:t>箱以上的适度规模养殖大户，</w:t>
                            </w:r>
                            <w:r>
                              <w:rPr>
                                <w:rFonts w:hint="eastAsia" w:ascii="楷体_GB2312" w:eastAsia="楷体_GB2312"/>
                                <w:b/>
                                <w:sz w:val="21"/>
                                <w:szCs w:val="21"/>
                              </w:rPr>
                              <w:t>中蜂数量发展到</w:t>
                            </w:r>
                            <w:r>
                              <w:rPr>
                                <w:rFonts w:ascii="楷体_GB2312" w:eastAsia="楷体_GB2312"/>
                                <w:b/>
                                <w:sz w:val="21"/>
                                <w:szCs w:val="21"/>
                              </w:rPr>
                              <w:t>50</w:t>
                            </w:r>
                            <w:r>
                              <w:rPr>
                                <w:rFonts w:hint="eastAsia" w:ascii="楷体_GB2312" w:eastAsia="楷体_GB2312"/>
                                <w:b/>
                                <w:sz w:val="21"/>
                                <w:szCs w:val="21"/>
                              </w:rPr>
                              <w:t>万群，</w:t>
                            </w:r>
                            <w:r>
                              <w:rPr>
                                <w:rFonts w:hint="eastAsia" w:ascii="楷体_GB2312" w:eastAsia="楷体_GB2312"/>
                                <w:sz w:val="21"/>
                                <w:szCs w:val="21"/>
                              </w:rPr>
                              <w:t>蜂蜜产量</w:t>
                            </w:r>
                            <w:r>
                              <w:rPr>
                                <w:rFonts w:ascii="楷体_GB2312" w:eastAsia="楷体_GB2312"/>
                                <w:sz w:val="21"/>
                                <w:szCs w:val="21"/>
                              </w:rPr>
                              <w:t>1</w:t>
                            </w:r>
                            <w:r>
                              <w:rPr>
                                <w:rFonts w:hint="eastAsia" w:ascii="楷体_GB2312" w:eastAsia="楷体_GB2312"/>
                                <w:sz w:val="21"/>
                                <w:szCs w:val="21"/>
                              </w:rPr>
                              <w:t>万吨；过境蜂农达到</w:t>
                            </w:r>
                            <w:r>
                              <w:rPr>
                                <w:rFonts w:ascii="楷体_GB2312" w:eastAsia="楷体_GB2312"/>
                                <w:sz w:val="21"/>
                                <w:szCs w:val="21"/>
                              </w:rPr>
                              <w:t>0.5</w:t>
                            </w:r>
                            <w:r>
                              <w:rPr>
                                <w:rFonts w:hint="eastAsia" w:ascii="楷体_GB2312" w:eastAsia="楷体_GB2312"/>
                                <w:sz w:val="21"/>
                                <w:szCs w:val="21"/>
                              </w:rPr>
                              <w:t>万户、蜂群</w:t>
                            </w:r>
                            <w:r>
                              <w:rPr>
                                <w:rFonts w:ascii="楷体_GB2312" w:eastAsia="楷体_GB2312"/>
                                <w:sz w:val="21"/>
                                <w:szCs w:val="21"/>
                              </w:rPr>
                              <w:t>60</w:t>
                            </w:r>
                            <w:r>
                              <w:rPr>
                                <w:rFonts w:hint="eastAsia" w:ascii="楷体_GB2312" w:eastAsia="楷体_GB2312"/>
                                <w:sz w:val="21"/>
                                <w:szCs w:val="21"/>
                              </w:rPr>
                              <w:t>万群，年产蜂蜜</w:t>
                            </w:r>
                            <w:r>
                              <w:rPr>
                                <w:rFonts w:ascii="楷体_GB2312" w:eastAsia="楷体_GB2312"/>
                                <w:sz w:val="21"/>
                                <w:szCs w:val="21"/>
                              </w:rPr>
                              <w:t>1</w:t>
                            </w:r>
                            <w:r>
                              <w:rPr>
                                <w:rFonts w:hint="eastAsia" w:ascii="楷体_GB2312" w:eastAsia="楷体_GB2312"/>
                                <w:sz w:val="21"/>
                                <w:szCs w:val="21"/>
                              </w:rPr>
                              <w:t>.</w:t>
                            </w:r>
                            <w:r>
                              <w:rPr>
                                <w:rFonts w:ascii="楷体_GB2312" w:eastAsia="楷体_GB2312"/>
                                <w:sz w:val="21"/>
                                <w:szCs w:val="21"/>
                              </w:rPr>
                              <w:t>2</w:t>
                            </w:r>
                            <w:r>
                              <w:rPr>
                                <w:rFonts w:hint="eastAsia" w:ascii="楷体_GB2312" w:eastAsia="楷体_GB2312"/>
                                <w:sz w:val="21"/>
                                <w:szCs w:val="21"/>
                              </w:rPr>
                              <w:t>万吨。</w:t>
                            </w:r>
                          </w:p>
                          <w:p>
                            <w:pPr>
                              <w:spacing w:after="0" w:line="300" w:lineRule="exact"/>
                              <w:ind w:firstLine="422" w:firstLineChars="200"/>
                              <w:jc w:val="both"/>
                              <w:rPr>
                                <w:rFonts w:hint="eastAsia" w:ascii="楷体_GB2312" w:eastAsia="楷体_GB2312"/>
                                <w:color w:val="000000"/>
                                <w:sz w:val="21"/>
                                <w:szCs w:val="21"/>
                              </w:rPr>
                            </w:pPr>
                            <w:r>
                              <w:rPr>
                                <w:rFonts w:hint="eastAsia" w:ascii="楷体_GB2312" w:eastAsia="楷体_GB2312"/>
                                <w:b/>
                                <w:sz w:val="21"/>
                                <w:szCs w:val="21"/>
                              </w:rPr>
                              <w:t>粮食生产：</w:t>
                            </w:r>
                            <w:r>
                              <w:rPr>
                                <w:rFonts w:hint="eastAsia" w:ascii="楷体_GB2312" w:eastAsia="楷体_GB2312"/>
                                <w:sz w:val="21"/>
                                <w:szCs w:val="21"/>
                              </w:rPr>
                              <w:t>扩大山区地膜、川塬高产玉米和优质小麦面积，增加南北二山和渭北旱塬名优杂粮种植规摸。发展优质小麦</w:t>
                            </w:r>
                            <w:r>
                              <w:rPr>
                                <w:rFonts w:ascii="楷体_GB2312" w:eastAsia="楷体_GB2312"/>
                                <w:sz w:val="21"/>
                                <w:szCs w:val="21"/>
                              </w:rPr>
                              <w:t>230</w:t>
                            </w:r>
                            <w:r>
                              <w:rPr>
                                <w:rFonts w:hint="eastAsia" w:ascii="楷体_GB2312" w:eastAsia="楷体_GB2312"/>
                                <w:sz w:val="21"/>
                                <w:szCs w:val="21"/>
                              </w:rPr>
                              <w:t>万亩，产量</w:t>
                            </w:r>
                            <w:r>
                              <w:rPr>
                                <w:rFonts w:ascii="楷体_GB2312" w:eastAsia="楷体_GB2312"/>
                                <w:sz w:val="21"/>
                                <w:szCs w:val="21"/>
                              </w:rPr>
                              <w:t>68</w:t>
                            </w:r>
                            <w:r>
                              <w:rPr>
                                <w:rFonts w:hint="eastAsia" w:ascii="楷体_GB2312" w:eastAsia="楷体_GB2312"/>
                                <w:sz w:val="21"/>
                                <w:szCs w:val="21"/>
                              </w:rPr>
                              <w:t>万吨；发展高蛋白、高淀粉、高油、高赖氨酸等优质专用玉米</w:t>
                            </w:r>
                            <w:r>
                              <w:rPr>
                                <w:rFonts w:ascii="楷体_GB2312" w:eastAsia="楷体_GB2312"/>
                                <w:sz w:val="21"/>
                                <w:szCs w:val="21"/>
                              </w:rPr>
                              <w:t>160</w:t>
                            </w:r>
                            <w:r>
                              <w:rPr>
                                <w:rFonts w:hint="eastAsia" w:ascii="楷体_GB2312" w:eastAsia="楷体_GB2312"/>
                                <w:sz w:val="21"/>
                                <w:szCs w:val="21"/>
                              </w:rPr>
                              <w:t>万亩，产量</w:t>
                            </w:r>
                            <w:r>
                              <w:rPr>
                                <w:rFonts w:ascii="楷体_GB2312" w:eastAsia="楷体_GB2312"/>
                                <w:color w:val="000000"/>
                                <w:sz w:val="21"/>
                                <w:szCs w:val="21"/>
                              </w:rPr>
                              <w:t>54</w:t>
                            </w:r>
                            <w:r>
                              <w:rPr>
                                <w:rFonts w:hint="eastAsia" w:ascii="楷体_GB2312" w:eastAsia="楷体_GB2312"/>
                                <w:color w:val="000000"/>
                                <w:sz w:val="21"/>
                                <w:szCs w:val="21"/>
                              </w:rPr>
                              <w:t>万吨；发展豆类、糜谷、薯类、荞麦等杂粮</w:t>
                            </w:r>
                            <w:r>
                              <w:rPr>
                                <w:rFonts w:ascii="楷体_GB2312" w:eastAsia="楷体_GB2312"/>
                                <w:color w:val="000000"/>
                                <w:sz w:val="21"/>
                                <w:szCs w:val="21"/>
                              </w:rPr>
                              <w:t>20</w:t>
                            </w:r>
                            <w:r>
                              <w:rPr>
                                <w:rFonts w:hint="eastAsia" w:ascii="楷体_GB2312" w:eastAsia="楷体_GB2312"/>
                                <w:color w:val="000000"/>
                                <w:sz w:val="21"/>
                                <w:szCs w:val="21"/>
                              </w:rPr>
                              <w:t>万亩，产量</w:t>
                            </w:r>
                            <w:r>
                              <w:rPr>
                                <w:rFonts w:ascii="楷体_GB2312" w:eastAsia="楷体_GB2312"/>
                                <w:color w:val="000000"/>
                                <w:sz w:val="21"/>
                                <w:szCs w:val="21"/>
                              </w:rPr>
                              <w:t>3</w:t>
                            </w:r>
                            <w:r>
                              <w:rPr>
                                <w:rFonts w:hint="eastAsia" w:ascii="楷体_GB2312" w:eastAsia="楷体_GB2312"/>
                                <w:color w:val="000000"/>
                                <w:sz w:val="21"/>
                                <w:szCs w:val="21"/>
                              </w:rPr>
                              <w:t>万吨。全市粮食面积稳定在</w:t>
                            </w:r>
                            <w:r>
                              <w:rPr>
                                <w:rFonts w:ascii="楷体_GB2312" w:eastAsia="楷体_GB2312"/>
                                <w:color w:val="000000"/>
                                <w:sz w:val="21"/>
                                <w:szCs w:val="21"/>
                              </w:rPr>
                              <w:t>500</w:t>
                            </w:r>
                            <w:r>
                              <w:rPr>
                                <w:rFonts w:hint="eastAsia" w:ascii="楷体_GB2312" w:eastAsia="楷体_GB2312"/>
                                <w:color w:val="000000"/>
                                <w:sz w:val="21"/>
                                <w:szCs w:val="21"/>
                              </w:rPr>
                              <w:t>万亩，总产</w:t>
                            </w:r>
                            <w:r>
                              <w:rPr>
                                <w:rFonts w:ascii="楷体_GB2312" w:eastAsia="楷体_GB2312"/>
                                <w:color w:val="000000"/>
                                <w:sz w:val="21"/>
                                <w:szCs w:val="21"/>
                              </w:rPr>
                              <w:t>145</w:t>
                            </w:r>
                            <w:r>
                              <w:rPr>
                                <w:rFonts w:hint="eastAsia" w:ascii="楷体_GB2312" w:eastAsia="楷体_GB2312"/>
                                <w:color w:val="000000"/>
                                <w:sz w:val="21"/>
                                <w:szCs w:val="21"/>
                              </w:rPr>
                              <w:t>万吨以上。其中，优质粮面积达到</w:t>
                            </w:r>
                            <w:r>
                              <w:rPr>
                                <w:rFonts w:ascii="楷体_GB2312" w:eastAsia="楷体_GB2312"/>
                                <w:color w:val="000000"/>
                                <w:sz w:val="21"/>
                                <w:szCs w:val="21"/>
                              </w:rPr>
                              <w:t>410</w:t>
                            </w:r>
                            <w:r>
                              <w:rPr>
                                <w:rFonts w:hint="eastAsia" w:ascii="楷体_GB2312" w:eastAsia="楷体_GB2312"/>
                                <w:color w:val="000000"/>
                                <w:sz w:val="21"/>
                                <w:szCs w:val="21"/>
                              </w:rPr>
                              <w:t>万亩，产量达到</w:t>
                            </w:r>
                            <w:r>
                              <w:rPr>
                                <w:rFonts w:ascii="楷体_GB2312" w:eastAsia="楷体_GB2312"/>
                                <w:color w:val="000000"/>
                                <w:sz w:val="21"/>
                                <w:szCs w:val="21"/>
                              </w:rPr>
                              <w:t>125</w:t>
                            </w:r>
                            <w:r>
                              <w:rPr>
                                <w:rFonts w:hint="eastAsia" w:ascii="楷体_GB2312" w:eastAsia="楷体_GB2312"/>
                                <w:color w:val="000000"/>
                                <w:sz w:val="21"/>
                                <w:szCs w:val="21"/>
                              </w:rPr>
                              <w:t>万吨。</w:t>
                            </w:r>
                          </w:p>
                          <w:p>
                            <w:pPr>
                              <w:spacing w:after="0" w:line="300" w:lineRule="exact"/>
                              <w:ind w:firstLine="422" w:firstLineChars="200"/>
                              <w:jc w:val="both"/>
                              <w:rPr>
                                <w:rFonts w:hint="eastAsia" w:ascii="楷体_GB2312" w:eastAsia="楷体_GB2312"/>
                                <w:color w:val="000000"/>
                                <w:sz w:val="21"/>
                                <w:szCs w:val="21"/>
                              </w:rPr>
                            </w:pPr>
                            <w:r>
                              <w:rPr>
                                <w:rFonts w:hint="eastAsia" w:ascii="楷体_GB2312" w:eastAsia="楷体_GB2312"/>
                                <w:b/>
                                <w:color w:val="000000"/>
                                <w:sz w:val="21"/>
                                <w:szCs w:val="21"/>
                              </w:rPr>
                              <w:t>果品生产：</w:t>
                            </w:r>
                            <w:r>
                              <w:rPr>
                                <w:rFonts w:hint="eastAsia" w:ascii="楷体_GB2312" w:eastAsia="楷体_GB2312"/>
                                <w:color w:val="000000"/>
                                <w:sz w:val="21"/>
                                <w:szCs w:val="21"/>
                              </w:rPr>
                              <w:t>打造全国一流、高标准高效益矮砧苹果集约高效栽培示范区</w:t>
                            </w:r>
                            <w:r>
                              <w:rPr>
                                <w:rFonts w:ascii="楷体_GB2312" w:eastAsia="楷体_GB2312"/>
                                <w:color w:val="000000"/>
                                <w:sz w:val="21"/>
                                <w:szCs w:val="21"/>
                              </w:rPr>
                              <w:t>40</w:t>
                            </w:r>
                            <w:r>
                              <w:rPr>
                                <w:rFonts w:hint="eastAsia" w:ascii="楷体_GB2312" w:eastAsia="楷体_GB2312"/>
                                <w:color w:val="000000"/>
                                <w:sz w:val="21"/>
                                <w:szCs w:val="21"/>
                              </w:rPr>
                              <w:t>万亩；新建高标准猕猴桃果园</w:t>
                            </w:r>
                            <w:r>
                              <w:rPr>
                                <w:rFonts w:ascii="楷体_GB2312" w:eastAsia="楷体_GB2312"/>
                                <w:color w:val="000000"/>
                                <w:sz w:val="21"/>
                                <w:szCs w:val="21"/>
                              </w:rPr>
                              <w:t>10</w:t>
                            </w:r>
                            <w:r>
                              <w:rPr>
                                <w:rFonts w:hint="eastAsia" w:ascii="楷体_GB2312" w:eastAsia="楷体_GB2312"/>
                                <w:color w:val="000000"/>
                                <w:sz w:val="21"/>
                                <w:szCs w:val="21"/>
                              </w:rPr>
                              <w:t>万亩；新建葡萄、樱桃、桃等时令杂果果园</w:t>
                            </w:r>
                            <w:r>
                              <w:rPr>
                                <w:rFonts w:ascii="楷体_GB2312" w:eastAsia="楷体_GB2312"/>
                                <w:color w:val="000000"/>
                                <w:sz w:val="21"/>
                                <w:szCs w:val="21"/>
                              </w:rPr>
                              <w:t>8</w:t>
                            </w:r>
                            <w:r>
                              <w:rPr>
                                <w:rFonts w:hint="eastAsia" w:ascii="楷体_GB2312" w:eastAsia="楷体_GB2312"/>
                                <w:color w:val="000000"/>
                                <w:sz w:val="21"/>
                                <w:szCs w:val="21"/>
                              </w:rPr>
                              <w:t>万亩。建设60万亩南山西山（凤县、陈仓区）花椒产业带、200万亩关山乔山（陇县、千阳）核桃产业带。到</w:t>
                            </w:r>
                            <w:r>
                              <w:rPr>
                                <w:rFonts w:ascii="楷体_GB2312" w:eastAsia="楷体_GB2312"/>
                                <w:color w:val="000000"/>
                                <w:sz w:val="21"/>
                                <w:szCs w:val="21"/>
                              </w:rPr>
                              <w:t>2020</w:t>
                            </w:r>
                            <w:r>
                              <w:rPr>
                                <w:rFonts w:hint="eastAsia" w:ascii="楷体_GB2312" w:eastAsia="楷体_GB2312"/>
                                <w:color w:val="000000"/>
                                <w:sz w:val="21"/>
                                <w:szCs w:val="21"/>
                              </w:rPr>
                              <w:t>年，全市果品面积达到</w:t>
                            </w:r>
                            <w:r>
                              <w:rPr>
                                <w:rFonts w:ascii="楷体_GB2312" w:eastAsia="楷体_GB2312"/>
                                <w:color w:val="000000"/>
                                <w:sz w:val="21"/>
                                <w:szCs w:val="21"/>
                              </w:rPr>
                              <w:t>230</w:t>
                            </w:r>
                            <w:r>
                              <w:rPr>
                                <w:rFonts w:hint="eastAsia" w:ascii="楷体_GB2312" w:eastAsia="楷体_GB2312"/>
                                <w:color w:val="000000"/>
                                <w:sz w:val="21"/>
                                <w:szCs w:val="21"/>
                              </w:rPr>
                              <w:t>万亩，产量</w:t>
                            </w:r>
                            <w:r>
                              <w:rPr>
                                <w:rFonts w:ascii="楷体_GB2312" w:eastAsia="楷体_GB2312"/>
                                <w:color w:val="000000"/>
                                <w:sz w:val="21"/>
                                <w:szCs w:val="21"/>
                              </w:rPr>
                              <w:t>280</w:t>
                            </w:r>
                            <w:r>
                              <w:rPr>
                                <w:rFonts w:hint="eastAsia" w:ascii="楷体_GB2312" w:eastAsia="楷体_GB2312"/>
                                <w:color w:val="000000"/>
                                <w:sz w:val="21"/>
                                <w:szCs w:val="21"/>
                              </w:rPr>
                              <w:t>万吨。</w:t>
                            </w:r>
                          </w:p>
                          <w:p>
                            <w:pPr>
                              <w:spacing w:after="0" w:line="300" w:lineRule="exact"/>
                              <w:ind w:firstLine="422" w:firstLineChars="200"/>
                              <w:jc w:val="both"/>
                              <w:rPr>
                                <w:color w:val="000000"/>
                              </w:rPr>
                            </w:pPr>
                            <w:r>
                              <w:rPr>
                                <w:rFonts w:hint="eastAsia" w:ascii="楷体_GB2312" w:eastAsia="楷体_GB2312"/>
                                <w:b/>
                                <w:color w:val="000000"/>
                                <w:sz w:val="21"/>
                                <w:szCs w:val="21"/>
                              </w:rPr>
                              <w:t>蔬菜生产</w:t>
                            </w:r>
                            <w:r>
                              <w:rPr>
                                <w:rFonts w:ascii="楷体_GB2312" w:eastAsia="楷体_GB2312"/>
                                <w:b/>
                                <w:color w:val="000000"/>
                                <w:sz w:val="21"/>
                                <w:szCs w:val="21"/>
                              </w:rPr>
                              <w:t>:</w:t>
                            </w:r>
                            <w:r>
                              <w:rPr>
                                <w:rFonts w:hint="eastAsia" w:ascii="楷体_GB2312" w:eastAsia="楷体_GB2312"/>
                                <w:color w:val="000000"/>
                                <w:sz w:val="21"/>
                                <w:szCs w:val="21"/>
                              </w:rPr>
                              <w:t>建成全省最大的秦岭高山补淡蔬菜基地</w:t>
                            </w:r>
                            <w:r>
                              <w:rPr>
                                <w:rFonts w:ascii="楷体_GB2312" w:eastAsia="楷体_GB2312"/>
                                <w:color w:val="000000"/>
                                <w:sz w:val="21"/>
                                <w:szCs w:val="21"/>
                              </w:rPr>
                              <w:t>20</w:t>
                            </w:r>
                            <w:r>
                              <w:rPr>
                                <w:rFonts w:hint="eastAsia" w:ascii="楷体_GB2312" w:eastAsia="楷体_GB2312"/>
                                <w:color w:val="000000"/>
                                <w:sz w:val="21"/>
                                <w:szCs w:val="21"/>
                              </w:rPr>
                              <w:t>万亩，产量</w:t>
                            </w:r>
                            <w:r>
                              <w:rPr>
                                <w:rFonts w:ascii="楷体_GB2312" w:eastAsia="楷体_GB2312"/>
                                <w:color w:val="000000"/>
                                <w:sz w:val="21"/>
                                <w:szCs w:val="21"/>
                              </w:rPr>
                              <w:t>40</w:t>
                            </w:r>
                            <w:r>
                              <w:rPr>
                                <w:rFonts w:hint="eastAsia" w:ascii="楷体_GB2312" w:eastAsia="楷体_GB2312"/>
                                <w:color w:val="000000"/>
                                <w:sz w:val="21"/>
                                <w:szCs w:val="21"/>
                              </w:rPr>
                              <w:t>万吨；设施蔬菜累计达到</w:t>
                            </w:r>
                            <w:r>
                              <w:rPr>
                                <w:rFonts w:ascii="楷体_GB2312" w:eastAsia="楷体_GB2312"/>
                                <w:color w:val="000000"/>
                                <w:sz w:val="21"/>
                                <w:szCs w:val="21"/>
                              </w:rPr>
                              <w:t>27</w:t>
                            </w:r>
                            <w:r>
                              <w:rPr>
                                <w:rFonts w:hint="eastAsia" w:ascii="楷体_GB2312" w:eastAsia="楷体_GB2312"/>
                                <w:color w:val="000000"/>
                                <w:sz w:val="21"/>
                                <w:szCs w:val="21"/>
                              </w:rPr>
                              <w:t>万亩，产量</w:t>
                            </w:r>
                            <w:r>
                              <w:rPr>
                                <w:rFonts w:ascii="楷体_GB2312" w:eastAsia="楷体_GB2312"/>
                                <w:color w:val="000000"/>
                                <w:sz w:val="21"/>
                                <w:szCs w:val="21"/>
                              </w:rPr>
                              <w:t>90</w:t>
                            </w:r>
                            <w:r>
                              <w:rPr>
                                <w:rFonts w:hint="eastAsia" w:ascii="楷体_GB2312" w:eastAsia="楷体_GB2312"/>
                                <w:color w:val="000000"/>
                                <w:sz w:val="21"/>
                                <w:szCs w:val="21"/>
                              </w:rPr>
                              <w:t>万吨；发展莓类种植</w:t>
                            </w:r>
                            <w:r>
                              <w:rPr>
                                <w:rFonts w:ascii="楷体_GB2312" w:eastAsia="楷体_GB2312"/>
                                <w:color w:val="000000"/>
                                <w:sz w:val="21"/>
                                <w:szCs w:val="21"/>
                              </w:rPr>
                              <w:t>2.5</w:t>
                            </w:r>
                            <w:r>
                              <w:rPr>
                                <w:rFonts w:hint="eastAsia" w:ascii="楷体_GB2312" w:eastAsia="楷体_GB2312"/>
                                <w:color w:val="000000"/>
                                <w:sz w:val="21"/>
                                <w:szCs w:val="21"/>
                              </w:rPr>
                              <w:t>万亩，产量</w:t>
                            </w:r>
                            <w:r>
                              <w:rPr>
                                <w:rFonts w:ascii="楷体_GB2312" w:eastAsia="楷体_GB2312"/>
                                <w:color w:val="000000"/>
                                <w:sz w:val="21"/>
                                <w:szCs w:val="21"/>
                              </w:rPr>
                              <w:t>1.5</w:t>
                            </w:r>
                            <w:r>
                              <w:rPr>
                                <w:rFonts w:hint="eastAsia" w:ascii="楷体_GB2312" w:eastAsia="楷体_GB2312"/>
                                <w:color w:val="000000"/>
                                <w:sz w:val="21"/>
                                <w:szCs w:val="21"/>
                              </w:rPr>
                              <w:t>万吨。到</w:t>
                            </w:r>
                            <w:r>
                              <w:rPr>
                                <w:rFonts w:ascii="楷体_GB2312" w:eastAsia="楷体_GB2312"/>
                                <w:color w:val="000000"/>
                                <w:sz w:val="21"/>
                                <w:szCs w:val="21"/>
                              </w:rPr>
                              <w:t>2020</w:t>
                            </w:r>
                            <w:r>
                              <w:rPr>
                                <w:rFonts w:hint="eastAsia" w:ascii="楷体_GB2312" w:eastAsia="楷体_GB2312"/>
                                <w:color w:val="000000"/>
                                <w:sz w:val="21"/>
                                <w:szCs w:val="21"/>
                              </w:rPr>
                              <w:t>年，全市蔬菜面积稳定在</w:t>
                            </w:r>
                            <w:r>
                              <w:rPr>
                                <w:rFonts w:ascii="楷体_GB2312" w:eastAsia="楷体_GB2312"/>
                                <w:color w:val="000000"/>
                                <w:sz w:val="21"/>
                                <w:szCs w:val="21"/>
                              </w:rPr>
                              <w:t>100</w:t>
                            </w:r>
                            <w:r>
                              <w:rPr>
                                <w:rFonts w:hint="eastAsia" w:ascii="楷体_GB2312" w:eastAsia="楷体_GB2312"/>
                                <w:color w:val="000000"/>
                                <w:sz w:val="21"/>
                                <w:szCs w:val="21"/>
                              </w:rPr>
                              <w:t>万亩，产量</w:t>
                            </w:r>
                            <w:r>
                              <w:rPr>
                                <w:rFonts w:ascii="楷体_GB2312" w:eastAsia="楷体_GB2312"/>
                                <w:color w:val="000000"/>
                                <w:sz w:val="21"/>
                                <w:szCs w:val="21"/>
                              </w:rPr>
                              <w:t>180</w:t>
                            </w:r>
                            <w:r>
                              <w:rPr>
                                <w:rFonts w:hint="eastAsia" w:ascii="楷体_GB2312" w:eastAsia="楷体_GB2312"/>
                                <w:color w:val="000000"/>
                                <w:sz w:val="21"/>
                                <w:szCs w:val="21"/>
                              </w:rPr>
                              <w:t>万吨。</w:t>
                            </w:r>
                          </w:p>
                        </w:txbxContent>
                      </wps:txbx>
                      <wps:bodyPr wrap="square" upright="1"/>
                    </wps:wsp>
                  </a:graphicData>
                </a:graphic>
              </wp:anchor>
            </w:drawing>
          </mc:Choice>
          <mc:Fallback>
            <w:pict>
              <v:shape id="文本框 2" o:spid="_x0000_s1026" o:spt="202" type="#_x0000_t202" style="position:absolute;left:0pt;margin-left:0pt;margin-top:7.2pt;height:312pt;width:441pt;mso-wrap-distance-bottom:3.6pt;mso-wrap-distance-left:9pt;mso-wrap-distance-right:9pt;mso-wrap-distance-top:3.6pt;z-index:251711488;mso-width-relative:margin;mso-height-relative:margin;" fillcolor="#FFFFFF" filled="t" stroked="t" coordsize="21600,21600" o:gfxdata="UEsDBAoAAAAAAIdO4kAAAAAAAAAAAAAAAAAEAAAAZHJzL1BLAwQUAAAACACHTuJABRAFFNYAAAAH&#10;AQAADwAAAGRycy9kb3ducmV2LnhtbE2PwU7DMBBE70j8g7VIXFDrtI1CCHF6QALBjRZUrm68TSLs&#10;dbDdtPw9ywmOM7OaeVuvz86KCUMcPClYzDMQSK03A3UK3t8eZyWImDQZbT2hgm+MsG4uL2pdGX+i&#10;DU7b1AkuoVhpBX1KYyVlbHt0Os79iMTZwQenE8vQSRP0icudlcssK6TTA/FCr0d86LH93B6dgjJ/&#10;nj7iy+p11xYHe5dubqenr6DU9dUiuweR8Jz+juEXn9GhYaa9P5KJwirgRxK7eQ6C07JcsrFXUKzK&#10;HGRTy//8zQ9QSwMEFAAAAAgAh07iQOw3BDcVAgAARgQAAA4AAABkcnMvZTJvRG9jLnhtbK1TS5LT&#10;MBDdU8UdVNoTewwZGFecqYIQNhRQNXCAjiTbqtIPSYmdC8ANWLFhz7lyDlpyJvOBRRZ4IbfUrdf9&#10;XrcW16NWZCd8kNY09GJWUiIMs1yarqFfPq+fvaIkRDAclDWioXsR6PXy6ZPF4GpR2d4qLjxBEBPq&#10;wTW0j9HVRRFYLzSEmXXCoLO1XkPEre8K7mFAdK2Kqiwvi8F67rxlIgQ8XU1OekT05wDatpVMrCzb&#10;amHihOqFgoiUQi9doMtcbdsKFj+2bRCRqIYi05hXTIL2Jq3FcgF158H1kh1LgHNKeMRJgzSY9AS1&#10;gghk6+VfUFoyb4Nt44xZXUxEsiLI4qJ8pM1ND05kLih1cCfRw/+DZR92nzyRvKHzihIDGjt++PH9&#10;8PP34dc3UiV9BhdqDLtxGBjH13bEqbk9D3iYaI+t1+mPhAj6Ud39SV0xRsLwcH5Zli9LdDH0Pb+6&#10;rF7gBvGLu+vOh/hOWE2S0VCP7cuqwu59iFPobUjKFqySfC2Vyhvfbd4oT3aArV7n74j+IEwZMjT0&#10;al7NsRDA+W1xbtDUDjUIpsv5HtwI94HL/P0LOBW2gtBPBWSEFAa1llH4bPUC+FvDSdw7lNng86Kp&#10;GC04JUrga0xWjowg1TmRqJ0yKGHq0dSLZMVxMyJMMjeW77FvA0440vu6BY85t87LrkeBcx/zZRyv&#10;3InjU0jze3+fU9w9/+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RAFFNYAAAAHAQAADwAAAAAA&#10;AAABACAAAAAiAAAAZHJzL2Rvd25yZXYueG1sUEsBAhQAFAAAAAgAh07iQOw3BDcVAgAARgQAAA4A&#10;AAAAAAAAAQAgAAAAJQEAAGRycy9lMm9Eb2MueG1sUEsFBgAAAAAGAAYAWQEAAKwFAAAAAA==&#10;">
                <v:fill on="t" focussize="0,0"/>
                <v:stroke color="#000000" joinstyle="miter"/>
                <v:imagedata o:title=""/>
                <o:lock v:ext="edit" aspectratio="f"/>
                <v:textbo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专栏13</w:t>
                      </w:r>
                    </w:p>
                    <w:p>
                      <w:pPr>
                        <w:spacing w:after="0" w:line="300" w:lineRule="exact"/>
                        <w:jc w:val="center"/>
                        <w:rPr>
                          <w:rFonts w:ascii="黑体" w:hAnsi="黑体" w:eastAsia="黑体"/>
                          <w:b/>
                          <w:sz w:val="21"/>
                          <w:szCs w:val="21"/>
                        </w:rPr>
                      </w:pPr>
                      <w:r>
                        <w:rPr>
                          <w:rFonts w:hint="eastAsia" w:ascii="黑体" w:hAnsi="黑体" w:eastAsia="黑体"/>
                          <w:b/>
                          <w:sz w:val="21"/>
                          <w:szCs w:val="21"/>
                        </w:rPr>
                        <w:t>现代农业产业基地建设工程</w:t>
                      </w:r>
                    </w:p>
                    <w:p>
                      <w:pPr>
                        <w:spacing w:after="0" w:line="300" w:lineRule="exact"/>
                        <w:ind w:firstLine="422" w:firstLineChars="200"/>
                        <w:jc w:val="both"/>
                        <w:rPr>
                          <w:rFonts w:ascii="楷体_GB2312" w:eastAsia="楷体_GB2312"/>
                          <w:sz w:val="21"/>
                          <w:szCs w:val="21"/>
                        </w:rPr>
                      </w:pPr>
                      <w:r>
                        <w:rPr>
                          <w:rFonts w:hint="eastAsia" w:ascii="楷体_GB2312" w:eastAsia="楷体_GB2312"/>
                          <w:b/>
                          <w:sz w:val="21"/>
                          <w:szCs w:val="21"/>
                        </w:rPr>
                        <w:t>畜牧业：</w:t>
                      </w:r>
                      <w:r>
                        <w:rPr>
                          <w:rFonts w:hint="eastAsia" w:ascii="楷体_GB2312" w:eastAsia="楷体_GB2312"/>
                          <w:sz w:val="21"/>
                          <w:szCs w:val="21"/>
                        </w:rPr>
                        <w:t>发展千头现代化奶牛场</w:t>
                      </w:r>
                      <w:r>
                        <w:rPr>
                          <w:rFonts w:ascii="楷体_GB2312" w:eastAsia="楷体_GB2312"/>
                          <w:sz w:val="21"/>
                          <w:szCs w:val="21"/>
                        </w:rPr>
                        <w:t>5</w:t>
                      </w:r>
                      <w:r>
                        <w:rPr>
                          <w:rFonts w:hint="eastAsia" w:ascii="楷体_GB2312" w:eastAsia="楷体_GB2312"/>
                          <w:sz w:val="21"/>
                          <w:szCs w:val="21"/>
                        </w:rPr>
                        <w:t>个、</w:t>
                      </w:r>
                      <w:r>
                        <w:rPr>
                          <w:rFonts w:ascii="楷体_GB2312" w:eastAsia="楷体_GB2312"/>
                          <w:sz w:val="21"/>
                          <w:szCs w:val="21"/>
                        </w:rPr>
                        <w:t>500</w:t>
                      </w:r>
                      <w:r>
                        <w:rPr>
                          <w:rFonts w:hint="eastAsia" w:ascii="楷体_GB2312" w:eastAsia="楷体_GB2312"/>
                          <w:sz w:val="21"/>
                          <w:szCs w:val="21"/>
                        </w:rPr>
                        <w:t>头小区（家庭奶牛场）</w:t>
                      </w:r>
                      <w:r>
                        <w:rPr>
                          <w:rFonts w:ascii="楷体_GB2312" w:eastAsia="楷体_GB2312"/>
                          <w:sz w:val="21"/>
                          <w:szCs w:val="21"/>
                        </w:rPr>
                        <w:t>15</w:t>
                      </w:r>
                      <w:r>
                        <w:rPr>
                          <w:rFonts w:hint="eastAsia" w:ascii="楷体_GB2312" w:eastAsia="楷体_GB2312"/>
                          <w:sz w:val="21"/>
                          <w:szCs w:val="21"/>
                        </w:rPr>
                        <w:t>个，建设百只以上奶山羊场</w:t>
                      </w:r>
                      <w:r>
                        <w:rPr>
                          <w:rFonts w:ascii="楷体_GB2312" w:eastAsia="楷体_GB2312"/>
                          <w:sz w:val="21"/>
                          <w:szCs w:val="21"/>
                        </w:rPr>
                        <w:t>200</w:t>
                      </w:r>
                      <w:r>
                        <w:rPr>
                          <w:rFonts w:hint="eastAsia" w:ascii="楷体_GB2312" w:eastAsia="楷体_GB2312"/>
                          <w:sz w:val="21"/>
                          <w:szCs w:val="21"/>
                        </w:rPr>
                        <w:t>个，千头肉牛村</w:t>
                      </w:r>
                      <w:r>
                        <w:rPr>
                          <w:rFonts w:ascii="楷体_GB2312" w:eastAsia="楷体_GB2312"/>
                          <w:sz w:val="21"/>
                          <w:szCs w:val="21"/>
                        </w:rPr>
                        <w:t>140</w:t>
                      </w:r>
                      <w:r>
                        <w:rPr>
                          <w:rFonts w:hint="eastAsia" w:ascii="楷体_GB2312" w:eastAsia="楷体_GB2312"/>
                          <w:sz w:val="21"/>
                          <w:szCs w:val="21"/>
                        </w:rPr>
                        <w:t>个、百头场</w:t>
                      </w:r>
                      <w:r>
                        <w:rPr>
                          <w:rFonts w:ascii="楷体_GB2312" w:eastAsia="楷体_GB2312"/>
                          <w:sz w:val="21"/>
                          <w:szCs w:val="21"/>
                        </w:rPr>
                        <w:t>1300</w:t>
                      </w:r>
                      <w:r>
                        <w:rPr>
                          <w:rFonts w:hint="eastAsia" w:ascii="楷体_GB2312" w:eastAsia="楷体_GB2312"/>
                          <w:sz w:val="21"/>
                          <w:szCs w:val="21"/>
                        </w:rPr>
                        <w:t>个，千只肉羊村</w:t>
                      </w:r>
                      <w:r>
                        <w:rPr>
                          <w:rFonts w:ascii="楷体_GB2312" w:eastAsia="楷体_GB2312"/>
                          <w:sz w:val="21"/>
                          <w:szCs w:val="21"/>
                        </w:rPr>
                        <w:t>250</w:t>
                      </w:r>
                      <w:r>
                        <w:rPr>
                          <w:rFonts w:hint="eastAsia" w:ascii="楷体_GB2312" w:eastAsia="楷体_GB2312"/>
                          <w:sz w:val="21"/>
                          <w:szCs w:val="21"/>
                        </w:rPr>
                        <w:t>个、</w:t>
                      </w:r>
                      <w:r>
                        <w:rPr>
                          <w:rFonts w:ascii="楷体_GB2312" w:eastAsia="楷体_GB2312"/>
                          <w:sz w:val="21"/>
                          <w:szCs w:val="21"/>
                        </w:rPr>
                        <w:t>200</w:t>
                      </w:r>
                      <w:r>
                        <w:rPr>
                          <w:rFonts w:hint="eastAsia" w:ascii="楷体_GB2312" w:eastAsia="楷体_GB2312"/>
                          <w:sz w:val="21"/>
                          <w:szCs w:val="21"/>
                        </w:rPr>
                        <w:t>只场</w:t>
                      </w:r>
                      <w:r>
                        <w:rPr>
                          <w:rFonts w:ascii="楷体_GB2312" w:eastAsia="楷体_GB2312"/>
                          <w:sz w:val="21"/>
                          <w:szCs w:val="21"/>
                        </w:rPr>
                        <w:t>1500</w:t>
                      </w:r>
                      <w:r>
                        <w:rPr>
                          <w:rFonts w:hint="eastAsia" w:ascii="楷体_GB2312" w:eastAsia="楷体_GB2312"/>
                          <w:sz w:val="21"/>
                          <w:szCs w:val="21"/>
                        </w:rPr>
                        <w:t>个。</w:t>
                      </w:r>
                      <w:r>
                        <w:rPr>
                          <w:rFonts w:hint="eastAsia" w:ascii="楷体_GB2312" w:eastAsia="楷体_GB2312"/>
                          <w:b/>
                          <w:sz w:val="21"/>
                          <w:szCs w:val="21"/>
                        </w:rPr>
                        <w:t>到</w:t>
                      </w:r>
                      <w:r>
                        <w:rPr>
                          <w:rFonts w:ascii="楷体_GB2312" w:eastAsia="楷体_GB2312"/>
                          <w:b/>
                          <w:sz w:val="21"/>
                          <w:szCs w:val="21"/>
                        </w:rPr>
                        <w:t>2020</w:t>
                      </w:r>
                      <w:r>
                        <w:rPr>
                          <w:rFonts w:hint="eastAsia" w:ascii="楷体_GB2312" w:eastAsia="楷体_GB2312"/>
                          <w:b/>
                          <w:sz w:val="21"/>
                          <w:szCs w:val="21"/>
                        </w:rPr>
                        <w:t>年，家畜（禽）全市存栏量达到</w:t>
                      </w:r>
                      <w:r>
                        <w:rPr>
                          <w:rFonts w:ascii="楷体_GB2312" w:eastAsia="楷体_GB2312"/>
                          <w:b/>
                          <w:sz w:val="21"/>
                          <w:szCs w:val="21"/>
                        </w:rPr>
                        <w:t>5470</w:t>
                      </w:r>
                      <w:r>
                        <w:rPr>
                          <w:rFonts w:hint="eastAsia" w:ascii="楷体_GB2312" w:eastAsia="楷体_GB2312"/>
                          <w:b/>
                          <w:sz w:val="21"/>
                          <w:szCs w:val="21"/>
                        </w:rPr>
                        <w:t>万头（只）</w:t>
                      </w:r>
                      <w:r>
                        <w:rPr>
                          <w:rFonts w:hint="eastAsia" w:ascii="楷体_GB2312" w:eastAsia="楷体_GB2312"/>
                          <w:sz w:val="21"/>
                          <w:szCs w:val="21"/>
                        </w:rPr>
                        <w:t>（其中：奶牛</w:t>
                      </w:r>
                      <w:r>
                        <w:rPr>
                          <w:rFonts w:ascii="楷体_GB2312" w:eastAsia="楷体_GB2312"/>
                          <w:sz w:val="21"/>
                          <w:szCs w:val="21"/>
                        </w:rPr>
                        <w:t>25</w:t>
                      </w:r>
                      <w:r>
                        <w:rPr>
                          <w:rFonts w:hint="eastAsia" w:ascii="楷体_GB2312" w:eastAsia="楷体_GB2312"/>
                          <w:sz w:val="21"/>
                          <w:szCs w:val="21"/>
                        </w:rPr>
                        <w:t>万头、肉牛</w:t>
                      </w:r>
                      <w:r>
                        <w:rPr>
                          <w:rFonts w:ascii="楷体_GB2312" w:eastAsia="楷体_GB2312"/>
                          <w:sz w:val="21"/>
                          <w:szCs w:val="21"/>
                        </w:rPr>
                        <w:t>45</w:t>
                      </w:r>
                      <w:r>
                        <w:rPr>
                          <w:rFonts w:hint="eastAsia" w:ascii="楷体_GB2312" w:eastAsia="楷体_GB2312"/>
                          <w:sz w:val="21"/>
                          <w:szCs w:val="21"/>
                        </w:rPr>
                        <w:t>万头、奶山羊</w:t>
                      </w:r>
                      <w:r>
                        <w:rPr>
                          <w:rFonts w:ascii="楷体_GB2312" w:eastAsia="楷体_GB2312"/>
                          <w:sz w:val="21"/>
                          <w:szCs w:val="21"/>
                        </w:rPr>
                        <w:t>50</w:t>
                      </w:r>
                      <w:r>
                        <w:rPr>
                          <w:rFonts w:hint="eastAsia" w:ascii="楷体_GB2312" w:eastAsia="楷体_GB2312"/>
                          <w:sz w:val="21"/>
                          <w:szCs w:val="21"/>
                        </w:rPr>
                        <w:t>万只、肉羊</w:t>
                      </w:r>
                      <w:r>
                        <w:rPr>
                          <w:rFonts w:ascii="楷体_GB2312" w:eastAsia="楷体_GB2312"/>
                          <w:sz w:val="21"/>
                          <w:szCs w:val="21"/>
                        </w:rPr>
                        <w:t>50</w:t>
                      </w:r>
                      <w:r>
                        <w:rPr>
                          <w:rFonts w:hint="eastAsia" w:ascii="楷体_GB2312" w:eastAsia="楷体_GB2312"/>
                          <w:sz w:val="21"/>
                          <w:szCs w:val="21"/>
                        </w:rPr>
                        <w:t>万只、年出栏生猪</w:t>
                      </w:r>
                      <w:r>
                        <w:rPr>
                          <w:rFonts w:ascii="楷体_GB2312" w:eastAsia="楷体_GB2312"/>
                          <w:sz w:val="21"/>
                          <w:szCs w:val="21"/>
                        </w:rPr>
                        <w:t>300</w:t>
                      </w:r>
                      <w:r>
                        <w:rPr>
                          <w:rFonts w:hint="eastAsia" w:ascii="楷体_GB2312" w:eastAsia="楷体_GB2312"/>
                          <w:sz w:val="21"/>
                          <w:szCs w:val="21"/>
                        </w:rPr>
                        <w:t>万头、商品肉鸡</w:t>
                      </w:r>
                      <w:r>
                        <w:rPr>
                          <w:rFonts w:ascii="楷体_GB2312" w:eastAsia="楷体_GB2312"/>
                          <w:sz w:val="21"/>
                          <w:szCs w:val="21"/>
                        </w:rPr>
                        <w:t>5000</w:t>
                      </w:r>
                      <w:r>
                        <w:rPr>
                          <w:rFonts w:hint="eastAsia" w:ascii="楷体_GB2312" w:eastAsia="楷体_GB2312"/>
                          <w:sz w:val="21"/>
                          <w:szCs w:val="21"/>
                        </w:rPr>
                        <w:t>万只）。以中峰养殖为主，重点发展一批存栏</w:t>
                      </w:r>
                      <w:r>
                        <w:rPr>
                          <w:rFonts w:ascii="楷体_GB2312" w:eastAsia="楷体_GB2312"/>
                          <w:sz w:val="21"/>
                          <w:szCs w:val="21"/>
                        </w:rPr>
                        <w:t>50</w:t>
                      </w:r>
                      <w:r>
                        <w:rPr>
                          <w:rFonts w:hint="eastAsia" w:ascii="楷体_GB2312" w:eastAsia="楷体_GB2312"/>
                          <w:sz w:val="21"/>
                          <w:szCs w:val="21"/>
                        </w:rPr>
                        <w:t>箱以上的适度规模养殖大户，</w:t>
                      </w:r>
                      <w:r>
                        <w:rPr>
                          <w:rFonts w:hint="eastAsia" w:ascii="楷体_GB2312" w:eastAsia="楷体_GB2312"/>
                          <w:b/>
                          <w:sz w:val="21"/>
                          <w:szCs w:val="21"/>
                        </w:rPr>
                        <w:t>中蜂数量发展到</w:t>
                      </w:r>
                      <w:r>
                        <w:rPr>
                          <w:rFonts w:ascii="楷体_GB2312" w:eastAsia="楷体_GB2312"/>
                          <w:b/>
                          <w:sz w:val="21"/>
                          <w:szCs w:val="21"/>
                        </w:rPr>
                        <w:t>50</w:t>
                      </w:r>
                      <w:r>
                        <w:rPr>
                          <w:rFonts w:hint="eastAsia" w:ascii="楷体_GB2312" w:eastAsia="楷体_GB2312"/>
                          <w:b/>
                          <w:sz w:val="21"/>
                          <w:szCs w:val="21"/>
                        </w:rPr>
                        <w:t>万群，</w:t>
                      </w:r>
                      <w:r>
                        <w:rPr>
                          <w:rFonts w:hint="eastAsia" w:ascii="楷体_GB2312" w:eastAsia="楷体_GB2312"/>
                          <w:sz w:val="21"/>
                          <w:szCs w:val="21"/>
                        </w:rPr>
                        <w:t>蜂蜜产量</w:t>
                      </w:r>
                      <w:r>
                        <w:rPr>
                          <w:rFonts w:ascii="楷体_GB2312" w:eastAsia="楷体_GB2312"/>
                          <w:sz w:val="21"/>
                          <w:szCs w:val="21"/>
                        </w:rPr>
                        <w:t>1</w:t>
                      </w:r>
                      <w:r>
                        <w:rPr>
                          <w:rFonts w:hint="eastAsia" w:ascii="楷体_GB2312" w:eastAsia="楷体_GB2312"/>
                          <w:sz w:val="21"/>
                          <w:szCs w:val="21"/>
                        </w:rPr>
                        <w:t>万吨；过境蜂农达到</w:t>
                      </w:r>
                      <w:r>
                        <w:rPr>
                          <w:rFonts w:ascii="楷体_GB2312" w:eastAsia="楷体_GB2312"/>
                          <w:sz w:val="21"/>
                          <w:szCs w:val="21"/>
                        </w:rPr>
                        <w:t>0.5</w:t>
                      </w:r>
                      <w:r>
                        <w:rPr>
                          <w:rFonts w:hint="eastAsia" w:ascii="楷体_GB2312" w:eastAsia="楷体_GB2312"/>
                          <w:sz w:val="21"/>
                          <w:szCs w:val="21"/>
                        </w:rPr>
                        <w:t>万户、蜂群</w:t>
                      </w:r>
                      <w:r>
                        <w:rPr>
                          <w:rFonts w:ascii="楷体_GB2312" w:eastAsia="楷体_GB2312"/>
                          <w:sz w:val="21"/>
                          <w:szCs w:val="21"/>
                        </w:rPr>
                        <w:t>60</w:t>
                      </w:r>
                      <w:r>
                        <w:rPr>
                          <w:rFonts w:hint="eastAsia" w:ascii="楷体_GB2312" w:eastAsia="楷体_GB2312"/>
                          <w:sz w:val="21"/>
                          <w:szCs w:val="21"/>
                        </w:rPr>
                        <w:t>万群，年产蜂蜜</w:t>
                      </w:r>
                      <w:r>
                        <w:rPr>
                          <w:rFonts w:ascii="楷体_GB2312" w:eastAsia="楷体_GB2312"/>
                          <w:sz w:val="21"/>
                          <w:szCs w:val="21"/>
                        </w:rPr>
                        <w:t>1</w:t>
                      </w:r>
                      <w:r>
                        <w:rPr>
                          <w:rFonts w:hint="eastAsia" w:ascii="楷体_GB2312" w:eastAsia="楷体_GB2312"/>
                          <w:sz w:val="21"/>
                          <w:szCs w:val="21"/>
                        </w:rPr>
                        <w:t>.</w:t>
                      </w:r>
                      <w:r>
                        <w:rPr>
                          <w:rFonts w:ascii="楷体_GB2312" w:eastAsia="楷体_GB2312"/>
                          <w:sz w:val="21"/>
                          <w:szCs w:val="21"/>
                        </w:rPr>
                        <w:t>2</w:t>
                      </w:r>
                      <w:r>
                        <w:rPr>
                          <w:rFonts w:hint="eastAsia" w:ascii="楷体_GB2312" w:eastAsia="楷体_GB2312"/>
                          <w:sz w:val="21"/>
                          <w:szCs w:val="21"/>
                        </w:rPr>
                        <w:t>万吨。</w:t>
                      </w:r>
                    </w:p>
                    <w:p>
                      <w:pPr>
                        <w:spacing w:after="0" w:line="300" w:lineRule="exact"/>
                        <w:ind w:firstLine="422" w:firstLineChars="200"/>
                        <w:jc w:val="both"/>
                        <w:rPr>
                          <w:rFonts w:hint="eastAsia" w:ascii="楷体_GB2312" w:eastAsia="楷体_GB2312"/>
                          <w:color w:val="000000"/>
                          <w:sz w:val="21"/>
                          <w:szCs w:val="21"/>
                        </w:rPr>
                      </w:pPr>
                      <w:r>
                        <w:rPr>
                          <w:rFonts w:hint="eastAsia" w:ascii="楷体_GB2312" w:eastAsia="楷体_GB2312"/>
                          <w:b/>
                          <w:sz w:val="21"/>
                          <w:szCs w:val="21"/>
                        </w:rPr>
                        <w:t>粮食生产：</w:t>
                      </w:r>
                      <w:r>
                        <w:rPr>
                          <w:rFonts w:hint="eastAsia" w:ascii="楷体_GB2312" w:eastAsia="楷体_GB2312"/>
                          <w:sz w:val="21"/>
                          <w:szCs w:val="21"/>
                        </w:rPr>
                        <w:t>扩大山区地膜、川塬高产玉米和优质小麦面积，增加南北二山和渭北旱塬名优杂粮种植规摸。发展优质小麦</w:t>
                      </w:r>
                      <w:r>
                        <w:rPr>
                          <w:rFonts w:ascii="楷体_GB2312" w:eastAsia="楷体_GB2312"/>
                          <w:sz w:val="21"/>
                          <w:szCs w:val="21"/>
                        </w:rPr>
                        <w:t>230</w:t>
                      </w:r>
                      <w:r>
                        <w:rPr>
                          <w:rFonts w:hint="eastAsia" w:ascii="楷体_GB2312" w:eastAsia="楷体_GB2312"/>
                          <w:sz w:val="21"/>
                          <w:szCs w:val="21"/>
                        </w:rPr>
                        <w:t>万亩，产量</w:t>
                      </w:r>
                      <w:r>
                        <w:rPr>
                          <w:rFonts w:ascii="楷体_GB2312" w:eastAsia="楷体_GB2312"/>
                          <w:sz w:val="21"/>
                          <w:szCs w:val="21"/>
                        </w:rPr>
                        <w:t>68</w:t>
                      </w:r>
                      <w:r>
                        <w:rPr>
                          <w:rFonts w:hint="eastAsia" w:ascii="楷体_GB2312" w:eastAsia="楷体_GB2312"/>
                          <w:sz w:val="21"/>
                          <w:szCs w:val="21"/>
                        </w:rPr>
                        <w:t>万吨；发展高蛋白、高淀粉、高油、高赖氨酸等优质专用玉米</w:t>
                      </w:r>
                      <w:r>
                        <w:rPr>
                          <w:rFonts w:ascii="楷体_GB2312" w:eastAsia="楷体_GB2312"/>
                          <w:sz w:val="21"/>
                          <w:szCs w:val="21"/>
                        </w:rPr>
                        <w:t>160</w:t>
                      </w:r>
                      <w:r>
                        <w:rPr>
                          <w:rFonts w:hint="eastAsia" w:ascii="楷体_GB2312" w:eastAsia="楷体_GB2312"/>
                          <w:sz w:val="21"/>
                          <w:szCs w:val="21"/>
                        </w:rPr>
                        <w:t>万亩，产量</w:t>
                      </w:r>
                      <w:r>
                        <w:rPr>
                          <w:rFonts w:ascii="楷体_GB2312" w:eastAsia="楷体_GB2312"/>
                          <w:color w:val="000000"/>
                          <w:sz w:val="21"/>
                          <w:szCs w:val="21"/>
                        </w:rPr>
                        <w:t>54</w:t>
                      </w:r>
                      <w:r>
                        <w:rPr>
                          <w:rFonts w:hint="eastAsia" w:ascii="楷体_GB2312" w:eastAsia="楷体_GB2312"/>
                          <w:color w:val="000000"/>
                          <w:sz w:val="21"/>
                          <w:szCs w:val="21"/>
                        </w:rPr>
                        <w:t>万吨；发展豆类、糜谷、薯类、荞麦等杂粮</w:t>
                      </w:r>
                      <w:r>
                        <w:rPr>
                          <w:rFonts w:ascii="楷体_GB2312" w:eastAsia="楷体_GB2312"/>
                          <w:color w:val="000000"/>
                          <w:sz w:val="21"/>
                          <w:szCs w:val="21"/>
                        </w:rPr>
                        <w:t>20</w:t>
                      </w:r>
                      <w:r>
                        <w:rPr>
                          <w:rFonts w:hint="eastAsia" w:ascii="楷体_GB2312" w:eastAsia="楷体_GB2312"/>
                          <w:color w:val="000000"/>
                          <w:sz w:val="21"/>
                          <w:szCs w:val="21"/>
                        </w:rPr>
                        <w:t>万亩，产量</w:t>
                      </w:r>
                      <w:r>
                        <w:rPr>
                          <w:rFonts w:ascii="楷体_GB2312" w:eastAsia="楷体_GB2312"/>
                          <w:color w:val="000000"/>
                          <w:sz w:val="21"/>
                          <w:szCs w:val="21"/>
                        </w:rPr>
                        <w:t>3</w:t>
                      </w:r>
                      <w:r>
                        <w:rPr>
                          <w:rFonts w:hint="eastAsia" w:ascii="楷体_GB2312" w:eastAsia="楷体_GB2312"/>
                          <w:color w:val="000000"/>
                          <w:sz w:val="21"/>
                          <w:szCs w:val="21"/>
                        </w:rPr>
                        <w:t>万吨。全市粮食面积稳定在</w:t>
                      </w:r>
                      <w:r>
                        <w:rPr>
                          <w:rFonts w:ascii="楷体_GB2312" w:eastAsia="楷体_GB2312"/>
                          <w:color w:val="000000"/>
                          <w:sz w:val="21"/>
                          <w:szCs w:val="21"/>
                        </w:rPr>
                        <w:t>500</w:t>
                      </w:r>
                      <w:r>
                        <w:rPr>
                          <w:rFonts w:hint="eastAsia" w:ascii="楷体_GB2312" w:eastAsia="楷体_GB2312"/>
                          <w:color w:val="000000"/>
                          <w:sz w:val="21"/>
                          <w:szCs w:val="21"/>
                        </w:rPr>
                        <w:t>万亩，总产</w:t>
                      </w:r>
                      <w:r>
                        <w:rPr>
                          <w:rFonts w:ascii="楷体_GB2312" w:eastAsia="楷体_GB2312"/>
                          <w:color w:val="000000"/>
                          <w:sz w:val="21"/>
                          <w:szCs w:val="21"/>
                        </w:rPr>
                        <w:t>145</w:t>
                      </w:r>
                      <w:r>
                        <w:rPr>
                          <w:rFonts w:hint="eastAsia" w:ascii="楷体_GB2312" w:eastAsia="楷体_GB2312"/>
                          <w:color w:val="000000"/>
                          <w:sz w:val="21"/>
                          <w:szCs w:val="21"/>
                        </w:rPr>
                        <w:t>万吨以上。其中，优质粮面积达到</w:t>
                      </w:r>
                      <w:r>
                        <w:rPr>
                          <w:rFonts w:ascii="楷体_GB2312" w:eastAsia="楷体_GB2312"/>
                          <w:color w:val="000000"/>
                          <w:sz w:val="21"/>
                          <w:szCs w:val="21"/>
                        </w:rPr>
                        <w:t>410</w:t>
                      </w:r>
                      <w:r>
                        <w:rPr>
                          <w:rFonts w:hint="eastAsia" w:ascii="楷体_GB2312" w:eastAsia="楷体_GB2312"/>
                          <w:color w:val="000000"/>
                          <w:sz w:val="21"/>
                          <w:szCs w:val="21"/>
                        </w:rPr>
                        <w:t>万亩，产量达到</w:t>
                      </w:r>
                      <w:r>
                        <w:rPr>
                          <w:rFonts w:ascii="楷体_GB2312" w:eastAsia="楷体_GB2312"/>
                          <w:color w:val="000000"/>
                          <w:sz w:val="21"/>
                          <w:szCs w:val="21"/>
                        </w:rPr>
                        <w:t>125</w:t>
                      </w:r>
                      <w:r>
                        <w:rPr>
                          <w:rFonts w:hint="eastAsia" w:ascii="楷体_GB2312" w:eastAsia="楷体_GB2312"/>
                          <w:color w:val="000000"/>
                          <w:sz w:val="21"/>
                          <w:szCs w:val="21"/>
                        </w:rPr>
                        <w:t>万吨。</w:t>
                      </w:r>
                    </w:p>
                    <w:p>
                      <w:pPr>
                        <w:spacing w:after="0" w:line="300" w:lineRule="exact"/>
                        <w:ind w:firstLine="422" w:firstLineChars="200"/>
                        <w:jc w:val="both"/>
                        <w:rPr>
                          <w:rFonts w:hint="eastAsia" w:ascii="楷体_GB2312" w:eastAsia="楷体_GB2312"/>
                          <w:color w:val="000000"/>
                          <w:sz w:val="21"/>
                          <w:szCs w:val="21"/>
                        </w:rPr>
                      </w:pPr>
                      <w:r>
                        <w:rPr>
                          <w:rFonts w:hint="eastAsia" w:ascii="楷体_GB2312" w:eastAsia="楷体_GB2312"/>
                          <w:b/>
                          <w:color w:val="000000"/>
                          <w:sz w:val="21"/>
                          <w:szCs w:val="21"/>
                        </w:rPr>
                        <w:t>果品生产：</w:t>
                      </w:r>
                      <w:r>
                        <w:rPr>
                          <w:rFonts w:hint="eastAsia" w:ascii="楷体_GB2312" w:eastAsia="楷体_GB2312"/>
                          <w:color w:val="000000"/>
                          <w:sz w:val="21"/>
                          <w:szCs w:val="21"/>
                        </w:rPr>
                        <w:t>打造全国一流、高标准高效益矮砧苹果集约高效栽培示范区</w:t>
                      </w:r>
                      <w:r>
                        <w:rPr>
                          <w:rFonts w:ascii="楷体_GB2312" w:eastAsia="楷体_GB2312"/>
                          <w:color w:val="000000"/>
                          <w:sz w:val="21"/>
                          <w:szCs w:val="21"/>
                        </w:rPr>
                        <w:t>40</w:t>
                      </w:r>
                      <w:r>
                        <w:rPr>
                          <w:rFonts w:hint="eastAsia" w:ascii="楷体_GB2312" w:eastAsia="楷体_GB2312"/>
                          <w:color w:val="000000"/>
                          <w:sz w:val="21"/>
                          <w:szCs w:val="21"/>
                        </w:rPr>
                        <w:t>万亩；新建高标准猕猴桃果园</w:t>
                      </w:r>
                      <w:r>
                        <w:rPr>
                          <w:rFonts w:ascii="楷体_GB2312" w:eastAsia="楷体_GB2312"/>
                          <w:color w:val="000000"/>
                          <w:sz w:val="21"/>
                          <w:szCs w:val="21"/>
                        </w:rPr>
                        <w:t>10</w:t>
                      </w:r>
                      <w:r>
                        <w:rPr>
                          <w:rFonts w:hint="eastAsia" w:ascii="楷体_GB2312" w:eastAsia="楷体_GB2312"/>
                          <w:color w:val="000000"/>
                          <w:sz w:val="21"/>
                          <w:szCs w:val="21"/>
                        </w:rPr>
                        <w:t>万亩；新建葡萄、樱桃、桃等时令杂果果园</w:t>
                      </w:r>
                      <w:r>
                        <w:rPr>
                          <w:rFonts w:ascii="楷体_GB2312" w:eastAsia="楷体_GB2312"/>
                          <w:color w:val="000000"/>
                          <w:sz w:val="21"/>
                          <w:szCs w:val="21"/>
                        </w:rPr>
                        <w:t>8</w:t>
                      </w:r>
                      <w:r>
                        <w:rPr>
                          <w:rFonts w:hint="eastAsia" w:ascii="楷体_GB2312" w:eastAsia="楷体_GB2312"/>
                          <w:color w:val="000000"/>
                          <w:sz w:val="21"/>
                          <w:szCs w:val="21"/>
                        </w:rPr>
                        <w:t>万亩。建设60万亩南山西山（凤县、陈仓区）花椒产业带、200万亩关山乔山（陇县、千阳）核桃产业带。到</w:t>
                      </w:r>
                      <w:r>
                        <w:rPr>
                          <w:rFonts w:ascii="楷体_GB2312" w:eastAsia="楷体_GB2312"/>
                          <w:color w:val="000000"/>
                          <w:sz w:val="21"/>
                          <w:szCs w:val="21"/>
                        </w:rPr>
                        <w:t>2020</w:t>
                      </w:r>
                      <w:r>
                        <w:rPr>
                          <w:rFonts w:hint="eastAsia" w:ascii="楷体_GB2312" w:eastAsia="楷体_GB2312"/>
                          <w:color w:val="000000"/>
                          <w:sz w:val="21"/>
                          <w:szCs w:val="21"/>
                        </w:rPr>
                        <w:t>年，全市果品面积达到</w:t>
                      </w:r>
                      <w:r>
                        <w:rPr>
                          <w:rFonts w:ascii="楷体_GB2312" w:eastAsia="楷体_GB2312"/>
                          <w:color w:val="000000"/>
                          <w:sz w:val="21"/>
                          <w:szCs w:val="21"/>
                        </w:rPr>
                        <w:t>230</w:t>
                      </w:r>
                      <w:r>
                        <w:rPr>
                          <w:rFonts w:hint="eastAsia" w:ascii="楷体_GB2312" w:eastAsia="楷体_GB2312"/>
                          <w:color w:val="000000"/>
                          <w:sz w:val="21"/>
                          <w:szCs w:val="21"/>
                        </w:rPr>
                        <w:t>万亩，产量</w:t>
                      </w:r>
                      <w:r>
                        <w:rPr>
                          <w:rFonts w:ascii="楷体_GB2312" w:eastAsia="楷体_GB2312"/>
                          <w:color w:val="000000"/>
                          <w:sz w:val="21"/>
                          <w:szCs w:val="21"/>
                        </w:rPr>
                        <w:t>280</w:t>
                      </w:r>
                      <w:r>
                        <w:rPr>
                          <w:rFonts w:hint="eastAsia" w:ascii="楷体_GB2312" w:eastAsia="楷体_GB2312"/>
                          <w:color w:val="000000"/>
                          <w:sz w:val="21"/>
                          <w:szCs w:val="21"/>
                        </w:rPr>
                        <w:t>万吨。</w:t>
                      </w:r>
                    </w:p>
                    <w:p>
                      <w:pPr>
                        <w:spacing w:after="0" w:line="300" w:lineRule="exact"/>
                        <w:ind w:firstLine="422" w:firstLineChars="200"/>
                        <w:jc w:val="both"/>
                        <w:rPr>
                          <w:color w:val="000000"/>
                        </w:rPr>
                      </w:pPr>
                      <w:r>
                        <w:rPr>
                          <w:rFonts w:hint="eastAsia" w:ascii="楷体_GB2312" w:eastAsia="楷体_GB2312"/>
                          <w:b/>
                          <w:color w:val="000000"/>
                          <w:sz w:val="21"/>
                          <w:szCs w:val="21"/>
                        </w:rPr>
                        <w:t>蔬菜生产</w:t>
                      </w:r>
                      <w:r>
                        <w:rPr>
                          <w:rFonts w:ascii="楷体_GB2312" w:eastAsia="楷体_GB2312"/>
                          <w:b/>
                          <w:color w:val="000000"/>
                          <w:sz w:val="21"/>
                          <w:szCs w:val="21"/>
                        </w:rPr>
                        <w:t>:</w:t>
                      </w:r>
                      <w:r>
                        <w:rPr>
                          <w:rFonts w:hint="eastAsia" w:ascii="楷体_GB2312" w:eastAsia="楷体_GB2312"/>
                          <w:color w:val="000000"/>
                          <w:sz w:val="21"/>
                          <w:szCs w:val="21"/>
                        </w:rPr>
                        <w:t>建成全省最大的秦岭高山补淡蔬菜基地</w:t>
                      </w:r>
                      <w:r>
                        <w:rPr>
                          <w:rFonts w:ascii="楷体_GB2312" w:eastAsia="楷体_GB2312"/>
                          <w:color w:val="000000"/>
                          <w:sz w:val="21"/>
                          <w:szCs w:val="21"/>
                        </w:rPr>
                        <w:t>20</w:t>
                      </w:r>
                      <w:r>
                        <w:rPr>
                          <w:rFonts w:hint="eastAsia" w:ascii="楷体_GB2312" w:eastAsia="楷体_GB2312"/>
                          <w:color w:val="000000"/>
                          <w:sz w:val="21"/>
                          <w:szCs w:val="21"/>
                        </w:rPr>
                        <w:t>万亩，产量</w:t>
                      </w:r>
                      <w:r>
                        <w:rPr>
                          <w:rFonts w:ascii="楷体_GB2312" w:eastAsia="楷体_GB2312"/>
                          <w:color w:val="000000"/>
                          <w:sz w:val="21"/>
                          <w:szCs w:val="21"/>
                        </w:rPr>
                        <w:t>40</w:t>
                      </w:r>
                      <w:r>
                        <w:rPr>
                          <w:rFonts w:hint="eastAsia" w:ascii="楷体_GB2312" w:eastAsia="楷体_GB2312"/>
                          <w:color w:val="000000"/>
                          <w:sz w:val="21"/>
                          <w:szCs w:val="21"/>
                        </w:rPr>
                        <w:t>万吨；设施蔬菜累计达到</w:t>
                      </w:r>
                      <w:r>
                        <w:rPr>
                          <w:rFonts w:ascii="楷体_GB2312" w:eastAsia="楷体_GB2312"/>
                          <w:color w:val="000000"/>
                          <w:sz w:val="21"/>
                          <w:szCs w:val="21"/>
                        </w:rPr>
                        <w:t>27</w:t>
                      </w:r>
                      <w:r>
                        <w:rPr>
                          <w:rFonts w:hint="eastAsia" w:ascii="楷体_GB2312" w:eastAsia="楷体_GB2312"/>
                          <w:color w:val="000000"/>
                          <w:sz w:val="21"/>
                          <w:szCs w:val="21"/>
                        </w:rPr>
                        <w:t>万亩，产量</w:t>
                      </w:r>
                      <w:r>
                        <w:rPr>
                          <w:rFonts w:ascii="楷体_GB2312" w:eastAsia="楷体_GB2312"/>
                          <w:color w:val="000000"/>
                          <w:sz w:val="21"/>
                          <w:szCs w:val="21"/>
                        </w:rPr>
                        <w:t>90</w:t>
                      </w:r>
                      <w:r>
                        <w:rPr>
                          <w:rFonts w:hint="eastAsia" w:ascii="楷体_GB2312" w:eastAsia="楷体_GB2312"/>
                          <w:color w:val="000000"/>
                          <w:sz w:val="21"/>
                          <w:szCs w:val="21"/>
                        </w:rPr>
                        <w:t>万吨；发展莓类种植</w:t>
                      </w:r>
                      <w:r>
                        <w:rPr>
                          <w:rFonts w:ascii="楷体_GB2312" w:eastAsia="楷体_GB2312"/>
                          <w:color w:val="000000"/>
                          <w:sz w:val="21"/>
                          <w:szCs w:val="21"/>
                        </w:rPr>
                        <w:t>2.5</w:t>
                      </w:r>
                      <w:r>
                        <w:rPr>
                          <w:rFonts w:hint="eastAsia" w:ascii="楷体_GB2312" w:eastAsia="楷体_GB2312"/>
                          <w:color w:val="000000"/>
                          <w:sz w:val="21"/>
                          <w:szCs w:val="21"/>
                        </w:rPr>
                        <w:t>万亩，产量</w:t>
                      </w:r>
                      <w:r>
                        <w:rPr>
                          <w:rFonts w:ascii="楷体_GB2312" w:eastAsia="楷体_GB2312"/>
                          <w:color w:val="000000"/>
                          <w:sz w:val="21"/>
                          <w:szCs w:val="21"/>
                        </w:rPr>
                        <w:t>1.5</w:t>
                      </w:r>
                      <w:r>
                        <w:rPr>
                          <w:rFonts w:hint="eastAsia" w:ascii="楷体_GB2312" w:eastAsia="楷体_GB2312"/>
                          <w:color w:val="000000"/>
                          <w:sz w:val="21"/>
                          <w:szCs w:val="21"/>
                        </w:rPr>
                        <w:t>万吨。到</w:t>
                      </w:r>
                      <w:r>
                        <w:rPr>
                          <w:rFonts w:ascii="楷体_GB2312" w:eastAsia="楷体_GB2312"/>
                          <w:color w:val="000000"/>
                          <w:sz w:val="21"/>
                          <w:szCs w:val="21"/>
                        </w:rPr>
                        <w:t>2020</w:t>
                      </w:r>
                      <w:r>
                        <w:rPr>
                          <w:rFonts w:hint="eastAsia" w:ascii="楷体_GB2312" w:eastAsia="楷体_GB2312"/>
                          <w:color w:val="000000"/>
                          <w:sz w:val="21"/>
                          <w:szCs w:val="21"/>
                        </w:rPr>
                        <w:t>年，全市蔬菜面积稳定在</w:t>
                      </w:r>
                      <w:r>
                        <w:rPr>
                          <w:rFonts w:ascii="楷体_GB2312" w:eastAsia="楷体_GB2312"/>
                          <w:color w:val="000000"/>
                          <w:sz w:val="21"/>
                          <w:szCs w:val="21"/>
                        </w:rPr>
                        <w:t>100</w:t>
                      </w:r>
                      <w:r>
                        <w:rPr>
                          <w:rFonts w:hint="eastAsia" w:ascii="楷体_GB2312" w:eastAsia="楷体_GB2312"/>
                          <w:color w:val="000000"/>
                          <w:sz w:val="21"/>
                          <w:szCs w:val="21"/>
                        </w:rPr>
                        <w:t>万亩，产量</w:t>
                      </w:r>
                      <w:r>
                        <w:rPr>
                          <w:rFonts w:ascii="楷体_GB2312" w:eastAsia="楷体_GB2312"/>
                          <w:color w:val="000000"/>
                          <w:sz w:val="21"/>
                          <w:szCs w:val="21"/>
                        </w:rPr>
                        <w:t>180</w:t>
                      </w:r>
                      <w:r>
                        <w:rPr>
                          <w:rFonts w:hint="eastAsia" w:ascii="楷体_GB2312" w:eastAsia="楷体_GB2312"/>
                          <w:color w:val="000000"/>
                          <w:sz w:val="21"/>
                          <w:szCs w:val="21"/>
                        </w:rPr>
                        <w:t>万吨。</w:t>
                      </w:r>
                    </w:p>
                  </w:txbxContent>
                </v:textbox>
                <w10:wrap type="square"/>
              </v:shape>
            </w:pict>
          </mc:Fallback>
        </mc:AlternateContent>
      </w:r>
    </w:p>
    <w:p>
      <w:pPr>
        <w:widowControl w:val="0"/>
        <w:pBdr>
          <w:bottom w:val="single" w:color="FFFFFF" w:sz="4" w:space="31"/>
        </w:pBdr>
        <w:topLinePunct/>
        <w:spacing w:after="0" w:line="600" w:lineRule="exact"/>
        <w:jc w:val="center"/>
        <w:rPr>
          <w:rFonts w:ascii="楷体_GB2312" w:hAnsi="华文中宋" w:eastAsia="楷体_GB2312"/>
          <w:b/>
          <w:sz w:val="32"/>
          <w:szCs w:val="32"/>
        </w:rPr>
      </w:pPr>
    </w:p>
    <w:p>
      <w:pPr>
        <w:widowControl w:val="0"/>
        <w:pBdr>
          <w:bottom w:val="single" w:color="FFFFFF" w:sz="4" w:space="31"/>
        </w:pBdr>
        <w:topLinePunct/>
        <w:spacing w:after="0" w:line="600" w:lineRule="exact"/>
        <w:jc w:val="center"/>
        <w:rPr>
          <w:rFonts w:ascii="楷体_GB2312" w:hAnsi="华文中宋" w:eastAsia="楷体_GB2312"/>
          <w:b/>
          <w:sz w:val="32"/>
          <w:szCs w:val="32"/>
        </w:rPr>
      </w:pPr>
      <w:r>
        <w:rPr>
          <w:rFonts w:hint="eastAsia" w:ascii="楷体_GB2312" w:hAnsi="华文中宋" w:eastAsia="楷体_GB2312"/>
          <w:b/>
          <w:sz w:val="32"/>
          <w:szCs w:val="32"/>
        </w:rPr>
        <w:t>第二节</w:t>
      </w:r>
      <w:r>
        <w:rPr>
          <w:rFonts w:ascii="楷体_GB2312" w:hAnsi="华文中宋" w:eastAsia="楷体_GB2312"/>
          <w:b/>
          <w:sz w:val="32"/>
          <w:szCs w:val="32"/>
        </w:rPr>
        <w:t xml:space="preserve">  </w:t>
      </w:r>
      <w:r>
        <w:rPr>
          <w:rFonts w:hint="eastAsia" w:ascii="楷体_GB2312" w:hAnsi="华文中宋" w:eastAsia="楷体_GB2312"/>
          <w:b/>
          <w:sz w:val="32"/>
          <w:szCs w:val="32"/>
        </w:rPr>
        <w:t>夯实农业发展基础</w:t>
      </w:r>
    </w:p>
    <w:p>
      <w:pPr>
        <w:widowControl w:val="0"/>
        <w:pBdr>
          <w:bottom w:val="single" w:color="FFFFFF" w:sz="4" w:space="31"/>
        </w:pBdr>
        <w:topLinePunct/>
        <w:spacing w:after="0" w:line="600" w:lineRule="exact"/>
        <w:ind w:firstLine="660"/>
        <w:rPr>
          <w:rFonts w:ascii="仿宋_GB2312" w:hAnsi="华文中宋" w:eastAsia="仿宋_GB2312"/>
          <w:sz w:val="32"/>
          <w:szCs w:val="32"/>
        </w:rPr>
      </w:pPr>
      <w:r>
        <w:rPr>
          <w:rFonts w:ascii="仿宋_GB2312" w:hAnsi="华文中宋" w:eastAsia="仿宋_GB2312"/>
          <w:sz w:val="32"/>
          <w:szCs w:val="32"/>
        </w:rPr>
        <w:t>持续加大投入力度</w:t>
      </w:r>
      <w:r>
        <w:rPr>
          <w:rFonts w:hint="eastAsia" w:ascii="仿宋_GB2312" w:hAnsi="华文中宋" w:eastAsia="仿宋_GB2312"/>
          <w:sz w:val="32"/>
          <w:szCs w:val="32"/>
        </w:rPr>
        <w:t>，</w:t>
      </w:r>
      <w:r>
        <w:rPr>
          <w:rFonts w:ascii="仿宋_GB2312" w:hAnsi="华文中宋" w:eastAsia="仿宋_GB2312"/>
          <w:sz w:val="32"/>
          <w:szCs w:val="32"/>
        </w:rPr>
        <w:t>着力改善农业基础设施条件</w:t>
      </w:r>
      <w:r>
        <w:rPr>
          <w:rFonts w:hint="eastAsia" w:ascii="仿宋_GB2312" w:hAnsi="华文中宋" w:eastAsia="仿宋_GB2312"/>
          <w:sz w:val="32"/>
          <w:szCs w:val="32"/>
        </w:rPr>
        <w:t>，</w:t>
      </w:r>
      <w:r>
        <w:rPr>
          <w:rFonts w:ascii="仿宋_GB2312" w:hAnsi="华文中宋" w:eastAsia="仿宋_GB2312"/>
          <w:sz w:val="32"/>
          <w:szCs w:val="32"/>
        </w:rPr>
        <w:t>夯实农业发展基础</w:t>
      </w:r>
      <w:r>
        <w:rPr>
          <w:rFonts w:hint="eastAsia" w:ascii="仿宋_GB2312" w:hAnsi="华文中宋" w:eastAsia="仿宋_GB2312"/>
          <w:sz w:val="32"/>
          <w:szCs w:val="32"/>
        </w:rPr>
        <w:t>。</w:t>
      </w:r>
      <w:r>
        <w:rPr>
          <w:rFonts w:ascii="仿宋_GB2312" w:hAnsi="华文中宋" w:eastAsia="仿宋_GB2312"/>
          <w:sz w:val="32"/>
          <w:szCs w:val="32"/>
        </w:rPr>
        <w:t>坚守耕地红线</w:t>
      </w:r>
      <w:r>
        <w:rPr>
          <w:rFonts w:hint="eastAsia" w:ascii="仿宋_GB2312" w:hAnsi="华文中宋" w:eastAsia="仿宋_GB2312"/>
          <w:sz w:val="32"/>
          <w:szCs w:val="32"/>
        </w:rPr>
        <w:t>，</w:t>
      </w:r>
      <w:r>
        <w:rPr>
          <w:rFonts w:ascii="仿宋_GB2312" w:hAnsi="华文中宋" w:eastAsia="仿宋_GB2312"/>
          <w:sz w:val="32"/>
          <w:szCs w:val="32"/>
        </w:rPr>
        <w:t>实施藏粮于地</w:t>
      </w:r>
      <w:r>
        <w:rPr>
          <w:rFonts w:hint="eastAsia" w:ascii="仿宋_GB2312" w:hAnsi="华文中宋" w:eastAsia="仿宋_GB2312"/>
          <w:sz w:val="32"/>
          <w:szCs w:val="32"/>
        </w:rPr>
        <w:t>、</w:t>
      </w:r>
      <w:r>
        <w:rPr>
          <w:rFonts w:ascii="仿宋_GB2312" w:hAnsi="华文中宋" w:eastAsia="仿宋_GB2312"/>
          <w:sz w:val="32"/>
          <w:szCs w:val="32"/>
        </w:rPr>
        <w:t>藏粮于技战略</w:t>
      </w:r>
      <w:r>
        <w:rPr>
          <w:rFonts w:hint="eastAsia" w:ascii="仿宋_GB2312" w:hAnsi="华文中宋" w:eastAsia="仿宋_GB2312"/>
          <w:sz w:val="32"/>
          <w:szCs w:val="32"/>
        </w:rPr>
        <w:t>，</w:t>
      </w:r>
      <w:r>
        <w:rPr>
          <w:rFonts w:ascii="仿宋_GB2312" w:hAnsi="华文中宋" w:eastAsia="仿宋_GB2312"/>
          <w:sz w:val="32"/>
          <w:szCs w:val="32"/>
        </w:rPr>
        <w:t>提高粮食产能</w:t>
      </w:r>
      <w:r>
        <w:rPr>
          <w:rFonts w:hint="eastAsia" w:ascii="仿宋_GB2312" w:hAnsi="华文中宋" w:eastAsia="仿宋_GB2312"/>
          <w:sz w:val="32"/>
          <w:szCs w:val="32"/>
        </w:rPr>
        <w:t>，</w:t>
      </w:r>
      <w:r>
        <w:rPr>
          <w:rFonts w:ascii="仿宋_GB2312" w:hAnsi="华文中宋" w:eastAsia="仿宋_GB2312"/>
          <w:sz w:val="32"/>
          <w:szCs w:val="32"/>
        </w:rPr>
        <w:t>确保粮食安全</w:t>
      </w:r>
      <w:r>
        <w:rPr>
          <w:rFonts w:hint="eastAsia" w:ascii="仿宋_GB2312" w:hAnsi="华文中宋" w:eastAsia="仿宋_GB2312"/>
          <w:sz w:val="32"/>
          <w:szCs w:val="32"/>
        </w:rPr>
        <w:t>。</w:t>
      </w:r>
      <w:r>
        <w:rPr>
          <w:rFonts w:ascii="仿宋_GB2312" w:hAnsi="华文中宋" w:eastAsia="仿宋_GB2312"/>
          <w:sz w:val="32"/>
          <w:szCs w:val="32"/>
        </w:rPr>
        <w:t>整</w:t>
      </w:r>
      <w:r>
        <w:rPr>
          <w:rFonts w:hint="eastAsia" w:ascii="仿宋_GB2312" w:hAnsi="华文中宋" w:eastAsia="仿宋_GB2312"/>
          <w:sz w:val="32"/>
          <w:szCs w:val="32"/>
        </w:rPr>
        <w:t>建</w:t>
      </w:r>
      <w:r>
        <w:rPr>
          <w:rFonts w:ascii="仿宋_GB2312" w:hAnsi="华文中宋" w:eastAsia="仿宋_GB2312"/>
          <w:sz w:val="32"/>
          <w:szCs w:val="32"/>
        </w:rPr>
        <w:t>制持续推进千亿斤粮食生产能力规划实施</w:t>
      </w:r>
      <w:r>
        <w:rPr>
          <w:rFonts w:hint="eastAsia" w:ascii="仿宋_GB2312" w:hAnsi="华文中宋" w:eastAsia="仿宋_GB2312"/>
          <w:sz w:val="32"/>
          <w:szCs w:val="32"/>
        </w:rPr>
        <w:t>，</w:t>
      </w:r>
      <w:r>
        <w:rPr>
          <w:rFonts w:ascii="仿宋_GB2312" w:hAnsi="华文中宋" w:eastAsia="仿宋_GB2312"/>
          <w:sz w:val="32"/>
          <w:szCs w:val="32"/>
        </w:rPr>
        <w:t>大力开展土地整治</w:t>
      </w:r>
      <w:r>
        <w:rPr>
          <w:rFonts w:hint="eastAsia" w:ascii="仿宋_GB2312" w:hAnsi="华文中宋" w:eastAsia="仿宋_GB2312"/>
          <w:sz w:val="32"/>
          <w:szCs w:val="32"/>
        </w:rPr>
        <w:t>、</w:t>
      </w:r>
      <w:r>
        <w:rPr>
          <w:rFonts w:ascii="仿宋_GB2312" w:hAnsi="华文中宋" w:eastAsia="仿宋_GB2312"/>
          <w:sz w:val="32"/>
          <w:szCs w:val="32"/>
        </w:rPr>
        <w:t>中低产田改造和高标准农田建设</w:t>
      </w:r>
      <w:r>
        <w:rPr>
          <w:rFonts w:hint="eastAsia" w:ascii="仿宋_GB2312" w:hAnsi="华文中宋" w:eastAsia="仿宋_GB2312"/>
          <w:sz w:val="32"/>
          <w:szCs w:val="32"/>
        </w:rPr>
        <w:t>，</w:t>
      </w:r>
      <w:r>
        <w:rPr>
          <w:rFonts w:ascii="仿宋_GB2312" w:hAnsi="华文中宋" w:eastAsia="仿宋_GB2312"/>
          <w:sz w:val="32"/>
          <w:szCs w:val="32"/>
        </w:rPr>
        <w:t>依法划定永久性</w:t>
      </w:r>
      <w:r>
        <w:rPr>
          <w:rFonts w:hint="eastAsia" w:ascii="仿宋_GB2312" w:hAnsi="华文中宋" w:eastAsia="仿宋_GB2312"/>
          <w:sz w:val="32"/>
          <w:szCs w:val="32"/>
        </w:rPr>
        <w:t>基本</w:t>
      </w:r>
      <w:r>
        <w:rPr>
          <w:rFonts w:ascii="仿宋_GB2312" w:hAnsi="华文中宋" w:eastAsia="仿宋_GB2312"/>
          <w:sz w:val="32"/>
          <w:szCs w:val="32"/>
        </w:rPr>
        <w:t>农田</w:t>
      </w:r>
      <w:r>
        <w:rPr>
          <w:rFonts w:hint="eastAsia" w:ascii="仿宋_GB2312" w:hAnsi="华文中宋" w:eastAsia="仿宋_GB2312"/>
          <w:sz w:val="32"/>
          <w:szCs w:val="32"/>
        </w:rPr>
        <w:t>，</w:t>
      </w:r>
      <w:r>
        <w:rPr>
          <w:rFonts w:ascii="仿宋_GB2312" w:hAnsi="华文中宋" w:eastAsia="仿宋_GB2312"/>
          <w:sz w:val="32"/>
          <w:szCs w:val="32"/>
        </w:rPr>
        <w:t>落实最严格耕地保护制度</w:t>
      </w:r>
      <w:r>
        <w:rPr>
          <w:rFonts w:hint="eastAsia" w:ascii="仿宋_GB2312" w:hAnsi="华文中宋" w:eastAsia="仿宋_GB2312"/>
          <w:sz w:val="32"/>
          <w:szCs w:val="32"/>
        </w:rPr>
        <w:t>，</w:t>
      </w:r>
      <w:r>
        <w:rPr>
          <w:rFonts w:ascii="仿宋_GB2312" w:hAnsi="华文中宋" w:eastAsia="仿宋_GB2312"/>
          <w:sz w:val="32"/>
          <w:szCs w:val="32"/>
        </w:rPr>
        <w:t>坚持耕地占补平衡数量与质量并重</w:t>
      </w:r>
      <w:r>
        <w:rPr>
          <w:rFonts w:hint="eastAsia" w:ascii="仿宋_GB2312" w:hAnsi="华文中宋" w:eastAsia="仿宋_GB2312"/>
          <w:sz w:val="32"/>
          <w:szCs w:val="32"/>
        </w:rPr>
        <w:t>，</w:t>
      </w:r>
      <w:r>
        <w:rPr>
          <w:rFonts w:ascii="仿宋_GB2312" w:hAnsi="华文中宋" w:eastAsia="仿宋_GB2312"/>
          <w:sz w:val="32"/>
          <w:szCs w:val="32"/>
        </w:rPr>
        <w:t>打造一批稳固集中连片现代粮食生产基地</w:t>
      </w:r>
      <w:r>
        <w:rPr>
          <w:rFonts w:hint="eastAsia" w:ascii="仿宋_GB2312" w:hAnsi="华文中宋" w:eastAsia="仿宋_GB2312"/>
          <w:sz w:val="32"/>
          <w:szCs w:val="32"/>
        </w:rPr>
        <w:t>。持续推进农田水利建设，以大型灌区和重点中小型灌区续建配套为重点，加快末级渠系节水改造，加大高效节水技术推广应用，切实改善灌溉条件。开展耕地质量保护与提升行动，推广耕地污染防治技术，实施耕地质量建档管理，建立完善的肥料质量监督及耕地肥力质量监测体系，促进农业绿色、可持续发展。</w:t>
      </w:r>
    </w:p>
    <w:p>
      <w:pPr>
        <w:widowControl w:val="0"/>
        <w:pBdr>
          <w:bottom w:val="single" w:color="FFFFFF" w:sz="4" w:space="31"/>
        </w:pBdr>
        <w:topLinePunct/>
        <w:spacing w:after="0" w:line="600" w:lineRule="exact"/>
        <w:rPr>
          <w:rFonts w:ascii="仿宋_GB2312" w:hAnsi="华文中宋" w:eastAsia="仿宋_GB2312"/>
          <w:sz w:val="32"/>
          <w:szCs w:val="32"/>
        </w:rPr>
      </w:pPr>
    </w:p>
    <w:p>
      <w:pPr>
        <w:widowControl w:val="0"/>
        <w:pBdr>
          <w:bottom w:val="single" w:color="FFFFFF" w:sz="4" w:space="31"/>
        </w:pBdr>
        <w:topLinePunct/>
        <w:spacing w:after="0" w:line="600" w:lineRule="exact"/>
        <w:jc w:val="center"/>
        <w:rPr>
          <w:rFonts w:ascii="楷体_GB2312" w:hAnsi="华文中宋" w:eastAsia="楷体_GB2312"/>
          <w:b/>
          <w:sz w:val="32"/>
          <w:szCs w:val="32"/>
        </w:rPr>
      </w:pPr>
      <w:r>
        <w:rPr>
          <w:rFonts w:hint="eastAsia" w:ascii="楷体_GB2312" w:hAnsi="华文中宋" w:eastAsia="楷体_GB2312"/>
          <w:b/>
          <w:sz w:val="32"/>
          <w:szCs w:val="32"/>
        </w:rPr>
        <w:t>第三节</w:t>
      </w:r>
      <w:r>
        <w:rPr>
          <w:rFonts w:ascii="楷体_GB2312" w:hAnsi="华文中宋" w:eastAsia="楷体_GB2312"/>
          <w:b/>
          <w:sz w:val="32"/>
          <w:szCs w:val="32"/>
        </w:rPr>
        <w:t xml:space="preserve">  </w:t>
      </w:r>
      <w:r>
        <w:rPr>
          <w:rFonts w:hint="eastAsia" w:ascii="楷体_GB2312" w:hAnsi="华文中宋" w:eastAsia="楷体_GB2312"/>
          <w:b/>
          <w:sz w:val="32"/>
          <w:szCs w:val="32"/>
        </w:rPr>
        <w:t>优化农业产业布局</w:t>
      </w:r>
    </w:p>
    <w:p>
      <w:pPr>
        <w:pBdr>
          <w:bottom w:val="single" w:color="FFFFFF" w:sz="4" w:space="31"/>
        </w:pBdr>
        <w:topLinePunct/>
        <w:spacing w:after="0" w:line="600" w:lineRule="exact"/>
        <w:rPr>
          <w:rFonts w:hint="eastAsia" w:ascii="仿宋_GB2312" w:hAnsi="华文中宋" w:eastAsia="仿宋_GB2312"/>
          <w:color w:val="000000"/>
          <w:sz w:val="30"/>
          <w:szCs w:val="32"/>
        </w:rPr>
      </w:pPr>
      <w:r>
        <w:rPr>
          <w:rFonts w:ascii="楷体_GB2312" w:hAnsi="华文中宋" w:eastAsia="楷体_GB2312"/>
          <w:b/>
          <w:sz w:val="32"/>
          <w:szCs w:val="32"/>
        </w:rPr>
        <w:t xml:space="preserve">    </w:t>
      </w:r>
      <w:r>
        <w:rPr>
          <w:rFonts w:hint="eastAsia" w:ascii="仿宋_GB2312" w:hAnsi="华文中宋" w:eastAsia="仿宋_GB2312"/>
          <w:sz w:val="32"/>
          <w:szCs w:val="32"/>
        </w:rPr>
        <w:t>按照布局合理、规模适度、提升品质、彰显特色的原则，发展以千阳、陇县及东五县区为主的高产奶牛，以陈仓、麟游、凤翔、岐山为主的优质肉牛，以陈仓、扶风、凤翔为重点的生猪家禽和以麟游、千阳、陇县、陈仓、凤翔为重点的优质肉羊、奶羊产业带；以太白、凤县、陇县、麟游、渭滨、陈仓区西山等6个县（区）为重点的中蜂养殖；以扶风、岐山、凤翔、眉县、陈仓、千阳、陇县等</w:t>
      </w:r>
      <w:r>
        <w:rPr>
          <w:rFonts w:ascii="仿宋_GB2312" w:hAnsi="华文中宋" w:eastAsia="仿宋_GB2312"/>
          <w:sz w:val="32"/>
          <w:szCs w:val="32"/>
        </w:rPr>
        <w:t>7个</w:t>
      </w:r>
      <w:r>
        <w:rPr>
          <w:rFonts w:hint="eastAsia" w:ascii="仿宋_GB2312" w:hAnsi="华文中宋" w:eastAsia="仿宋_GB2312"/>
          <w:sz w:val="32"/>
          <w:szCs w:val="32"/>
        </w:rPr>
        <w:t>县</w:t>
      </w:r>
      <w:r>
        <w:rPr>
          <w:rFonts w:ascii="仿宋_GB2312" w:hAnsi="华文中宋" w:eastAsia="仿宋_GB2312"/>
          <w:sz w:val="32"/>
          <w:szCs w:val="32"/>
        </w:rPr>
        <w:t>(</w:t>
      </w:r>
      <w:r>
        <w:rPr>
          <w:rFonts w:hint="eastAsia" w:ascii="仿宋_GB2312" w:hAnsi="华文中宋" w:eastAsia="仿宋_GB2312"/>
          <w:sz w:val="32"/>
          <w:szCs w:val="32"/>
        </w:rPr>
        <w:t>区</w:t>
      </w:r>
      <w:r>
        <w:rPr>
          <w:rFonts w:ascii="仿宋_GB2312" w:hAnsi="华文中宋" w:eastAsia="仿宋_GB2312"/>
          <w:sz w:val="32"/>
          <w:szCs w:val="32"/>
        </w:rPr>
        <w:t>)</w:t>
      </w:r>
      <w:r>
        <w:rPr>
          <w:rFonts w:hint="eastAsia" w:ascii="仿宋_GB2312" w:hAnsi="华文中宋" w:eastAsia="仿宋_GB2312"/>
          <w:sz w:val="32"/>
          <w:szCs w:val="32"/>
        </w:rPr>
        <w:t>为主的优质小麦产区，以东五县区为主的夏玉米产区，以陇县、麟游、千阳、凤县、陈仓等</w:t>
      </w:r>
      <w:r>
        <w:rPr>
          <w:rFonts w:ascii="仿宋_GB2312" w:hAnsi="华文中宋" w:eastAsia="仿宋_GB2312"/>
          <w:sz w:val="32"/>
          <w:szCs w:val="32"/>
        </w:rPr>
        <w:t>5个</w:t>
      </w:r>
      <w:r>
        <w:rPr>
          <w:rFonts w:hint="eastAsia" w:ascii="仿宋_GB2312" w:hAnsi="华文中宋" w:eastAsia="仿宋_GB2312"/>
          <w:sz w:val="32"/>
          <w:szCs w:val="32"/>
        </w:rPr>
        <w:t>县（区）为主的春玉米产区。</w:t>
      </w:r>
      <w:r>
        <w:rPr>
          <w:rFonts w:hint="eastAsia" w:ascii="仿宋_GB2312" w:hAnsi="华文中宋" w:eastAsia="仿宋_GB2312"/>
          <w:color w:val="000000"/>
          <w:sz w:val="32"/>
          <w:szCs w:val="32"/>
        </w:rPr>
        <w:t>做大做强渭北塬区苹果、秦岭北麓猕猴桃和城郊时令杂果三大水果产业带。建设“川塬设施蔬菜、秦岭高山绿色有机蔬菜、区域特色蔬菜和农区大路菜”四大生产基地。</w:t>
      </w:r>
      <w:r>
        <w:rPr>
          <w:rFonts w:hint="eastAsia" w:ascii="仿宋_GB2312" w:hAnsi="华文中宋" w:eastAsia="仿宋_GB2312"/>
          <w:sz w:val="32"/>
          <w:szCs w:val="32"/>
        </w:rPr>
        <w:t>大力培育现代农业产业基地和农业园区，加快创建良种化、标准化、专业化、规模化、集约化、品牌化基地，促进优势特色农业继续快速发展。推进现代农业示范区（园区）建设，推进畜牧业标准化适度规模养殖，支持发展无公害农产品、绿色食品和有机农产品。继续支持龙头企业做大做强，着力培育一批产业带动能力强、品牌效应显著的农业产业群，围绕优势特色产业加快发展农产品加工业，建设一批区域集聚的农产品加工园区和物流园区，将宝鸡建成西部</w:t>
      </w:r>
      <w:r>
        <w:rPr>
          <w:rFonts w:hint="eastAsia" w:ascii="仿宋_GB2312" w:hAnsi="华文中宋" w:eastAsia="仿宋_GB2312"/>
          <w:color w:val="000000"/>
          <w:sz w:val="32"/>
          <w:szCs w:val="32"/>
        </w:rPr>
        <w:t>重要的农产品精深加工基地。发展</w:t>
      </w:r>
      <w:r>
        <w:rPr>
          <w:rFonts w:ascii="仿宋_GB2312" w:hAnsi="华文中宋" w:eastAsia="仿宋_GB2312"/>
          <w:color w:val="000000"/>
          <w:sz w:val="32"/>
          <w:szCs w:val="32"/>
        </w:rPr>
        <w:t>休闲观光农业，推进一二三产业融合，提升农业市场竞争能力。</w:t>
      </w:r>
    </w:p>
    <w:p>
      <w:pPr>
        <w:spacing w:after="0" w:line="600" w:lineRule="exact"/>
        <w:ind w:firstLine="640" w:firstLineChars="200"/>
        <w:jc w:val="both"/>
        <w:rPr>
          <w:rFonts w:ascii="楷体_GB2312" w:hAnsi="华文中宋" w:eastAsia="楷体_GB2312"/>
          <w:b/>
          <w:sz w:val="32"/>
          <w:szCs w:val="32"/>
        </w:rPr>
      </w:pPr>
      <w:r>
        <w:rPr>
          <w:rFonts w:hint="eastAsia" w:ascii="仿宋_GB2312" w:hAnsi="华文中宋" w:eastAsia="仿宋_GB2312"/>
          <w:color w:val="000000"/>
          <w:sz w:val="32"/>
          <w:szCs w:val="32"/>
          <w:lang/>
        </w:rPr>
        <w:drawing>
          <wp:anchor distT="0" distB="0" distL="114300" distR="114300" simplePos="0" relativeHeight="251715584" behindDoc="0" locked="0" layoutInCell="1" allowOverlap="1">
            <wp:simplePos x="0" y="0"/>
            <wp:positionH relativeFrom="column">
              <wp:posOffset>69850</wp:posOffset>
            </wp:positionH>
            <wp:positionV relativeFrom="paragraph">
              <wp:posOffset>177800</wp:posOffset>
            </wp:positionV>
            <wp:extent cx="5540375" cy="4258310"/>
            <wp:effectExtent l="57150" t="57150" r="60325" b="66040"/>
            <wp:wrapSquare wrapText="bothSides"/>
            <wp:docPr id="56" name="图片 16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2" descr="24"/>
                    <pic:cNvPicPr>
                      <a:picLocks noChangeAspect="1"/>
                    </pic:cNvPicPr>
                  </pic:nvPicPr>
                  <pic:blipFill>
                    <a:blip r:embed="rId31"/>
                    <a:stretch>
                      <a:fillRect/>
                    </a:stretch>
                  </pic:blipFill>
                  <pic:spPr>
                    <a:xfrm>
                      <a:off x="0" y="0"/>
                      <a:ext cx="5540375" cy="4258310"/>
                    </a:xfrm>
                    <a:prstGeom prst="rect">
                      <a:avLst/>
                    </a:prstGeom>
                    <a:noFill/>
                    <a:ln w="57150" cap="flat" cmpd="thickThin">
                      <a:solidFill>
                        <a:srgbClr val="808080"/>
                      </a:solidFill>
                      <a:prstDash val="solid"/>
                      <a:miter/>
                      <a:headEnd type="none" w="med" len="med"/>
                      <a:tailEnd type="none" w="med" len="med"/>
                    </a:ln>
                  </pic:spPr>
                </pic:pic>
              </a:graphicData>
            </a:graphic>
          </wp:anchor>
        </w:drawing>
      </w:r>
    </w:p>
    <w:p>
      <w:pPr>
        <w:spacing w:after="0" w:line="600" w:lineRule="exact"/>
        <w:jc w:val="center"/>
        <w:rPr>
          <w:rFonts w:ascii="楷体_GB2312" w:hAnsi="华文中宋" w:eastAsia="楷体_GB2312"/>
          <w:b/>
          <w:sz w:val="32"/>
          <w:szCs w:val="32"/>
        </w:rPr>
      </w:pPr>
      <w:r>
        <w:rPr>
          <w:rFonts w:hint="eastAsia" w:ascii="楷体_GB2312" w:hAnsi="华文中宋" w:eastAsia="楷体_GB2312"/>
          <w:b/>
          <w:sz w:val="32"/>
          <w:szCs w:val="32"/>
        </w:rPr>
        <w:t>第四节</w:t>
      </w:r>
      <w:r>
        <w:rPr>
          <w:rFonts w:ascii="楷体_GB2312" w:hAnsi="华文中宋" w:eastAsia="楷体_GB2312"/>
          <w:b/>
          <w:sz w:val="32"/>
          <w:szCs w:val="32"/>
        </w:rPr>
        <w:t xml:space="preserve">  </w:t>
      </w:r>
      <w:r>
        <w:rPr>
          <w:rFonts w:hint="eastAsia" w:ascii="楷体_GB2312" w:hAnsi="华文中宋" w:eastAsia="楷体_GB2312"/>
          <w:b/>
          <w:sz w:val="32"/>
          <w:szCs w:val="32"/>
        </w:rPr>
        <w:t>提升农业组织化程度</w:t>
      </w:r>
    </w:p>
    <w:p>
      <w:pPr>
        <w:spacing w:after="0" w:line="600" w:lineRule="exact"/>
        <w:ind w:firstLine="640" w:firstLineChars="200"/>
        <w:jc w:val="both"/>
        <w:rPr>
          <w:rFonts w:ascii="黑体" w:hAnsi="黑体" w:eastAsia="黑体"/>
          <w:sz w:val="32"/>
          <w:szCs w:val="32"/>
        </w:rPr>
      </w:pPr>
      <w:r>
        <w:rPr>
          <w:rFonts w:hint="eastAsia" w:ascii="仿宋_GB2312" w:eastAsia="仿宋_GB2312"/>
          <w:sz w:val="32"/>
          <w:szCs w:val="32"/>
        </w:rPr>
        <w:t>加快转变农业发展方式，发展多种形式适度规模经营。充分利用各级、各项农业专项资金支持农业龙头企业发展。推进农产品精深加工项目建设，增加农产品附加值。实行标准化原料生产、规模化精深加工、现代化冷链物流一体化经营。推进示范社建设行动，支持农民专业合作社发展，培育发展专业协会。鼓励和支持生产合作社向加工、流通等多领域发展，鼓励合作社创办或引进龙头企业，提高产业整体素质。加强土地承包经营权流转管理和服务，健全流转市场，支持发展专业大户、家庭农场、农民专业合作社等经营主体，促进土地集约化经营，不断提高土地的规模效益。积极发展农产品物流，积极培育和完善农产品物流主体，加强农产品物流基础设施建设，支持重点农产品批发市场建设和升级改造，搭建农产品物流信息平台，发展农产品大市场大流通。推动金融、人才等资源要素向农村配置，鼓励、引导、协调各类金融机构加大对农业组织化信贷支持。按照政府引导、政策支持、市场运作、农民自愿的原则，建立政策性农业保险体系，提高农业产业化经营风险防控水平。</w:t>
      </w:r>
    </w:p>
    <w:p>
      <w:pPr>
        <w:spacing w:after="0" w:line="600" w:lineRule="exact"/>
        <w:jc w:val="center"/>
        <w:rPr>
          <w:rFonts w:ascii="黑体" w:hAnsi="黑体" w:eastAsia="黑体"/>
          <w:sz w:val="32"/>
          <w:szCs w:val="32"/>
        </w:rPr>
      </w:pPr>
    </w:p>
    <w:p>
      <w:pPr>
        <w:spacing w:after="0" w:line="600" w:lineRule="exact"/>
        <w:jc w:val="center"/>
        <w:rPr>
          <w:rFonts w:hint="eastAsia" w:ascii="黑体" w:hAnsi="黑体" w:eastAsia="黑体"/>
          <w:sz w:val="32"/>
          <w:szCs w:val="32"/>
        </w:rPr>
      </w:pPr>
      <w:r>
        <w:rPr>
          <w:rFonts w:hint="eastAsia" w:ascii="黑体" w:hAnsi="黑体" w:eastAsia="黑体"/>
          <w:sz w:val="32"/>
          <w:szCs w:val="32"/>
        </w:rPr>
        <w:t>第十章</w:t>
      </w:r>
      <w:r>
        <w:rPr>
          <w:rFonts w:ascii="黑体" w:hAnsi="黑体" w:eastAsia="黑体"/>
          <w:sz w:val="32"/>
          <w:szCs w:val="32"/>
        </w:rPr>
        <w:t xml:space="preserve">  </w:t>
      </w:r>
      <w:r>
        <w:rPr>
          <w:rFonts w:hint="eastAsia" w:ascii="黑体" w:hAnsi="黑体" w:eastAsia="黑体"/>
          <w:sz w:val="32"/>
          <w:szCs w:val="32"/>
        </w:rPr>
        <w:t>加快工业转型升级</w:t>
      </w:r>
    </w:p>
    <w:p>
      <w:pPr>
        <w:spacing w:after="0" w:line="600" w:lineRule="exact"/>
        <w:jc w:val="center"/>
        <w:rPr>
          <w:rFonts w:hint="eastAsia" w:ascii="楷体_GB2312" w:eastAsia="楷体_GB2312"/>
          <w:b/>
          <w:sz w:val="32"/>
          <w:szCs w:val="32"/>
        </w:rPr>
      </w:pPr>
    </w:p>
    <w:p>
      <w:pPr>
        <w:spacing w:after="0" w:line="600" w:lineRule="exact"/>
        <w:jc w:val="center"/>
        <w:rPr>
          <w:rFonts w:hint="eastAsia" w:ascii="仿宋_GB2312" w:eastAsia="仿宋_GB2312"/>
          <w:sz w:val="32"/>
          <w:szCs w:val="32"/>
        </w:rPr>
      </w:pPr>
      <w:r>
        <w:rPr>
          <w:rFonts w:ascii="楷体_GB2312" w:eastAsia="楷体_GB2312"/>
          <w:b/>
          <w:sz w:val="32"/>
          <w:szCs w:val="32"/>
        </w:rPr>
        <w:t>第一节</w:t>
      </w:r>
      <w:r>
        <w:rPr>
          <w:rFonts w:hint="eastAsia" w:ascii="楷体_GB2312" w:eastAsia="楷体_GB2312"/>
          <w:b/>
          <w:sz w:val="32"/>
          <w:szCs w:val="32"/>
        </w:rPr>
        <w:t xml:space="preserve">  强化工业主导地位</w:t>
      </w:r>
    </w:p>
    <w:p>
      <w:pPr>
        <w:spacing w:after="0" w:line="600" w:lineRule="exact"/>
        <w:ind w:firstLine="640"/>
        <w:jc w:val="both"/>
        <w:rPr>
          <w:rFonts w:ascii="仿宋_GB2312" w:eastAsia="仿宋_GB2312"/>
          <w:sz w:val="32"/>
          <w:szCs w:val="32"/>
        </w:rPr>
      </w:pPr>
      <w:r>
        <w:rPr>
          <w:rFonts w:hint="eastAsia" w:ascii="仿宋_GB2312" w:eastAsia="仿宋_GB2312"/>
          <w:snapToGrid w:val="0"/>
          <w:color w:val="000000"/>
          <w:sz w:val="32"/>
          <w:szCs w:val="32"/>
        </w:rPr>
        <w:t>把做优做强工业作为供给侧结构性改革的重中之重，充分发挥市场主导、企业主体、政府引导三个作用，</w:t>
      </w:r>
      <w:r>
        <w:rPr>
          <w:rFonts w:hint="eastAsia" w:ascii="仿宋_GB2312" w:eastAsia="仿宋_GB2312"/>
          <w:sz w:val="32"/>
          <w:szCs w:val="32"/>
        </w:rPr>
        <w:t>坚持大企业大集团建设、集群化发展和园区化承载“三大战略”，大力实施“</w:t>
      </w:r>
      <w:r>
        <w:rPr>
          <w:rFonts w:ascii="仿宋_GB2312" w:eastAsia="仿宋_GB2312"/>
          <w:sz w:val="32"/>
          <w:szCs w:val="32"/>
        </w:rPr>
        <w:t>1</w:t>
      </w:r>
      <w:r>
        <w:rPr>
          <w:rFonts w:hint="eastAsia" w:ascii="仿宋_GB2312" w:eastAsia="仿宋_GB2312"/>
          <w:sz w:val="32"/>
          <w:szCs w:val="32"/>
        </w:rPr>
        <w:t>553”行动计划；以创新发展为主题，以转型升级和提质增效为主线，聚焦新技术、发展新产业、探索新模式、培育新业态；以“互联网</w:t>
      </w:r>
      <w:r>
        <w:rPr>
          <w:rFonts w:ascii="仿宋_GB2312" w:eastAsia="仿宋_GB2312"/>
          <w:sz w:val="32"/>
          <w:szCs w:val="32"/>
        </w:rPr>
        <w:t>+</w:t>
      </w:r>
      <w:r>
        <w:rPr>
          <w:rFonts w:hint="eastAsia" w:ascii="仿宋_GB2312" w:eastAsia="仿宋_GB2312"/>
          <w:sz w:val="32"/>
          <w:szCs w:val="32"/>
        </w:rPr>
        <w:t>”为契机，推进信息化和工业化深度融合，加快我市工业经济发展由速度型向质量效益型转变；着力建设“四个基地”，积极实施“五大工程”，加快建设工业产业园区。到“十三五”</w:t>
      </w:r>
      <w:r>
        <w:rPr>
          <w:rFonts w:ascii="仿宋_GB2312" w:eastAsia="仿宋_GB2312"/>
          <w:sz w:val="32"/>
          <w:szCs w:val="32"/>
        </w:rPr>
        <w:t>末</w:t>
      </w:r>
      <w:r>
        <w:rPr>
          <w:rFonts w:hint="eastAsia" w:ascii="仿宋_GB2312" w:eastAsia="仿宋_GB2312"/>
          <w:sz w:val="32"/>
          <w:szCs w:val="32"/>
        </w:rPr>
        <w:t>，工业产业集群总体实力显著增强，实现工业总产值翻一番。形成一批产业关联度大、经济带动能力强的特色产业集群，培育一批竞争力强的龙头骨干企业，创立一批市场信誉好的产品品牌，努力将我市建设成为全省工业转型升级和提质增效的先行示范区、西部地区战略性新兴产业基地和西部生态最美的工业强市。到2020年，工业总产值达到</w:t>
      </w:r>
      <w:r>
        <w:rPr>
          <w:rFonts w:ascii="仿宋_GB2312" w:eastAsia="仿宋_GB2312"/>
          <w:color w:val="FF0000"/>
          <w:sz w:val="32"/>
          <w:szCs w:val="32"/>
        </w:rPr>
        <w:t>5700</w:t>
      </w:r>
      <w:r>
        <w:rPr>
          <w:rFonts w:hint="eastAsia" w:ascii="仿宋_GB2312" w:eastAsia="仿宋_GB2312"/>
          <w:sz w:val="32"/>
          <w:szCs w:val="32"/>
        </w:rPr>
        <w:t>亿元、工业增加值达到</w:t>
      </w:r>
      <w:r>
        <w:rPr>
          <w:rFonts w:ascii="仿宋_GB2312" w:eastAsia="仿宋_GB2312"/>
          <w:sz w:val="32"/>
          <w:szCs w:val="32"/>
        </w:rPr>
        <w:t>16</w:t>
      </w:r>
      <w:r>
        <w:rPr>
          <w:rFonts w:hint="eastAsia" w:ascii="仿宋_GB2312" w:eastAsia="仿宋_GB2312"/>
          <w:sz w:val="32"/>
          <w:szCs w:val="32"/>
        </w:rPr>
        <w:t>00亿元以上，年均增长11%；规模以上工业增加值达到</w:t>
      </w:r>
      <w:r>
        <w:rPr>
          <w:rFonts w:ascii="仿宋_GB2312" w:eastAsia="仿宋_GB2312"/>
          <w:sz w:val="32"/>
          <w:szCs w:val="32"/>
        </w:rPr>
        <w:t>14</w:t>
      </w:r>
      <w:r>
        <w:rPr>
          <w:rFonts w:hint="eastAsia" w:ascii="仿宋_GB2312" w:eastAsia="仿宋_GB2312"/>
          <w:sz w:val="32"/>
          <w:szCs w:val="32"/>
        </w:rPr>
        <w:t>00亿元以上，年均增长12%左右，工业固定资产投资达到</w:t>
      </w:r>
      <w:r>
        <w:rPr>
          <w:rFonts w:ascii="仿宋_GB2312" w:eastAsia="仿宋_GB2312"/>
          <w:sz w:val="32"/>
          <w:szCs w:val="32"/>
        </w:rPr>
        <w:t>2185</w:t>
      </w:r>
      <w:r>
        <w:rPr>
          <w:rFonts w:hint="eastAsia" w:ascii="仿宋_GB2312" w:eastAsia="仿宋_GB2312"/>
          <w:sz w:val="32"/>
          <w:szCs w:val="32"/>
        </w:rPr>
        <w:t>亿元，年均增速保持在</w:t>
      </w:r>
      <w:r>
        <w:rPr>
          <w:rFonts w:ascii="仿宋_GB2312" w:eastAsia="仿宋_GB2312"/>
          <w:sz w:val="32"/>
          <w:szCs w:val="32"/>
        </w:rPr>
        <w:t>20%</w:t>
      </w:r>
      <w:r>
        <w:rPr>
          <w:rFonts w:hint="eastAsia" w:ascii="仿宋_GB2312" w:eastAsia="仿宋_GB2312"/>
          <w:sz w:val="32"/>
          <w:szCs w:val="32"/>
        </w:rPr>
        <w:t>以上，五年累计固定资产投资达到</w:t>
      </w:r>
      <w:r>
        <w:rPr>
          <w:rFonts w:ascii="仿宋_GB2312" w:eastAsia="仿宋_GB2312"/>
          <w:sz w:val="32"/>
          <w:szCs w:val="32"/>
        </w:rPr>
        <w:t>7840</w:t>
      </w:r>
      <w:r>
        <w:rPr>
          <w:rFonts w:hint="eastAsia" w:ascii="仿宋_GB2312" w:eastAsia="仿宋_GB2312"/>
          <w:sz w:val="32"/>
          <w:szCs w:val="32"/>
        </w:rPr>
        <w:t>亿元。</w:t>
      </w:r>
    </w:p>
    <w:p>
      <w:pPr>
        <w:spacing w:after="0" w:line="600" w:lineRule="exact"/>
        <w:ind w:firstLine="640"/>
        <w:jc w:val="both"/>
        <w:rPr>
          <w:rFonts w:ascii="楷体_GB2312" w:eastAsia="楷体_GB2312"/>
          <w:b/>
          <w:sz w:val="32"/>
          <w:szCs w:val="32"/>
        </w:rPr>
      </w:pPr>
      <w:r>
        <w:rPr>
          <w:rFonts w:hint="eastAsia" w:ascii="仿宋_GB2312" w:hAnsi="宋体" w:eastAsia="仿宋_GB2312" w:cs="宋体"/>
          <w:lang/>
        </w:rPr>
        <mc:AlternateContent>
          <mc:Choice Requires="wps">
            <w:drawing>
              <wp:anchor distT="0" distB="0" distL="114300" distR="114300" simplePos="0" relativeHeight="251714560" behindDoc="0" locked="0" layoutInCell="1" allowOverlap="1">
                <wp:simplePos x="0" y="0"/>
                <wp:positionH relativeFrom="column">
                  <wp:posOffset>12700</wp:posOffset>
                </wp:positionH>
                <wp:positionV relativeFrom="paragraph">
                  <wp:posOffset>155575</wp:posOffset>
                </wp:positionV>
                <wp:extent cx="5600700" cy="1889760"/>
                <wp:effectExtent l="4445" t="4445" r="14605" b="10795"/>
                <wp:wrapSquare wrapText="bothSides"/>
                <wp:docPr id="55" name="文本框 161"/>
                <wp:cNvGraphicFramePr/>
                <a:graphic xmlns:a="http://schemas.openxmlformats.org/drawingml/2006/main">
                  <a:graphicData uri="http://schemas.microsoft.com/office/word/2010/wordprocessingShape">
                    <wps:wsp>
                      <wps:cNvSpPr txBox="1"/>
                      <wps:spPr>
                        <a:xfrm>
                          <a:off x="0" y="0"/>
                          <a:ext cx="5600700" cy="1889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cs="宋体"/>
                                <w:sz w:val="21"/>
                                <w:szCs w:val="21"/>
                              </w:rPr>
                            </w:pPr>
                            <w:r>
                              <w:rPr>
                                <w:rFonts w:hint="eastAsia" w:ascii="楷体_GB2312" w:hAnsi="黑体" w:eastAsia="楷体_GB2312" w:cs="仿宋_GB2312"/>
                                <w:b/>
                                <w:bCs/>
                                <w:sz w:val="21"/>
                                <w:szCs w:val="21"/>
                              </w:rPr>
                              <w:t>专栏14</w:t>
                            </w:r>
                          </w:p>
                          <w:p>
                            <w:pPr>
                              <w:spacing w:after="0" w:line="300" w:lineRule="exact"/>
                              <w:jc w:val="center"/>
                              <w:rPr>
                                <w:rFonts w:hint="eastAsia" w:ascii="楷体_GB2312" w:hAnsi="宋体" w:eastAsia="楷体_GB2312" w:cs="宋体"/>
                                <w:b/>
                                <w:sz w:val="21"/>
                                <w:szCs w:val="21"/>
                              </w:rPr>
                            </w:pPr>
                            <w:r>
                              <w:rPr>
                                <w:rFonts w:hint="eastAsia" w:ascii="黑体" w:hAnsi="黑体" w:eastAsia="黑体" w:cs="宋体"/>
                                <w:b/>
                                <w:sz w:val="21"/>
                                <w:szCs w:val="21"/>
                              </w:rPr>
                              <w:t>工业发展重大战略</w:t>
                            </w:r>
                          </w:p>
                          <w:p>
                            <w:pPr>
                              <w:spacing w:after="0" w:line="300" w:lineRule="exact"/>
                              <w:ind w:firstLine="422" w:firstLineChars="200"/>
                              <w:jc w:val="both"/>
                              <w:rPr>
                                <w:rFonts w:hint="eastAsia" w:ascii="楷体_GB2312" w:hAnsi="宋体" w:eastAsia="楷体_GB2312" w:cs="宋体"/>
                                <w:sz w:val="21"/>
                                <w:szCs w:val="21"/>
                              </w:rPr>
                            </w:pPr>
                            <w:r>
                              <w:rPr>
                                <w:rFonts w:hint="eastAsia" w:ascii="楷体_GB2312" w:hAnsi="宋体" w:eastAsia="楷体_GB2312" w:cs="宋体"/>
                                <w:b/>
                                <w:sz w:val="21"/>
                                <w:szCs w:val="21"/>
                              </w:rPr>
                              <w:t>“1553”行动计划：</w:t>
                            </w:r>
                            <w:r>
                              <w:rPr>
                                <w:rFonts w:hint="eastAsia" w:ascii="楷体_GB2312" w:hAnsi="宋体" w:eastAsia="楷体_GB2312" w:cs="宋体"/>
                                <w:sz w:val="21"/>
                                <w:szCs w:val="21"/>
                              </w:rPr>
                              <w:t>“1”：实现工业总产值比“十二五”末翻一番；“5”：五大支柱产业；“5”：五大战略新兴产业；“3”：三大特色产业。</w:t>
                            </w:r>
                          </w:p>
                          <w:p>
                            <w:pPr>
                              <w:spacing w:after="0" w:line="300" w:lineRule="exact"/>
                              <w:ind w:firstLine="422" w:firstLineChars="200"/>
                              <w:jc w:val="both"/>
                              <w:rPr>
                                <w:rFonts w:hint="eastAsia" w:ascii="楷体_GB2312" w:hAnsi="宋体" w:eastAsia="楷体_GB2312" w:cs="宋体"/>
                                <w:sz w:val="21"/>
                                <w:szCs w:val="21"/>
                              </w:rPr>
                            </w:pPr>
                            <w:r>
                              <w:rPr>
                                <w:rFonts w:hint="eastAsia" w:ascii="楷体_GB2312" w:hAnsi="宋体" w:eastAsia="楷体_GB2312" w:cs="宋体"/>
                                <w:b/>
                                <w:sz w:val="21"/>
                                <w:szCs w:val="21"/>
                              </w:rPr>
                              <w:t>“四个基地”：</w:t>
                            </w:r>
                            <w:r>
                              <w:rPr>
                                <w:rFonts w:hint="eastAsia" w:ascii="楷体_GB2312" w:hAnsi="宋体" w:eastAsia="楷体_GB2312" w:cs="宋体"/>
                                <w:sz w:val="21"/>
                                <w:szCs w:val="21"/>
                              </w:rPr>
                              <w:t>以汽车及汽车零部件为主的高端装备制造业基地；以钛及钛合金为主的国家新材料高技术产业基地；以好猫烟和西凤酒为主的西北食品加工基地；以麟北煤田开发和煤制甲醇为主的煤及煤化工产业基地。</w:t>
                            </w:r>
                          </w:p>
                          <w:p>
                            <w:pPr>
                              <w:spacing w:after="0" w:line="300" w:lineRule="exact"/>
                              <w:ind w:firstLine="422" w:firstLineChars="200"/>
                              <w:jc w:val="both"/>
                              <w:rPr>
                                <w:rFonts w:ascii="楷体_GB2312" w:hAnsi="宋体" w:eastAsia="楷体_GB2312" w:cs="宋体"/>
                                <w:sz w:val="21"/>
                                <w:szCs w:val="21"/>
                              </w:rPr>
                            </w:pPr>
                            <w:r>
                              <w:rPr>
                                <w:rFonts w:hint="eastAsia" w:ascii="楷体_GB2312" w:hAnsi="宋体" w:eastAsia="楷体_GB2312" w:cs="宋体"/>
                                <w:b/>
                                <w:sz w:val="21"/>
                                <w:szCs w:val="21"/>
                              </w:rPr>
                              <w:t>“五大工程”：</w:t>
                            </w:r>
                            <w:r>
                              <w:rPr>
                                <w:rFonts w:hint="eastAsia" w:ascii="楷体_GB2312" w:hAnsi="宋体" w:eastAsia="楷体_GB2312" w:cs="宋体"/>
                                <w:sz w:val="21"/>
                                <w:szCs w:val="21"/>
                              </w:rPr>
                              <w:t>工业产业集群壮大工程</w:t>
                            </w:r>
                            <w:bookmarkStart w:id="2" w:name="_Toc440573478"/>
                            <w:bookmarkStart w:id="3" w:name="_Toc440573072"/>
                            <w:bookmarkStart w:id="4" w:name="_Toc428974112"/>
                            <w:r>
                              <w:rPr>
                                <w:rFonts w:hint="eastAsia" w:ascii="楷体_GB2312" w:hAnsi="宋体" w:eastAsia="楷体_GB2312" w:cs="宋体"/>
                                <w:sz w:val="21"/>
                                <w:szCs w:val="21"/>
                              </w:rPr>
                              <w:t>；工业创新能力提升工程</w:t>
                            </w:r>
                            <w:bookmarkEnd w:id="2"/>
                            <w:bookmarkEnd w:id="3"/>
                            <w:bookmarkStart w:id="5" w:name="_Toc440573479"/>
                            <w:bookmarkStart w:id="6" w:name="_Toc440573073"/>
                            <w:r>
                              <w:rPr>
                                <w:rFonts w:hint="eastAsia" w:ascii="楷体_GB2312" w:hAnsi="宋体" w:eastAsia="楷体_GB2312" w:cs="宋体"/>
                                <w:sz w:val="21"/>
                                <w:szCs w:val="21"/>
                              </w:rPr>
                              <w:t>；工业化和信息化深度融合工程</w:t>
                            </w:r>
                            <w:bookmarkEnd w:id="4"/>
                            <w:bookmarkEnd w:id="5"/>
                            <w:bookmarkEnd w:id="6"/>
                            <w:bookmarkStart w:id="7" w:name="_Toc440573074"/>
                            <w:bookmarkStart w:id="8" w:name="_Toc428974114"/>
                            <w:bookmarkStart w:id="9" w:name="_Toc440573480"/>
                            <w:r>
                              <w:rPr>
                                <w:rFonts w:hint="eastAsia" w:ascii="楷体_GB2312" w:hAnsi="宋体" w:eastAsia="楷体_GB2312" w:cs="宋体"/>
                                <w:sz w:val="21"/>
                                <w:szCs w:val="21"/>
                              </w:rPr>
                              <w:t>；军工企业与民营企业融合工程</w:t>
                            </w:r>
                            <w:bookmarkEnd w:id="7"/>
                            <w:bookmarkEnd w:id="8"/>
                            <w:bookmarkEnd w:id="9"/>
                            <w:bookmarkStart w:id="10" w:name="_Toc440573481"/>
                            <w:bookmarkStart w:id="11" w:name="_Toc440573075"/>
                            <w:r>
                              <w:rPr>
                                <w:rFonts w:hint="eastAsia" w:ascii="楷体_GB2312" w:hAnsi="宋体" w:eastAsia="楷体_GB2312" w:cs="宋体"/>
                                <w:sz w:val="21"/>
                                <w:szCs w:val="21"/>
                              </w:rPr>
                              <w:t>；工业质量品牌建设工程</w:t>
                            </w:r>
                            <w:bookmarkEnd w:id="10"/>
                            <w:bookmarkEnd w:id="11"/>
                            <w:r>
                              <w:rPr>
                                <w:rFonts w:hint="eastAsia" w:ascii="楷体_GB2312" w:hAnsi="宋体" w:eastAsia="楷体_GB2312" w:cs="宋体"/>
                                <w:sz w:val="21"/>
                                <w:szCs w:val="21"/>
                              </w:rPr>
                              <w:t>。</w:t>
                            </w:r>
                          </w:p>
                          <w:p>
                            <w:pPr>
                              <w:spacing w:line="300" w:lineRule="exact"/>
                              <w:ind w:firstLine="640"/>
                            </w:pPr>
                          </w:p>
                        </w:txbxContent>
                      </wps:txbx>
                      <wps:bodyPr wrap="square" upright="1"/>
                    </wps:wsp>
                  </a:graphicData>
                </a:graphic>
              </wp:anchor>
            </w:drawing>
          </mc:Choice>
          <mc:Fallback>
            <w:pict>
              <v:shape id="文本框 161" o:spid="_x0000_s1026" o:spt="202" type="#_x0000_t202" style="position:absolute;left:0pt;margin-left:1pt;margin-top:12.25pt;height:148.8pt;width:441pt;mso-wrap-distance-bottom:0pt;mso-wrap-distance-left:9pt;mso-wrap-distance-right:9pt;mso-wrap-distance-top:0pt;z-index:251714560;mso-width-relative:page;mso-height-relative:page;" fillcolor="#FFFFFF" filled="t" stroked="t" coordsize="21600,21600" o:gfxdata="UEsDBAoAAAAAAIdO4kAAAAAAAAAAAAAAAAAEAAAAZHJzL1BLAwQUAAAACACHTuJAorfkKtgAAAAI&#10;AQAADwAAAGRycy9kb3ducmV2LnhtbE2PQU/DMAyF70j8h8hIXBBL25VRStMdkEBwg4HgmjVeW5E4&#10;Jcm68e8xJzhZ9nt6/l6zPjorZgxx9KQgX2QgkDpvRuoVvL3eX1YgYtJktPWECr4xwro9PWl0bfyB&#10;XnDepF5wCMVaKxhSmmopYzeg03HhJyTWdj44nXgNvTRBHzjcWVlk2Uo6PRJ/GPSEdwN2n5u9U1CV&#10;j/NHfFo+v3ernb1JF9fzw1dQ6vwsz25BJDymPzP84jM6tMy09XsyUVgFBTdJPMorECxXVcmHrYJl&#10;UeQg20b+L9D+AFBLAwQUAAAACACHTuJATWcAnBsCAABIBAAADgAAAGRycy9lMm9Eb2MueG1srVTN&#10;jtMwEL4j8Q6W7zRppXa7UdOVoJQLAqSFB3Adp7HkP2y3SV8A3oATF+481z4Hn91u9wcOPZBDMvaM&#10;v5nvm3EWN4NWZC98kNbUdDwqKRGG20aabU2/fF6/mlMSIjMNU9aImh5EoDfLly8WvavExHZWNcIT&#10;gJhQ9a6mXYyuKorAO6FZGFknDJyt9ZpFLP22aDzrga5VMSnLWdFb3zhvuQgBu6ujk54Q/SWAtm0l&#10;FyvLd1qYeET1QrEISqGTLtBlrrZtBY8f2zaISFRNwTTmN5LA3qR3sVywauuZ6yQ/lcAuKeEZJ82k&#10;QdIz1IpFRnZe/gWlJfc22DaOuNXFkUhWBCzG5TNtbjvmROYCqYM7ix7+Hyz/sP/kiWxqOp1SYphG&#10;x+9+fL/7+fvu1zcyno2TQr0LFQJvHULj8NoOmJv7/YDNRHxovU5fUCLwQ9/DWV8xRMKxOZ2V5VUJ&#10;F4dvPJ9fX81yB4qH486H+E5YTZJRU48GZl3Z/n2IKAWh9yEpW7BKNmupVF747eaN8mTP0Ox1flKV&#10;OPIkTBnS1/R6OgFhzjDBLSYHpnZQIZhtzvfkRHgMXObnX8CpsBUL3bGAjJDCWKVlFD5bnWDNW9OQ&#10;eHAQ2uCC0VSMFg0lSuA+JitHRibVJZFgpwxIph4de5GsOGwGwCRzY5sD+tZjxkHv64555Nw5L7cd&#10;BM59zIcxYFmr02VIE/x4nVM8/AC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it+Qq2AAAAAgB&#10;AAAPAAAAAAAAAAEAIAAAACIAAABkcnMvZG93bnJldi54bWxQSwECFAAUAAAACACHTuJATWcAnBsC&#10;AABIBAAADgAAAAAAAAABACAAAAAnAQAAZHJzL2Uyb0RvYy54bWxQSwUGAAAAAAYABgBZAQAAtAUA&#10;AAAA&#10;">
                <v:fill on="t" focussize="0,0"/>
                <v:stroke color="#000000" joinstyle="miter"/>
                <v:imagedata o:title=""/>
                <o:lock v:ext="edit" aspectratio="f"/>
                <v:textbox>
                  <w:txbxContent>
                    <w:p>
                      <w:pPr>
                        <w:spacing w:after="0" w:line="300" w:lineRule="exact"/>
                        <w:rPr>
                          <w:rFonts w:hint="eastAsia" w:ascii="黑体" w:hAnsi="黑体" w:eastAsia="黑体" w:cs="宋体"/>
                          <w:sz w:val="21"/>
                          <w:szCs w:val="21"/>
                        </w:rPr>
                      </w:pPr>
                      <w:r>
                        <w:rPr>
                          <w:rFonts w:hint="eastAsia" w:ascii="楷体_GB2312" w:hAnsi="黑体" w:eastAsia="楷体_GB2312" w:cs="仿宋_GB2312"/>
                          <w:b/>
                          <w:bCs/>
                          <w:sz w:val="21"/>
                          <w:szCs w:val="21"/>
                        </w:rPr>
                        <w:t>专栏14</w:t>
                      </w:r>
                    </w:p>
                    <w:p>
                      <w:pPr>
                        <w:spacing w:after="0" w:line="300" w:lineRule="exact"/>
                        <w:jc w:val="center"/>
                        <w:rPr>
                          <w:rFonts w:hint="eastAsia" w:ascii="楷体_GB2312" w:hAnsi="宋体" w:eastAsia="楷体_GB2312" w:cs="宋体"/>
                          <w:b/>
                          <w:sz w:val="21"/>
                          <w:szCs w:val="21"/>
                        </w:rPr>
                      </w:pPr>
                      <w:r>
                        <w:rPr>
                          <w:rFonts w:hint="eastAsia" w:ascii="黑体" w:hAnsi="黑体" w:eastAsia="黑体" w:cs="宋体"/>
                          <w:b/>
                          <w:sz w:val="21"/>
                          <w:szCs w:val="21"/>
                        </w:rPr>
                        <w:t>工业发展重大战略</w:t>
                      </w:r>
                    </w:p>
                    <w:p>
                      <w:pPr>
                        <w:spacing w:after="0" w:line="300" w:lineRule="exact"/>
                        <w:ind w:firstLine="422" w:firstLineChars="200"/>
                        <w:jc w:val="both"/>
                        <w:rPr>
                          <w:rFonts w:hint="eastAsia" w:ascii="楷体_GB2312" w:hAnsi="宋体" w:eastAsia="楷体_GB2312" w:cs="宋体"/>
                          <w:sz w:val="21"/>
                          <w:szCs w:val="21"/>
                        </w:rPr>
                      </w:pPr>
                      <w:r>
                        <w:rPr>
                          <w:rFonts w:hint="eastAsia" w:ascii="楷体_GB2312" w:hAnsi="宋体" w:eastAsia="楷体_GB2312" w:cs="宋体"/>
                          <w:b/>
                          <w:sz w:val="21"/>
                          <w:szCs w:val="21"/>
                        </w:rPr>
                        <w:t>“1553”行动计划：</w:t>
                      </w:r>
                      <w:r>
                        <w:rPr>
                          <w:rFonts w:hint="eastAsia" w:ascii="楷体_GB2312" w:hAnsi="宋体" w:eastAsia="楷体_GB2312" w:cs="宋体"/>
                          <w:sz w:val="21"/>
                          <w:szCs w:val="21"/>
                        </w:rPr>
                        <w:t>“1”：实现工业总产值比“十二五”末翻一番；“5”：五大支柱产业；“5”：五大战略新兴产业；“3”：三大特色产业。</w:t>
                      </w:r>
                    </w:p>
                    <w:p>
                      <w:pPr>
                        <w:spacing w:after="0" w:line="300" w:lineRule="exact"/>
                        <w:ind w:firstLine="422" w:firstLineChars="200"/>
                        <w:jc w:val="both"/>
                        <w:rPr>
                          <w:rFonts w:hint="eastAsia" w:ascii="楷体_GB2312" w:hAnsi="宋体" w:eastAsia="楷体_GB2312" w:cs="宋体"/>
                          <w:sz w:val="21"/>
                          <w:szCs w:val="21"/>
                        </w:rPr>
                      </w:pPr>
                      <w:r>
                        <w:rPr>
                          <w:rFonts w:hint="eastAsia" w:ascii="楷体_GB2312" w:hAnsi="宋体" w:eastAsia="楷体_GB2312" w:cs="宋体"/>
                          <w:b/>
                          <w:sz w:val="21"/>
                          <w:szCs w:val="21"/>
                        </w:rPr>
                        <w:t>“四个基地”：</w:t>
                      </w:r>
                      <w:r>
                        <w:rPr>
                          <w:rFonts w:hint="eastAsia" w:ascii="楷体_GB2312" w:hAnsi="宋体" w:eastAsia="楷体_GB2312" w:cs="宋体"/>
                          <w:sz w:val="21"/>
                          <w:szCs w:val="21"/>
                        </w:rPr>
                        <w:t>以汽车及汽车零部件为主的高端装备制造业基地；以钛及钛合金为主的国家新材料高技术产业基地；以好猫烟和西凤酒为主的西北食品加工基地；以麟北煤田开发和煤制甲醇为主的煤及煤化工产业基地。</w:t>
                      </w:r>
                    </w:p>
                    <w:p>
                      <w:pPr>
                        <w:spacing w:after="0" w:line="300" w:lineRule="exact"/>
                        <w:ind w:firstLine="422" w:firstLineChars="200"/>
                        <w:jc w:val="both"/>
                        <w:rPr>
                          <w:rFonts w:ascii="楷体_GB2312" w:hAnsi="宋体" w:eastAsia="楷体_GB2312" w:cs="宋体"/>
                          <w:sz w:val="21"/>
                          <w:szCs w:val="21"/>
                        </w:rPr>
                      </w:pPr>
                      <w:r>
                        <w:rPr>
                          <w:rFonts w:hint="eastAsia" w:ascii="楷体_GB2312" w:hAnsi="宋体" w:eastAsia="楷体_GB2312" w:cs="宋体"/>
                          <w:b/>
                          <w:sz w:val="21"/>
                          <w:szCs w:val="21"/>
                        </w:rPr>
                        <w:t>“五大工程”：</w:t>
                      </w:r>
                      <w:r>
                        <w:rPr>
                          <w:rFonts w:hint="eastAsia" w:ascii="楷体_GB2312" w:hAnsi="宋体" w:eastAsia="楷体_GB2312" w:cs="宋体"/>
                          <w:sz w:val="21"/>
                          <w:szCs w:val="21"/>
                        </w:rPr>
                        <w:t>工业产业集群壮大工程</w:t>
                      </w:r>
                      <w:bookmarkStart w:id="2" w:name="_Toc440573478"/>
                      <w:bookmarkStart w:id="3" w:name="_Toc440573072"/>
                      <w:bookmarkStart w:id="4" w:name="_Toc428974112"/>
                      <w:r>
                        <w:rPr>
                          <w:rFonts w:hint="eastAsia" w:ascii="楷体_GB2312" w:hAnsi="宋体" w:eastAsia="楷体_GB2312" w:cs="宋体"/>
                          <w:sz w:val="21"/>
                          <w:szCs w:val="21"/>
                        </w:rPr>
                        <w:t>；工业创新能力提升工程</w:t>
                      </w:r>
                      <w:bookmarkEnd w:id="2"/>
                      <w:bookmarkEnd w:id="3"/>
                      <w:bookmarkStart w:id="5" w:name="_Toc440573479"/>
                      <w:bookmarkStart w:id="6" w:name="_Toc440573073"/>
                      <w:r>
                        <w:rPr>
                          <w:rFonts w:hint="eastAsia" w:ascii="楷体_GB2312" w:hAnsi="宋体" w:eastAsia="楷体_GB2312" w:cs="宋体"/>
                          <w:sz w:val="21"/>
                          <w:szCs w:val="21"/>
                        </w:rPr>
                        <w:t>；工业化和信息化深度融合工程</w:t>
                      </w:r>
                      <w:bookmarkEnd w:id="4"/>
                      <w:bookmarkEnd w:id="5"/>
                      <w:bookmarkEnd w:id="6"/>
                      <w:bookmarkStart w:id="7" w:name="_Toc440573074"/>
                      <w:bookmarkStart w:id="8" w:name="_Toc428974114"/>
                      <w:bookmarkStart w:id="9" w:name="_Toc440573480"/>
                      <w:r>
                        <w:rPr>
                          <w:rFonts w:hint="eastAsia" w:ascii="楷体_GB2312" w:hAnsi="宋体" w:eastAsia="楷体_GB2312" w:cs="宋体"/>
                          <w:sz w:val="21"/>
                          <w:szCs w:val="21"/>
                        </w:rPr>
                        <w:t>；军工企业与民营企业融合工程</w:t>
                      </w:r>
                      <w:bookmarkEnd w:id="7"/>
                      <w:bookmarkEnd w:id="8"/>
                      <w:bookmarkEnd w:id="9"/>
                      <w:bookmarkStart w:id="10" w:name="_Toc440573481"/>
                      <w:bookmarkStart w:id="11" w:name="_Toc440573075"/>
                      <w:r>
                        <w:rPr>
                          <w:rFonts w:hint="eastAsia" w:ascii="楷体_GB2312" w:hAnsi="宋体" w:eastAsia="楷体_GB2312" w:cs="宋体"/>
                          <w:sz w:val="21"/>
                          <w:szCs w:val="21"/>
                        </w:rPr>
                        <w:t>；工业质量品牌建设工程</w:t>
                      </w:r>
                      <w:bookmarkEnd w:id="10"/>
                      <w:bookmarkEnd w:id="11"/>
                      <w:r>
                        <w:rPr>
                          <w:rFonts w:hint="eastAsia" w:ascii="楷体_GB2312" w:hAnsi="宋体" w:eastAsia="楷体_GB2312" w:cs="宋体"/>
                          <w:sz w:val="21"/>
                          <w:szCs w:val="21"/>
                        </w:rPr>
                        <w:t>。</w:t>
                      </w:r>
                    </w:p>
                    <w:p>
                      <w:pPr>
                        <w:spacing w:line="300" w:lineRule="exact"/>
                        <w:ind w:firstLine="640"/>
                      </w:pPr>
                    </w:p>
                  </w:txbxContent>
                </v:textbox>
                <w10:wrap type="square"/>
              </v:shape>
            </w:pict>
          </mc:Fallback>
        </mc:AlternateContent>
      </w:r>
    </w:p>
    <w:p>
      <w:pPr>
        <w:spacing w:after="0" w:line="600" w:lineRule="exact"/>
        <w:jc w:val="center"/>
        <w:rPr>
          <w:rFonts w:ascii="楷体_GB2312" w:eastAsia="楷体_GB2312"/>
          <w:b/>
          <w:sz w:val="32"/>
          <w:szCs w:val="32"/>
        </w:rPr>
      </w:pPr>
      <w:r>
        <w:rPr>
          <w:rFonts w:hint="eastAsia" w:ascii="楷体_GB2312" w:eastAsia="楷体_GB2312"/>
          <w:b/>
          <w:sz w:val="32"/>
          <w:szCs w:val="32"/>
        </w:rPr>
        <w:t>第二节</w:t>
      </w:r>
      <w:r>
        <w:rPr>
          <w:rFonts w:ascii="楷体_GB2312" w:eastAsia="楷体_GB2312"/>
          <w:b/>
          <w:sz w:val="32"/>
          <w:szCs w:val="32"/>
        </w:rPr>
        <w:t xml:space="preserve">  </w:t>
      </w:r>
      <w:r>
        <w:rPr>
          <w:rFonts w:hint="eastAsia" w:ascii="楷体_GB2312" w:eastAsia="楷体_GB2312"/>
          <w:b/>
          <w:sz w:val="32"/>
          <w:szCs w:val="32"/>
        </w:rPr>
        <w:t>做强做大支柱产业</w:t>
      </w:r>
    </w:p>
    <w:p>
      <w:pPr>
        <w:widowControl w:val="0"/>
        <w:spacing w:after="0" w:line="600" w:lineRule="exact"/>
        <w:ind w:firstLine="640"/>
        <w:jc w:val="both"/>
        <w:rPr>
          <w:rFonts w:hint="eastAsia" w:ascii="仿宋_GB2312" w:hAnsi="宋体" w:eastAsia="仿宋_GB2312" w:cs="宋体"/>
        </w:rPr>
      </w:pPr>
      <w:r>
        <w:rPr>
          <w:rFonts w:hint="eastAsia" w:ascii="仿宋_GB2312" w:eastAsia="仿宋_GB2312"/>
          <w:sz w:val="32"/>
          <w:szCs w:val="32"/>
        </w:rPr>
        <w:t>继续实施大企业、大集团战略，加强和完善产业配套，优化和提升产业集群发展，依托我市机床工具类龙头企业—秦川机床，国产汽车制造龙头企业—吉利汽车、陕汽集团，石油装备制造业龙头企业—宝石机械、宝石钢管，铁路装备制造业龙头企业—宝桥集团、中铁电气化集团及中车时代等雄厚的工业优势，运用先进的信息化技术</w:t>
      </w:r>
      <w:r>
        <w:rPr>
          <w:rFonts w:hint="eastAsia" w:ascii="仿宋_GB2312" w:eastAsia="仿宋_GB2312"/>
          <w:color w:val="000000"/>
          <w:sz w:val="32"/>
          <w:szCs w:val="32"/>
        </w:rPr>
        <w:t>和“互联网+”对装备制造行业进行升级改造，打造“宝鸡智造”。做大做强汽车及汽车零部件、钛及钛合金、烟酒食品、能源化工、优势装备制造等五大支柱产业，形成大产业集群。到“十三五”</w:t>
      </w:r>
      <w:r>
        <w:rPr>
          <w:rFonts w:ascii="仿宋_GB2312" w:eastAsia="仿宋_GB2312"/>
          <w:color w:val="000000"/>
          <w:sz w:val="32"/>
          <w:szCs w:val="32"/>
        </w:rPr>
        <w:t>末</w:t>
      </w:r>
      <w:r>
        <w:rPr>
          <w:rFonts w:hint="eastAsia" w:ascii="仿宋_GB2312" w:eastAsia="仿宋_GB2312"/>
          <w:sz w:val="32"/>
          <w:szCs w:val="32"/>
        </w:rPr>
        <w:t>，五大支柱产业总产值达到4</w:t>
      </w:r>
      <w:r>
        <w:rPr>
          <w:rFonts w:ascii="仿宋_GB2312" w:eastAsia="仿宋_GB2312"/>
          <w:color w:val="FF0000"/>
          <w:sz w:val="32"/>
          <w:szCs w:val="32"/>
        </w:rPr>
        <w:t>7</w:t>
      </w:r>
      <w:r>
        <w:rPr>
          <w:rFonts w:hint="eastAsia" w:ascii="仿宋_GB2312" w:eastAsia="仿宋_GB2312"/>
          <w:sz w:val="32"/>
          <w:szCs w:val="32"/>
        </w:rPr>
        <w:t>00亿元，本地产业配套率达到40%以上。</w:t>
      </w:r>
    </w:p>
    <w:p>
      <w:pPr>
        <w:widowControl w:val="0"/>
        <w:spacing w:after="0" w:line="600" w:lineRule="exact"/>
        <w:jc w:val="center"/>
        <w:rPr>
          <w:rFonts w:ascii="楷体_GB2312" w:eastAsia="楷体_GB2312"/>
          <w:b/>
          <w:sz w:val="32"/>
          <w:szCs w:val="32"/>
        </w:rPr>
      </w:pPr>
      <w:r>
        <w:rPr>
          <w:lang/>
        </w:rPr>
        <mc:AlternateContent>
          <mc:Choice Requires="wps">
            <w:drawing>
              <wp:anchor distT="45720" distB="45720" distL="114300" distR="114300" simplePos="0" relativeHeight="251713536" behindDoc="0" locked="0" layoutInCell="1" allowOverlap="0">
                <wp:simplePos x="0" y="0"/>
                <wp:positionH relativeFrom="column">
                  <wp:posOffset>6985</wp:posOffset>
                </wp:positionH>
                <wp:positionV relativeFrom="paragraph">
                  <wp:posOffset>100330</wp:posOffset>
                </wp:positionV>
                <wp:extent cx="5600700" cy="4834890"/>
                <wp:effectExtent l="4445" t="5080" r="14605" b="17780"/>
                <wp:wrapNone/>
                <wp:docPr id="54" name="文本框 2"/>
                <wp:cNvGraphicFramePr/>
                <a:graphic xmlns:a="http://schemas.openxmlformats.org/drawingml/2006/main">
                  <a:graphicData uri="http://schemas.microsoft.com/office/word/2010/wordprocessingShape">
                    <wps:wsp>
                      <wps:cNvSpPr txBox="1"/>
                      <wps:spPr>
                        <a:xfrm>
                          <a:off x="0" y="0"/>
                          <a:ext cx="5600700" cy="4834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b/>
                                <w:sz w:val="21"/>
                              </w:rPr>
                            </w:pPr>
                            <w:r>
                              <w:rPr>
                                <w:rFonts w:hint="eastAsia" w:ascii="楷体_GB2312" w:hAnsi="黑体" w:eastAsia="楷体_GB2312" w:cs="仿宋_GB2312"/>
                                <w:b/>
                                <w:bCs/>
                                <w:sz w:val="21"/>
                                <w:szCs w:val="21"/>
                              </w:rPr>
                              <w:t>专栏15</w:t>
                            </w:r>
                          </w:p>
                          <w:p>
                            <w:pPr>
                              <w:spacing w:after="0" w:line="300" w:lineRule="exact"/>
                              <w:jc w:val="center"/>
                              <w:rPr>
                                <w:rFonts w:hint="eastAsia" w:ascii="楷体_GB2312" w:eastAsia="楷体_GB2312"/>
                                <w:b/>
                                <w:sz w:val="21"/>
                              </w:rPr>
                            </w:pPr>
                            <w:r>
                              <w:rPr>
                                <w:rFonts w:hint="eastAsia" w:ascii="黑体" w:hAnsi="黑体" w:eastAsia="黑体"/>
                                <w:b/>
                                <w:sz w:val="21"/>
                              </w:rPr>
                              <w:t>五大支柱产业</w:t>
                            </w:r>
                          </w:p>
                          <w:p>
                            <w:pPr>
                              <w:spacing w:after="0" w:line="300" w:lineRule="exact"/>
                              <w:ind w:firstLine="422" w:firstLineChars="200"/>
                              <w:jc w:val="both"/>
                              <w:rPr>
                                <w:rFonts w:hint="eastAsia" w:ascii="楷体_GB2312" w:eastAsia="楷体_GB2312"/>
                                <w:sz w:val="21"/>
                                <w:szCs w:val="21"/>
                              </w:rPr>
                            </w:pPr>
                            <w:r>
                              <w:rPr>
                                <w:rFonts w:hint="eastAsia" w:ascii="楷体_GB2312" w:eastAsia="楷体_GB2312"/>
                                <w:b/>
                                <w:sz w:val="21"/>
                                <w:szCs w:val="21"/>
                              </w:rPr>
                              <w:t>汽车及汽车零部件（含新能源汽车和特种车辆）产业。</w:t>
                            </w:r>
                            <w:r>
                              <w:rPr>
                                <w:rFonts w:hint="eastAsia" w:ascii="楷体_GB2312" w:eastAsia="楷体_GB2312"/>
                                <w:sz w:val="21"/>
                                <w:szCs w:val="21"/>
                              </w:rPr>
                              <w:t>以龙头企业实现产能为引领，带动本地中小企业配套发展，形成集整车、发动机及汽车零部件为一体的汽车产业链，以大项目支撑，园区化承载为基础，建设以汽车及汽车零部件为主的高端装备制造业基地。到2020年末，汽车及汽车零部件产业产值达到1000亿元。</w:t>
                            </w:r>
                          </w:p>
                          <w:p>
                            <w:pPr>
                              <w:spacing w:after="0" w:line="300" w:lineRule="exact"/>
                              <w:ind w:firstLine="422" w:firstLineChars="200"/>
                              <w:jc w:val="both"/>
                              <w:rPr>
                                <w:rFonts w:hint="eastAsia" w:ascii="楷体_GB2312" w:eastAsia="楷体_GB2312"/>
                                <w:sz w:val="21"/>
                                <w:szCs w:val="21"/>
                              </w:rPr>
                            </w:pPr>
                            <w:r>
                              <w:rPr>
                                <w:rFonts w:hint="eastAsia" w:ascii="楷体_GB2312" w:eastAsia="楷体_GB2312"/>
                                <w:b/>
                                <w:sz w:val="21"/>
                                <w:szCs w:val="21"/>
                              </w:rPr>
                              <w:t>钛及钛合金（含其它稀有金属及3D打印新材料）产业。</w:t>
                            </w:r>
                            <w:r>
                              <w:rPr>
                                <w:rFonts w:hint="eastAsia" w:ascii="楷体_GB2312" w:eastAsia="楷体_GB2312"/>
                                <w:sz w:val="21"/>
                                <w:szCs w:val="21"/>
                              </w:rPr>
                              <w:t>以钛产业链延伸和产品精细化、高档化为方向，引导企业创新发展，支持宝钛集团通过资源整合实施增长战略，支持引导民营钛企业技术上水平、产品上档次，走差异化发展道路，加快我市以钛及钛合金为主的国家新材料高技术产业基地的建设步伐，打造“宝鸡•中国钛谷”。到2020年末，钛及钛合金产业产值达到1000亿元。</w:t>
                            </w:r>
                          </w:p>
                          <w:p>
                            <w:pPr>
                              <w:spacing w:after="0" w:line="300" w:lineRule="exact"/>
                              <w:ind w:firstLine="422" w:firstLineChars="200"/>
                              <w:jc w:val="both"/>
                              <w:rPr>
                                <w:rFonts w:hint="eastAsia" w:ascii="楷体_GB2312" w:eastAsia="楷体_GB2312"/>
                                <w:sz w:val="21"/>
                                <w:szCs w:val="21"/>
                              </w:rPr>
                            </w:pPr>
                            <w:r>
                              <w:rPr>
                                <w:rFonts w:hint="eastAsia" w:ascii="楷体_GB2312" w:eastAsia="楷体_GB2312"/>
                                <w:b/>
                                <w:sz w:val="21"/>
                                <w:szCs w:val="21"/>
                              </w:rPr>
                              <w:t>烟酒食品产业。</w:t>
                            </w:r>
                            <w:r>
                              <w:rPr>
                                <w:rFonts w:hint="eastAsia" w:ascii="楷体_GB2312" w:eastAsia="楷体_GB2312"/>
                                <w:sz w:val="21"/>
                                <w:szCs w:val="21"/>
                              </w:rPr>
                              <w:t>依托丰富的农林牧副资源，大力发展农产品深加工，积极开发新产品，加快技术、工艺、装备改造，运用互联网+，形成“食材基地－食品加工－电商贸易”的新型发展模式，增强市场竞争力、进入产业高中端。以集群化方式打造以好猫烟和西凤酒为主的西北食品加工基地。到2020年末，烟酒食品产业产值达到1000亿元。</w:t>
                            </w:r>
                          </w:p>
                          <w:p>
                            <w:pPr>
                              <w:spacing w:after="0" w:line="300" w:lineRule="exact"/>
                              <w:ind w:firstLine="422" w:firstLineChars="200"/>
                              <w:jc w:val="both"/>
                              <w:rPr>
                                <w:rFonts w:hint="eastAsia" w:ascii="楷体_GB2312" w:eastAsia="楷体_GB2312"/>
                                <w:color w:val="000000"/>
                                <w:sz w:val="21"/>
                                <w:szCs w:val="21"/>
                              </w:rPr>
                            </w:pPr>
                            <w:r>
                              <w:rPr>
                                <w:rFonts w:hint="eastAsia" w:ascii="楷体_GB2312" w:eastAsia="楷体_GB2312"/>
                                <w:b/>
                                <w:sz w:val="21"/>
                                <w:szCs w:val="21"/>
                              </w:rPr>
                              <w:t>能源化工产业。</w:t>
                            </w:r>
                            <w:r>
                              <w:rPr>
                                <w:rFonts w:hint="eastAsia" w:ascii="楷体_GB2312" w:eastAsia="楷体_GB2312"/>
                                <w:sz w:val="21"/>
                                <w:szCs w:val="21"/>
                              </w:rPr>
                              <w:t>以煤转电、煤</w:t>
                            </w:r>
                            <w:r>
                              <w:rPr>
                                <w:rFonts w:hint="eastAsia" w:ascii="楷体_GB2312" w:eastAsia="楷体_GB2312"/>
                                <w:color w:val="000000"/>
                                <w:sz w:val="21"/>
                                <w:szCs w:val="21"/>
                              </w:rPr>
                              <w:t>化工为重点，以现代煤化工、燃料化工、有机化工、精细化工、合成材料为发展方向，充分利用麟游、凤翔、陇县的煤炭资源，继续发展煤制甲醇及煤的深加工产业链，打造以麟北煤田开发和煤制甲醇为主的煤及煤化工产业基地。到2020年末，能源化工产业产值达到1000亿元。</w:t>
                            </w:r>
                          </w:p>
                          <w:p>
                            <w:pPr>
                              <w:spacing w:after="0" w:line="300" w:lineRule="exact"/>
                              <w:ind w:firstLine="422" w:firstLineChars="200"/>
                              <w:jc w:val="both"/>
                              <w:rPr>
                                <w:rFonts w:hint="eastAsia" w:ascii="楷体_GB2312" w:eastAsia="楷体_GB2312"/>
                                <w:color w:val="000000"/>
                                <w:sz w:val="21"/>
                                <w:szCs w:val="21"/>
                              </w:rPr>
                            </w:pPr>
                            <w:r>
                              <w:rPr>
                                <w:rFonts w:hint="eastAsia" w:ascii="楷体_GB2312" w:eastAsia="楷体_GB2312"/>
                                <w:b/>
                                <w:color w:val="000000"/>
                                <w:sz w:val="21"/>
                                <w:szCs w:val="21"/>
                              </w:rPr>
                              <w:t>优势装备制造（石油</w:t>
                            </w:r>
                            <w:r>
                              <w:rPr>
                                <w:rFonts w:ascii="楷体_GB2312" w:eastAsia="楷体_GB2312"/>
                                <w:b/>
                                <w:color w:val="000000"/>
                                <w:sz w:val="21"/>
                                <w:szCs w:val="21"/>
                              </w:rPr>
                              <w:t>装备、轨道交通、电力设备）</w:t>
                            </w:r>
                            <w:r>
                              <w:rPr>
                                <w:rFonts w:hint="eastAsia" w:ascii="楷体_GB2312" w:eastAsia="楷体_GB2312"/>
                                <w:b/>
                                <w:color w:val="000000"/>
                                <w:sz w:val="21"/>
                                <w:szCs w:val="21"/>
                              </w:rPr>
                              <w:t>产业。</w:t>
                            </w:r>
                            <w:r>
                              <w:rPr>
                                <w:rFonts w:hint="eastAsia" w:ascii="楷体_GB2312" w:eastAsia="楷体_GB2312"/>
                                <w:color w:val="000000"/>
                                <w:sz w:val="21"/>
                                <w:szCs w:val="21"/>
                              </w:rPr>
                              <w:t>以低成本、差异化、国际化发展方向，巩固石油钻机和石油钢管的行业优势地位，带动石油装备产业集群不断发展壮大，建设中国“石油钢管加工制造中心”和“石油钻采设备制造中心”；抢抓“一带一路”和国内轨道交通加快建设带来的发展机遇，做大做强产业规模，以技术进步和创新发展提高我市轨道交通产业的优势地位和市场占有率；</w:t>
                            </w:r>
                            <w:r>
                              <w:rPr>
                                <w:rFonts w:ascii="楷体_GB2312" w:eastAsia="楷体_GB2312"/>
                                <w:color w:val="000000"/>
                                <w:sz w:val="21"/>
                                <w:szCs w:val="21"/>
                              </w:rPr>
                              <w:t>进一步提升电力设备制造产业</w:t>
                            </w:r>
                            <w:r>
                              <w:rPr>
                                <w:rFonts w:hint="eastAsia" w:ascii="楷体_GB2312" w:eastAsia="楷体_GB2312"/>
                                <w:color w:val="000000"/>
                                <w:sz w:val="21"/>
                                <w:szCs w:val="21"/>
                              </w:rPr>
                              <w:t>市场</w:t>
                            </w:r>
                            <w:r>
                              <w:rPr>
                                <w:rFonts w:ascii="楷体_GB2312" w:eastAsia="楷体_GB2312"/>
                                <w:color w:val="000000"/>
                                <w:sz w:val="21"/>
                                <w:szCs w:val="21"/>
                              </w:rPr>
                              <w:t>占有率</w:t>
                            </w:r>
                            <w:r>
                              <w:rPr>
                                <w:rFonts w:hint="eastAsia" w:ascii="楷体_GB2312" w:eastAsia="楷体_GB2312"/>
                                <w:color w:val="000000"/>
                                <w:sz w:val="21"/>
                                <w:szCs w:val="21"/>
                              </w:rPr>
                              <w:t>。到</w:t>
                            </w:r>
                            <w:r>
                              <w:rPr>
                                <w:rFonts w:ascii="楷体_GB2312" w:eastAsia="楷体_GB2312"/>
                                <w:color w:val="000000"/>
                                <w:sz w:val="21"/>
                                <w:szCs w:val="21"/>
                              </w:rPr>
                              <w:t>2020</w:t>
                            </w:r>
                            <w:r>
                              <w:rPr>
                                <w:rFonts w:hint="eastAsia" w:ascii="楷体_GB2312" w:eastAsia="楷体_GB2312"/>
                                <w:color w:val="000000"/>
                                <w:sz w:val="21"/>
                                <w:szCs w:val="21"/>
                              </w:rPr>
                              <w:t>年末，优势装备制造产业产值达到</w:t>
                            </w:r>
                            <w:r>
                              <w:rPr>
                                <w:rFonts w:ascii="楷体_GB2312" w:eastAsia="楷体_GB2312"/>
                                <w:color w:val="000000"/>
                                <w:sz w:val="21"/>
                                <w:szCs w:val="21"/>
                              </w:rPr>
                              <w:t>700</w:t>
                            </w:r>
                            <w:r>
                              <w:rPr>
                                <w:rFonts w:hint="eastAsia" w:ascii="楷体_GB2312" w:eastAsia="楷体_GB2312"/>
                                <w:color w:val="000000"/>
                                <w:sz w:val="21"/>
                                <w:szCs w:val="21"/>
                              </w:rPr>
                              <w:t>亿元。</w:t>
                            </w:r>
                          </w:p>
                        </w:txbxContent>
                      </wps:txbx>
                      <wps:bodyPr wrap="square" upright="1"/>
                    </wps:wsp>
                  </a:graphicData>
                </a:graphic>
              </wp:anchor>
            </w:drawing>
          </mc:Choice>
          <mc:Fallback>
            <w:pict>
              <v:shape id="文本框 2" o:spid="_x0000_s1026" o:spt="202" type="#_x0000_t202" style="position:absolute;left:0pt;margin-left:0.55pt;margin-top:7.9pt;height:380.7pt;width:441pt;z-index:251713536;mso-width-relative:margin;mso-height-relative:margin;" fillcolor="#FFFFFF" filled="t" stroked="t" coordsize="21600,21600" o:allowoverlap="f" o:gfxdata="UEsDBAoAAAAAAIdO4kAAAAAAAAAAAAAAAAAEAAAAZHJzL1BLAwQUAAAACACHTuJAr4izz9YAAAAI&#10;AQAADwAAAGRycy9kb3ducmV2LnhtbE1Py07DMBC8I/EP1iJxQdRJC00IcXpAAsENCmqvbrxNIux1&#10;sN20/D3LCU6r2RnNo16dnBUThjh4UpDPMhBIrTcDdQo+3h+vSxAxaTLaekIF3xhh1Zyf1boy/khv&#10;OK1TJ9iEYqUV9CmNlZSx7dHpOPMjEnN7H5xODEMnTdBHNndWzrNsKZ0eiBN6PeJDj+3n+uAUlDfP&#10;0za+LF437XJv79JVMT19BaUuL/LsHkTCU/oTw299rg4Nd9r5A5koLOOchXxueQDTZbngx05BURRz&#10;kE0t/w9ofgBQSwMEFAAAAAgAh07iQKu/mMMZAgAARgQAAA4AAABkcnMvZTJvRG9jLnhtbK1TS44T&#10;MRDdI3EHy3ume0IyZKJ0RoIQNgiQBg7guN3dlvzDdtKdC8ANWLFhz7lyDp6dTOYDiyzohbvsKr+q&#10;96o8vxm0Ilvhg7SmopcXJSXCcFtL01b0y+fViyklITJTM2WNqOhOBHqzeP5s3ruZGNnOqlp4AhAT&#10;Zr2raBejmxVF4J3QLFxYJwycjfWaRWx9W9Se9UDXqhiV5VXRW187b7kIAafLg5MeEf05gLZpJBdL&#10;yzdamHhA9UKxCEqhky7QRa62aQSPH5smiEhURcE05hVJYK/TWizmbNZ65jrJjyWwc0p4wkkzaZD0&#10;BLVkkZGNl39Bacm9DbaJF9zq4kAkKwIWl+UTbW475kTmAqmDO4ke/h8s/7D95ImsKzoZU2KYRsf3&#10;P77vf/7e//pGRkmf3oUZwm4dAuPw2g6YmrvzgMNEe2i8Tn8QIvBD3d1JXTFEwnE4uSrLVyVcHL7x&#10;9OV4ep31L+6vOx/iO2E1SUZFPdqXVWXb9yGiFITehaRswSpZr6RSeePb9RvlyZah1av8pSpx5VGY&#10;MqSv6PVkNEEhDPPbYG5gagcNgmlzvkc3wkPgMn//Ak6FLVnoDgVkhBTGZlpG4bPVCVa/NTWJOweZ&#10;DZ4XTcVoUVOiBF5jsnJkZFKdEwl2yoBk6tGhF8mKw3oATDLXtt6hbz0mHPS+bphHzo3zsu0gcO5j&#10;vozxylodn0Ka34f7nOL++S/+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s8/WAAAACAEAAA8A&#10;AAAAAAAAAQAgAAAAIgAAAGRycy9kb3ducmV2LnhtbFBLAQIUABQAAAAIAIdO4kCrv5jDGQIAAEYE&#10;AAAOAAAAAAAAAAEAIAAAACUBAABkcnMvZTJvRG9jLnhtbFBLBQYAAAAABgAGAFkBAACwBQAAAAA=&#10;">
                <v:fill on="t" focussize="0,0"/>
                <v:stroke color="#000000" joinstyle="miter"/>
                <v:imagedata o:title=""/>
                <o:lock v:ext="edit" aspectratio="f"/>
                <v:textbox>
                  <w:txbxContent>
                    <w:p>
                      <w:pPr>
                        <w:spacing w:after="0" w:line="300" w:lineRule="exact"/>
                        <w:rPr>
                          <w:rFonts w:hint="eastAsia" w:ascii="黑体" w:hAnsi="黑体" w:eastAsia="黑体"/>
                          <w:b/>
                          <w:sz w:val="21"/>
                        </w:rPr>
                      </w:pPr>
                      <w:r>
                        <w:rPr>
                          <w:rFonts w:hint="eastAsia" w:ascii="楷体_GB2312" w:hAnsi="黑体" w:eastAsia="楷体_GB2312" w:cs="仿宋_GB2312"/>
                          <w:b/>
                          <w:bCs/>
                          <w:sz w:val="21"/>
                          <w:szCs w:val="21"/>
                        </w:rPr>
                        <w:t>专栏15</w:t>
                      </w:r>
                    </w:p>
                    <w:p>
                      <w:pPr>
                        <w:spacing w:after="0" w:line="300" w:lineRule="exact"/>
                        <w:jc w:val="center"/>
                        <w:rPr>
                          <w:rFonts w:hint="eastAsia" w:ascii="楷体_GB2312" w:eastAsia="楷体_GB2312"/>
                          <w:b/>
                          <w:sz w:val="21"/>
                        </w:rPr>
                      </w:pPr>
                      <w:r>
                        <w:rPr>
                          <w:rFonts w:hint="eastAsia" w:ascii="黑体" w:hAnsi="黑体" w:eastAsia="黑体"/>
                          <w:b/>
                          <w:sz w:val="21"/>
                        </w:rPr>
                        <w:t>五大支柱产业</w:t>
                      </w:r>
                    </w:p>
                    <w:p>
                      <w:pPr>
                        <w:spacing w:after="0" w:line="300" w:lineRule="exact"/>
                        <w:ind w:firstLine="422" w:firstLineChars="200"/>
                        <w:jc w:val="both"/>
                        <w:rPr>
                          <w:rFonts w:hint="eastAsia" w:ascii="楷体_GB2312" w:eastAsia="楷体_GB2312"/>
                          <w:sz w:val="21"/>
                          <w:szCs w:val="21"/>
                        </w:rPr>
                      </w:pPr>
                      <w:r>
                        <w:rPr>
                          <w:rFonts w:hint="eastAsia" w:ascii="楷体_GB2312" w:eastAsia="楷体_GB2312"/>
                          <w:b/>
                          <w:sz w:val="21"/>
                          <w:szCs w:val="21"/>
                        </w:rPr>
                        <w:t>汽车及汽车零部件（含新能源汽车和特种车辆）产业。</w:t>
                      </w:r>
                      <w:r>
                        <w:rPr>
                          <w:rFonts w:hint="eastAsia" w:ascii="楷体_GB2312" w:eastAsia="楷体_GB2312"/>
                          <w:sz w:val="21"/>
                          <w:szCs w:val="21"/>
                        </w:rPr>
                        <w:t>以龙头企业实现产能为引领，带动本地中小企业配套发展，形成集整车、发动机及汽车零部件为一体的汽车产业链，以大项目支撑，园区化承载为基础，建设以汽车及汽车零部件为主的高端装备制造业基地。到2020年末，汽车及汽车零部件产业产值达到1000亿元。</w:t>
                      </w:r>
                    </w:p>
                    <w:p>
                      <w:pPr>
                        <w:spacing w:after="0" w:line="300" w:lineRule="exact"/>
                        <w:ind w:firstLine="422" w:firstLineChars="200"/>
                        <w:jc w:val="both"/>
                        <w:rPr>
                          <w:rFonts w:hint="eastAsia" w:ascii="楷体_GB2312" w:eastAsia="楷体_GB2312"/>
                          <w:sz w:val="21"/>
                          <w:szCs w:val="21"/>
                        </w:rPr>
                      </w:pPr>
                      <w:r>
                        <w:rPr>
                          <w:rFonts w:hint="eastAsia" w:ascii="楷体_GB2312" w:eastAsia="楷体_GB2312"/>
                          <w:b/>
                          <w:sz w:val="21"/>
                          <w:szCs w:val="21"/>
                        </w:rPr>
                        <w:t>钛及钛合金（含其它稀有金属及3D打印新材料）产业。</w:t>
                      </w:r>
                      <w:r>
                        <w:rPr>
                          <w:rFonts w:hint="eastAsia" w:ascii="楷体_GB2312" w:eastAsia="楷体_GB2312"/>
                          <w:sz w:val="21"/>
                          <w:szCs w:val="21"/>
                        </w:rPr>
                        <w:t>以钛产业链延伸和产品精细化、高档化为方向，引导企业创新发展，支持宝钛集团通过资源整合实施增长战略，支持引导民营钛企业技术上水平、产品上档次，走差异化发展道路，加快我市以钛及钛合金为主的国家新材料高技术产业基地的建设步伐，打造“宝鸡•中国钛谷”。到2020年末，钛及钛合金产业产值达到1000亿元。</w:t>
                      </w:r>
                    </w:p>
                    <w:p>
                      <w:pPr>
                        <w:spacing w:after="0" w:line="300" w:lineRule="exact"/>
                        <w:ind w:firstLine="422" w:firstLineChars="200"/>
                        <w:jc w:val="both"/>
                        <w:rPr>
                          <w:rFonts w:hint="eastAsia" w:ascii="楷体_GB2312" w:eastAsia="楷体_GB2312"/>
                          <w:sz w:val="21"/>
                          <w:szCs w:val="21"/>
                        </w:rPr>
                      </w:pPr>
                      <w:r>
                        <w:rPr>
                          <w:rFonts w:hint="eastAsia" w:ascii="楷体_GB2312" w:eastAsia="楷体_GB2312"/>
                          <w:b/>
                          <w:sz w:val="21"/>
                          <w:szCs w:val="21"/>
                        </w:rPr>
                        <w:t>烟酒食品产业。</w:t>
                      </w:r>
                      <w:r>
                        <w:rPr>
                          <w:rFonts w:hint="eastAsia" w:ascii="楷体_GB2312" w:eastAsia="楷体_GB2312"/>
                          <w:sz w:val="21"/>
                          <w:szCs w:val="21"/>
                        </w:rPr>
                        <w:t>依托丰富的农林牧副资源，大力发展农产品深加工，积极开发新产品，加快技术、工艺、装备改造，运用互联网+，形成“食材基地－食品加工－电商贸易”的新型发展模式，增强市场竞争力、进入产业高中端。以集群化方式打造以好猫烟和西凤酒为主的西北食品加工基地。到2020年末，烟酒食品产业产值达到1000亿元。</w:t>
                      </w:r>
                    </w:p>
                    <w:p>
                      <w:pPr>
                        <w:spacing w:after="0" w:line="300" w:lineRule="exact"/>
                        <w:ind w:firstLine="422" w:firstLineChars="200"/>
                        <w:jc w:val="both"/>
                        <w:rPr>
                          <w:rFonts w:hint="eastAsia" w:ascii="楷体_GB2312" w:eastAsia="楷体_GB2312"/>
                          <w:color w:val="000000"/>
                          <w:sz w:val="21"/>
                          <w:szCs w:val="21"/>
                        </w:rPr>
                      </w:pPr>
                      <w:r>
                        <w:rPr>
                          <w:rFonts w:hint="eastAsia" w:ascii="楷体_GB2312" w:eastAsia="楷体_GB2312"/>
                          <w:b/>
                          <w:sz w:val="21"/>
                          <w:szCs w:val="21"/>
                        </w:rPr>
                        <w:t>能源化工产业。</w:t>
                      </w:r>
                      <w:r>
                        <w:rPr>
                          <w:rFonts w:hint="eastAsia" w:ascii="楷体_GB2312" w:eastAsia="楷体_GB2312"/>
                          <w:sz w:val="21"/>
                          <w:szCs w:val="21"/>
                        </w:rPr>
                        <w:t>以煤转电、煤</w:t>
                      </w:r>
                      <w:r>
                        <w:rPr>
                          <w:rFonts w:hint="eastAsia" w:ascii="楷体_GB2312" w:eastAsia="楷体_GB2312"/>
                          <w:color w:val="000000"/>
                          <w:sz w:val="21"/>
                          <w:szCs w:val="21"/>
                        </w:rPr>
                        <w:t>化工为重点，以现代煤化工、燃料化工、有机化工、精细化工、合成材料为发展方向，充分利用麟游、凤翔、陇县的煤炭资源，继续发展煤制甲醇及煤的深加工产业链，打造以麟北煤田开发和煤制甲醇为主的煤及煤化工产业基地。到2020年末，能源化工产业产值达到1000亿元。</w:t>
                      </w:r>
                    </w:p>
                    <w:p>
                      <w:pPr>
                        <w:spacing w:after="0" w:line="300" w:lineRule="exact"/>
                        <w:ind w:firstLine="422" w:firstLineChars="200"/>
                        <w:jc w:val="both"/>
                        <w:rPr>
                          <w:rFonts w:hint="eastAsia" w:ascii="楷体_GB2312" w:eastAsia="楷体_GB2312"/>
                          <w:color w:val="000000"/>
                          <w:sz w:val="21"/>
                          <w:szCs w:val="21"/>
                        </w:rPr>
                      </w:pPr>
                      <w:r>
                        <w:rPr>
                          <w:rFonts w:hint="eastAsia" w:ascii="楷体_GB2312" w:eastAsia="楷体_GB2312"/>
                          <w:b/>
                          <w:color w:val="000000"/>
                          <w:sz w:val="21"/>
                          <w:szCs w:val="21"/>
                        </w:rPr>
                        <w:t>优势装备制造（石油</w:t>
                      </w:r>
                      <w:r>
                        <w:rPr>
                          <w:rFonts w:ascii="楷体_GB2312" w:eastAsia="楷体_GB2312"/>
                          <w:b/>
                          <w:color w:val="000000"/>
                          <w:sz w:val="21"/>
                          <w:szCs w:val="21"/>
                        </w:rPr>
                        <w:t>装备、轨道交通、电力设备）</w:t>
                      </w:r>
                      <w:r>
                        <w:rPr>
                          <w:rFonts w:hint="eastAsia" w:ascii="楷体_GB2312" w:eastAsia="楷体_GB2312"/>
                          <w:b/>
                          <w:color w:val="000000"/>
                          <w:sz w:val="21"/>
                          <w:szCs w:val="21"/>
                        </w:rPr>
                        <w:t>产业。</w:t>
                      </w:r>
                      <w:r>
                        <w:rPr>
                          <w:rFonts w:hint="eastAsia" w:ascii="楷体_GB2312" w:eastAsia="楷体_GB2312"/>
                          <w:color w:val="000000"/>
                          <w:sz w:val="21"/>
                          <w:szCs w:val="21"/>
                        </w:rPr>
                        <w:t>以低成本、差异化、国际化发展方向，巩固石油钻机和石油钢管的行业优势地位，带动石油装备产业集群不断发展壮大，建设中国“石油钢管加工制造中心”和“石油钻采设备制造中心”；抢抓“一带一路”和国内轨道交通加快建设带来的发展机遇，做大做强产业规模，以技术进步和创新发展提高我市轨道交通产业的优势地位和市场占有率；</w:t>
                      </w:r>
                      <w:r>
                        <w:rPr>
                          <w:rFonts w:ascii="楷体_GB2312" w:eastAsia="楷体_GB2312"/>
                          <w:color w:val="000000"/>
                          <w:sz w:val="21"/>
                          <w:szCs w:val="21"/>
                        </w:rPr>
                        <w:t>进一步提升电力设备制造产业</w:t>
                      </w:r>
                      <w:r>
                        <w:rPr>
                          <w:rFonts w:hint="eastAsia" w:ascii="楷体_GB2312" w:eastAsia="楷体_GB2312"/>
                          <w:color w:val="000000"/>
                          <w:sz w:val="21"/>
                          <w:szCs w:val="21"/>
                        </w:rPr>
                        <w:t>市场</w:t>
                      </w:r>
                      <w:r>
                        <w:rPr>
                          <w:rFonts w:ascii="楷体_GB2312" w:eastAsia="楷体_GB2312"/>
                          <w:color w:val="000000"/>
                          <w:sz w:val="21"/>
                          <w:szCs w:val="21"/>
                        </w:rPr>
                        <w:t>占有率</w:t>
                      </w:r>
                      <w:r>
                        <w:rPr>
                          <w:rFonts w:hint="eastAsia" w:ascii="楷体_GB2312" w:eastAsia="楷体_GB2312"/>
                          <w:color w:val="000000"/>
                          <w:sz w:val="21"/>
                          <w:szCs w:val="21"/>
                        </w:rPr>
                        <w:t>。到</w:t>
                      </w:r>
                      <w:r>
                        <w:rPr>
                          <w:rFonts w:ascii="楷体_GB2312" w:eastAsia="楷体_GB2312"/>
                          <w:color w:val="000000"/>
                          <w:sz w:val="21"/>
                          <w:szCs w:val="21"/>
                        </w:rPr>
                        <w:t>2020</w:t>
                      </w:r>
                      <w:r>
                        <w:rPr>
                          <w:rFonts w:hint="eastAsia" w:ascii="楷体_GB2312" w:eastAsia="楷体_GB2312"/>
                          <w:color w:val="000000"/>
                          <w:sz w:val="21"/>
                          <w:szCs w:val="21"/>
                        </w:rPr>
                        <w:t>年末，优势装备制造产业产值达到</w:t>
                      </w:r>
                      <w:r>
                        <w:rPr>
                          <w:rFonts w:ascii="楷体_GB2312" w:eastAsia="楷体_GB2312"/>
                          <w:color w:val="000000"/>
                          <w:sz w:val="21"/>
                          <w:szCs w:val="21"/>
                        </w:rPr>
                        <w:t>700</w:t>
                      </w:r>
                      <w:r>
                        <w:rPr>
                          <w:rFonts w:hint="eastAsia" w:ascii="楷体_GB2312" w:eastAsia="楷体_GB2312"/>
                          <w:color w:val="000000"/>
                          <w:sz w:val="21"/>
                          <w:szCs w:val="21"/>
                        </w:rPr>
                        <w:t>亿元。</w:t>
                      </w:r>
                    </w:p>
                  </w:txbxContent>
                </v:textbox>
              </v:shape>
            </w:pict>
          </mc:Fallback>
        </mc:AlternateContent>
      </w:r>
    </w:p>
    <w:p>
      <w:pPr>
        <w:spacing w:after="0" w:line="600" w:lineRule="exact"/>
        <w:jc w:val="center"/>
        <w:rPr>
          <w:rFonts w:ascii="楷体_GB2312" w:eastAsia="楷体_GB2312"/>
          <w:b/>
          <w:sz w:val="32"/>
          <w:szCs w:val="32"/>
        </w:rPr>
      </w:pPr>
    </w:p>
    <w:p>
      <w:pPr>
        <w:spacing w:after="0" w:line="600" w:lineRule="exact"/>
        <w:jc w:val="center"/>
        <w:rPr>
          <w:rFonts w:ascii="楷体_GB2312" w:eastAsia="楷体_GB2312"/>
          <w:b/>
          <w:sz w:val="32"/>
          <w:szCs w:val="32"/>
        </w:rPr>
      </w:pPr>
    </w:p>
    <w:p>
      <w:pPr>
        <w:spacing w:after="0" w:line="600" w:lineRule="exact"/>
        <w:jc w:val="center"/>
        <w:rPr>
          <w:rFonts w:ascii="楷体_GB2312" w:eastAsia="楷体_GB2312"/>
          <w:b/>
          <w:sz w:val="32"/>
          <w:szCs w:val="32"/>
        </w:rPr>
      </w:pPr>
    </w:p>
    <w:p>
      <w:pPr>
        <w:spacing w:after="0" w:line="600" w:lineRule="exact"/>
        <w:jc w:val="center"/>
        <w:rPr>
          <w:rFonts w:ascii="楷体_GB2312" w:eastAsia="楷体_GB2312"/>
          <w:b/>
          <w:sz w:val="32"/>
          <w:szCs w:val="32"/>
        </w:rPr>
      </w:pPr>
    </w:p>
    <w:p>
      <w:pPr>
        <w:spacing w:after="0" w:line="600" w:lineRule="exact"/>
        <w:jc w:val="center"/>
        <w:rPr>
          <w:rFonts w:ascii="楷体_GB2312" w:eastAsia="楷体_GB2312"/>
          <w:b/>
          <w:sz w:val="32"/>
          <w:szCs w:val="32"/>
        </w:rPr>
      </w:pPr>
    </w:p>
    <w:p>
      <w:pPr>
        <w:spacing w:after="0" w:line="600" w:lineRule="exact"/>
        <w:jc w:val="center"/>
        <w:rPr>
          <w:rFonts w:ascii="楷体_GB2312" w:eastAsia="楷体_GB2312"/>
          <w:b/>
          <w:sz w:val="32"/>
          <w:szCs w:val="32"/>
        </w:rPr>
      </w:pPr>
    </w:p>
    <w:p>
      <w:pPr>
        <w:spacing w:after="0" w:line="600" w:lineRule="exact"/>
        <w:jc w:val="center"/>
        <w:rPr>
          <w:rFonts w:ascii="楷体_GB2312" w:eastAsia="楷体_GB2312"/>
          <w:b/>
          <w:sz w:val="32"/>
          <w:szCs w:val="32"/>
        </w:rPr>
      </w:pPr>
    </w:p>
    <w:p>
      <w:pPr>
        <w:spacing w:after="0" w:line="600" w:lineRule="exact"/>
        <w:jc w:val="center"/>
        <w:rPr>
          <w:rFonts w:hint="eastAsia" w:ascii="楷体_GB2312" w:eastAsia="楷体_GB2312"/>
          <w:b/>
          <w:sz w:val="32"/>
          <w:szCs w:val="32"/>
        </w:rPr>
      </w:pPr>
    </w:p>
    <w:p>
      <w:pPr>
        <w:spacing w:after="0" w:line="600" w:lineRule="exact"/>
        <w:jc w:val="center"/>
        <w:rPr>
          <w:rFonts w:ascii="楷体_GB2312" w:eastAsia="楷体_GB2312"/>
          <w:b/>
          <w:sz w:val="32"/>
          <w:szCs w:val="32"/>
        </w:rPr>
      </w:pPr>
    </w:p>
    <w:p>
      <w:pPr>
        <w:spacing w:after="0" w:line="600" w:lineRule="exact"/>
        <w:jc w:val="center"/>
        <w:rPr>
          <w:rFonts w:ascii="楷体_GB2312" w:eastAsia="楷体_GB2312"/>
          <w:b/>
          <w:sz w:val="32"/>
          <w:szCs w:val="32"/>
        </w:rPr>
      </w:pPr>
    </w:p>
    <w:p>
      <w:pPr>
        <w:spacing w:after="0" w:line="600" w:lineRule="exact"/>
        <w:jc w:val="center"/>
        <w:rPr>
          <w:rFonts w:hint="eastAsia" w:ascii="楷体_GB2312" w:eastAsia="楷体_GB2312"/>
          <w:b/>
          <w:sz w:val="32"/>
          <w:szCs w:val="32"/>
        </w:rPr>
      </w:pPr>
    </w:p>
    <w:p>
      <w:pPr>
        <w:spacing w:after="0" w:line="600" w:lineRule="exact"/>
        <w:jc w:val="center"/>
        <w:rPr>
          <w:rFonts w:hint="eastAsia" w:ascii="楷体_GB2312" w:eastAsia="楷体_GB2312"/>
          <w:b/>
          <w:sz w:val="32"/>
          <w:szCs w:val="32"/>
        </w:rPr>
      </w:pPr>
      <w:r>
        <w:rPr>
          <w:rFonts w:hint="eastAsia" w:ascii="楷体_GB2312" w:eastAsia="楷体_GB2312"/>
          <w:b/>
          <w:sz w:val="32"/>
          <w:szCs w:val="32"/>
        </w:rPr>
        <w:t>第三节</w:t>
      </w:r>
      <w:r>
        <w:rPr>
          <w:rFonts w:ascii="楷体_GB2312" w:eastAsia="楷体_GB2312"/>
          <w:b/>
          <w:sz w:val="32"/>
          <w:szCs w:val="32"/>
        </w:rPr>
        <w:t xml:space="preserve">  </w:t>
      </w:r>
      <w:r>
        <w:rPr>
          <w:rFonts w:hint="eastAsia" w:ascii="楷体_GB2312" w:eastAsia="楷体_GB2312"/>
          <w:b/>
          <w:sz w:val="32"/>
          <w:szCs w:val="32"/>
        </w:rPr>
        <w:t>培育壮大战略性新兴产业</w:t>
      </w:r>
    </w:p>
    <w:p>
      <w:pPr>
        <w:spacing w:after="0" w:line="600" w:lineRule="exact"/>
        <w:ind w:firstLine="640"/>
        <w:jc w:val="both"/>
        <w:rPr>
          <w:rFonts w:ascii="仿宋_GB2312" w:eastAsia="仿宋_GB2312"/>
          <w:sz w:val="32"/>
          <w:szCs w:val="32"/>
        </w:rPr>
      </w:pPr>
      <w:r>
        <w:rPr>
          <w:rFonts w:hint="eastAsia" w:ascii="仿宋_GB2312" w:eastAsia="仿宋_GB2312"/>
          <w:sz w:val="32"/>
          <w:szCs w:val="32"/>
        </w:rPr>
        <w:t>充分利用我市现有基础和潜在优势，围绕航空航天、新能源及节能环</w:t>
      </w:r>
      <w:r>
        <w:rPr>
          <w:rFonts w:hint="eastAsia" w:ascii="仿宋_GB2312" w:eastAsia="仿宋_GB2312"/>
          <w:color w:val="000000"/>
          <w:sz w:val="32"/>
          <w:szCs w:val="32"/>
        </w:rPr>
        <w:t>保、电子信息及光通信、生物医药与健康设备、高档数控机床和智能制造等领域，坚持市场主导、创新引领、重点突破、园区承载</w:t>
      </w:r>
      <w:r>
        <w:rPr>
          <w:rFonts w:hint="eastAsia" w:ascii="仿宋_GB2312" w:eastAsia="仿宋_GB2312"/>
          <w:sz w:val="32"/>
          <w:szCs w:val="32"/>
        </w:rPr>
        <w:t>，积极引导人才、资金、土地等资源要素向战略性新兴产业集聚，强化科技创新，重点建设和完善产业链，使之成为支撑我市经济健康快速发展的新引擎，打造西部地区战略性新兴产业基地。到“十三五”</w:t>
      </w:r>
      <w:r>
        <w:rPr>
          <w:rFonts w:ascii="仿宋_GB2312" w:eastAsia="仿宋_GB2312"/>
          <w:sz w:val="32"/>
          <w:szCs w:val="32"/>
        </w:rPr>
        <w:t>末</w:t>
      </w:r>
      <w:r>
        <w:rPr>
          <w:rFonts w:hint="eastAsia" w:ascii="仿宋_GB2312" w:eastAsia="仿宋_GB2312"/>
          <w:sz w:val="32"/>
          <w:szCs w:val="32"/>
        </w:rPr>
        <w:t>，五大战略新兴产业总产值达到5</w:t>
      </w:r>
      <w:r>
        <w:rPr>
          <w:rFonts w:ascii="仿宋_GB2312" w:eastAsia="仿宋_GB2312"/>
          <w:sz w:val="32"/>
          <w:szCs w:val="32"/>
        </w:rPr>
        <w:t>00</w:t>
      </w:r>
      <w:r>
        <w:rPr>
          <w:rFonts w:hint="eastAsia" w:ascii="仿宋_GB2312" w:eastAsia="仿宋_GB2312"/>
          <w:sz w:val="32"/>
          <w:szCs w:val="32"/>
        </w:rPr>
        <w:t>亿元以上，力增加值占地区生产总值比重达到15%以上。</w:t>
      </w:r>
    </w:p>
    <w:p>
      <w:pPr>
        <w:pBdr>
          <w:bottom w:val="single" w:color="FFFFFF" w:sz="4" w:space="31"/>
        </w:pBdr>
        <w:topLinePunct/>
        <w:spacing w:after="0" w:line="100" w:lineRule="exact"/>
        <w:ind w:firstLine="640" w:firstLineChars="200"/>
        <w:jc w:val="both"/>
        <w:rPr>
          <w:rFonts w:hint="eastAsia" w:ascii="仿宋_GB2312" w:eastAsia="仿宋_GB2312"/>
          <w:sz w:val="32"/>
          <w:szCs w:val="32"/>
        </w:rPr>
      </w:pPr>
      <w:r>
        <w:rPr>
          <w:rFonts w:hint="eastAsia" w:ascii="仿宋_GB2312" w:eastAsia="仿宋_GB2312"/>
          <w:sz w:val="32"/>
          <w:szCs w:val="32"/>
          <w:lang/>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101600</wp:posOffset>
                </wp:positionV>
                <wp:extent cx="5600700" cy="3665220"/>
                <wp:effectExtent l="4445" t="4445" r="14605" b="6985"/>
                <wp:wrapSquare wrapText="bothSides"/>
                <wp:docPr id="47" name="文本框 152"/>
                <wp:cNvGraphicFramePr/>
                <a:graphic xmlns:a="http://schemas.openxmlformats.org/drawingml/2006/main">
                  <a:graphicData uri="http://schemas.microsoft.com/office/word/2010/wordprocessingShape">
                    <wps:wsp>
                      <wps:cNvSpPr txBox="1"/>
                      <wps:spPr>
                        <a:xfrm>
                          <a:off x="0" y="0"/>
                          <a:ext cx="5600700" cy="3665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专栏16</w:t>
                            </w:r>
                          </w:p>
                          <w:p>
                            <w:pPr>
                              <w:spacing w:after="0" w:line="300" w:lineRule="exact"/>
                              <w:jc w:val="center"/>
                              <w:rPr>
                                <w:rFonts w:hint="eastAsia" w:ascii="楷体_GB2312" w:eastAsia="楷体_GB2312"/>
                                <w:b/>
                                <w:sz w:val="21"/>
                                <w:szCs w:val="21"/>
                              </w:rPr>
                            </w:pPr>
                            <w:r>
                              <w:rPr>
                                <w:rFonts w:hint="eastAsia" w:ascii="黑体" w:hAnsi="黑体" w:eastAsia="黑体"/>
                                <w:b/>
                                <w:sz w:val="21"/>
                                <w:szCs w:val="21"/>
                              </w:rPr>
                              <w:t>五大战略性新兴产业</w:t>
                            </w:r>
                          </w:p>
                          <w:p>
                            <w:pPr>
                              <w:spacing w:after="0" w:line="300" w:lineRule="exact"/>
                              <w:ind w:firstLine="422" w:firstLineChars="200"/>
                              <w:rPr>
                                <w:rFonts w:hint="eastAsia" w:ascii="楷体_GB2312" w:eastAsia="楷体_GB2312"/>
                                <w:color w:val="000000"/>
                                <w:sz w:val="21"/>
                                <w:szCs w:val="21"/>
                              </w:rPr>
                            </w:pPr>
                            <w:r>
                              <w:rPr>
                                <w:rFonts w:hint="eastAsia" w:ascii="楷体_GB2312" w:eastAsia="楷体_GB2312"/>
                                <w:b/>
                                <w:sz w:val="21"/>
                                <w:szCs w:val="21"/>
                              </w:rPr>
                              <w:t>航空航天产业。</w:t>
                            </w:r>
                            <w:r>
                              <w:rPr>
                                <w:rFonts w:hint="eastAsia" w:ascii="楷体_GB2312" w:eastAsia="楷体_GB2312"/>
                                <w:sz w:val="21"/>
                                <w:szCs w:val="21"/>
                              </w:rPr>
                              <w:t>立足航空，面向军工，以市场为导向，以需求为牵引，充分发挥我市军工优势，统筹军民资源，提升核心技术水平和系统集成能力，合力打造航空航天设备产业链，到</w:t>
                            </w:r>
                            <w:r>
                              <w:rPr>
                                <w:rFonts w:ascii="楷体_GB2312" w:eastAsia="楷体_GB2312"/>
                                <w:sz w:val="21"/>
                                <w:szCs w:val="21"/>
                              </w:rPr>
                              <w:t>2020</w:t>
                            </w:r>
                            <w:r>
                              <w:rPr>
                                <w:rFonts w:hint="eastAsia" w:ascii="楷体_GB2312" w:eastAsia="楷体_GB2312"/>
                                <w:sz w:val="21"/>
                                <w:szCs w:val="21"/>
                              </w:rPr>
                              <w:t>年末，航空航天产业产</w:t>
                            </w:r>
                            <w:r>
                              <w:rPr>
                                <w:rFonts w:hint="eastAsia" w:ascii="楷体_GB2312" w:eastAsia="楷体_GB2312"/>
                                <w:color w:val="000000"/>
                                <w:sz w:val="21"/>
                                <w:szCs w:val="21"/>
                              </w:rPr>
                              <w:t>值达到</w:t>
                            </w:r>
                            <w:r>
                              <w:rPr>
                                <w:rFonts w:ascii="楷体_GB2312" w:eastAsia="楷体_GB2312"/>
                                <w:color w:val="000000"/>
                                <w:sz w:val="21"/>
                                <w:szCs w:val="21"/>
                              </w:rPr>
                              <w:t>100</w:t>
                            </w:r>
                            <w:r>
                              <w:rPr>
                                <w:rFonts w:hint="eastAsia" w:ascii="楷体_GB2312" w:eastAsia="楷体_GB2312"/>
                                <w:color w:val="000000"/>
                                <w:sz w:val="21"/>
                                <w:szCs w:val="21"/>
                              </w:rPr>
                              <w:t>亿元。</w:t>
                            </w:r>
                          </w:p>
                          <w:p>
                            <w:pPr>
                              <w:spacing w:after="0" w:line="300" w:lineRule="exact"/>
                              <w:ind w:firstLine="422" w:firstLineChars="200"/>
                              <w:rPr>
                                <w:rFonts w:hint="eastAsia" w:ascii="楷体_GB2312" w:eastAsia="楷体_GB2312"/>
                                <w:color w:val="000000"/>
                                <w:sz w:val="21"/>
                                <w:szCs w:val="21"/>
                              </w:rPr>
                            </w:pPr>
                            <w:r>
                              <w:rPr>
                                <w:rFonts w:hint="eastAsia" w:ascii="楷体_GB2312" w:eastAsia="楷体_GB2312"/>
                                <w:b/>
                                <w:color w:val="000000"/>
                                <w:sz w:val="21"/>
                                <w:szCs w:val="21"/>
                              </w:rPr>
                              <w:t>新能源及节能环保产业。</w:t>
                            </w:r>
                            <w:r>
                              <w:rPr>
                                <w:rFonts w:hint="eastAsia" w:ascii="楷体_GB2312" w:eastAsia="楷体_GB2312"/>
                                <w:color w:val="000000"/>
                                <w:sz w:val="21"/>
                                <w:szCs w:val="21"/>
                              </w:rPr>
                              <w:t>以绿色、低碳、智能为发展方向，加快新技术研发和推广，合理开发水电，有序发展风电和光伏发电，充分利用我市装备制造和技术优势，加强新能源及节能环保产业装备的研发、推广和产业化，抢占行业发展高地。到</w:t>
                            </w:r>
                            <w:r>
                              <w:rPr>
                                <w:rFonts w:ascii="楷体_GB2312" w:eastAsia="楷体_GB2312"/>
                                <w:color w:val="000000"/>
                                <w:sz w:val="21"/>
                                <w:szCs w:val="21"/>
                              </w:rPr>
                              <w:t>2020</w:t>
                            </w:r>
                            <w:r>
                              <w:rPr>
                                <w:rFonts w:hint="eastAsia" w:ascii="楷体_GB2312" w:eastAsia="楷体_GB2312"/>
                                <w:color w:val="000000"/>
                                <w:sz w:val="21"/>
                                <w:szCs w:val="21"/>
                              </w:rPr>
                              <w:t>年末，新能源及节能环保产业产值达到</w:t>
                            </w:r>
                            <w:r>
                              <w:rPr>
                                <w:rFonts w:ascii="楷体_GB2312" w:eastAsia="楷体_GB2312"/>
                                <w:color w:val="000000"/>
                                <w:sz w:val="21"/>
                                <w:szCs w:val="21"/>
                              </w:rPr>
                              <w:t>100</w:t>
                            </w:r>
                            <w:r>
                              <w:rPr>
                                <w:rFonts w:hint="eastAsia" w:ascii="楷体_GB2312" w:eastAsia="楷体_GB2312"/>
                                <w:color w:val="000000"/>
                                <w:sz w:val="21"/>
                                <w:szCs w:val="21"/>
                              </w:rPr>
                              <w:t>亿元。</w:t>
                            </w:r>
                          </w:p>
                          <w:p>
                            <w:pPr>
                              <w:spacing w:after="0" w:line="300" w:lineRule="exact"/>
                              <w:ind w:firstLine="422" w:firstLineChars="200"/>
                              <w:rPr>
                                <w:rFonts w:hint="eastAsia" w:ascii="楷体_GB2312" w:eastAsia="楷体_GB2312"/>
                                <w:color w:val="000000"/>
                                <w:sz w:val="21"/>
                                <w:szCs w:val="21"/>
                              </w:rPr>
                            </w:pPr>
                            <w:r>
                              <w:rPr>
                                <w:rFonts w:hint="eastAsia" w:ascii="楷体_GB2312" w:eastAsia="楷体_GB2312"/>
                                <w:b/>
                                <w:color w:val="000000"/>
                                <w:sz w:val="21"/>
                                <w:szCs w:val="21"/>
                              </w:rPr>
                              <w:t>电子信息及光通信产业。</w:t>
                            </w:r>
                            <w:r>
                              <w:rPr>
                                <w:rFonts w:hint="eastAsia" w:ascii="楷体_GB2312" w:eastAsia="楷体_GB2312"/>
                                <w:color w:val="000000"/>
                                <w:sz w:val="21"/>
                                <w:szCs w:val="21"/>
                              </w:rPr>
                              <w:t>以军工骨干企业为依托，不断研发适应市场需求的军工及民用新产品，加快我市电子信息和光通信产业发展步伐，提高发展水平。到</w:t>
                            </w:r>
                            <w:r>
                              <w:rPr>
                                <w:rFonts w:ascii="楷体_GB2312" w:eastAsia="楷体_GB2312"/>
                                <w:color w:val="000000"/>
                                <w:sz w:val="21"/>
                                <w:szCs w:val="21"/>
                              </w:rPr>
                              <w:t>2020</w:t>
                            </w:r>
                            <w:r>
                              <w:rPr>
                                <w:rFonts w:hint="eastAsia" w:ascii="楷体_GB2312" w:eastAsia="楷体_GB2312"/>
                                <w:color w:val="000000"/>
                                <w:sz w:val="21"/>
                                <w:szCs w:val="21"/>
                              </w:rPr>
                              <w:t>年末，电子信息及光通信产业产值达到</w:t>
                            </w:r>
                            <w:r>
                              <w:rPr>
                                <w:rFonts w:ascii="楷体_GB2312" w:eastAsia="楷体_GB2312"/>
                                <w:color w:val="000000"/>
                                <w:sz w:val="21"/>
                                <w:szCs w:val="21"/>
                              </w:rPr>
                              <w:t>100</w:t>
                            </w:r>
                            <w:r>
                              <w:rPr>
                                <w:rFonts w:hint="eastAsia" w:ascii="楷体_GB2312" w:eastAsia="楷体_GB2312"/>
                                <w:color w:val="000000"/>
                                <w:sz w:val="21"/>
                                <w:szCs w:val="21"/>
                              </w:rPr>
                              <w:t>亿元。</w:t>
                            </w:r>
                          </w:p>
                          <w:p>
                            <w:pPr>
                              <w:spacing w:after="0" w:line="300" w:lineRule="exact"/>
                              <w:ind w:firstLine="422" w:firstLineChars="200"/>
                              <w:rPr>
                                <w:rFonts w:hint="eastAsia" w:ascii="楷体_GB2312" w:eastAsia="楷体_GB2312"/>
                                <w:color w:val="000000"/>
                                <w:sz w:val="21"/>
                                <w:szCs w:val="21"/>
                              </w:rPr>
                            </w:pPr>
                            <w:r>
                              <w:rPr>
                                <w:rFonts w:hint="eastAsia" w:ascii="楷体_GB2312" w:eastAsia="楷体_GB2312"/>
                                <w:b/>
                                <w:color w:val="000000"/>
                                <w:sz w:val="21"/>
                                <w:szCs w:val="21"/>
                              </w:rPr>
                              <w:t>生物医药与健康设备产业。</w:t>
                            </w:r>
                            <w:r>
                              <w:rPr>
                                <w:rFonts w:hint="eastAsia" w:ascii="楷体_GB2312" w:eastAsia="楷体_GB2312"/>
                                <w:color w:val="000000"/>
                                <w:sz w:val="21"/>
                                <w:szCs w:val="21"/>
                              </w:rPr>
                              <w:t>以中药现代化、生物制药为发展方向，以龙头企业带动种植基地和生物医药园区建设，积极研发健康医疗设备，促进生物医药与健康设备产业加快发展。到</w:t>
                            </w:r>
                            <w:r>
                              <w:rPr>
                                <w:rFonts w:ascii="楷体_GB2312" w:eastAsia="楷体_GB2312"/>
                                <w:color w:val="000000"/>
                                <w:sz w:val="21"/>
                                <w:szCs w:val="21"/>
                              </w:rPr>
                              <w:t>2020</w:t>
                            </w:r>
                            <w:r>
                              <w:rPr>
                                <w:rFonts w:hint="eastAsia" w:ascii="楷体_GB2312" w:eastAsia="楷体_GB2312"/>
                                <w:color w:val="000000"/>
                                <w:sz w:val="21"/>
                                <w:szCs w:val="21"/>
                              </w:rPr>
                              <w:t>年末，生物医药与健康设备产业产值达到</w:t>
                            </w:r>
                            <w:r>
                              <w:rPr>
                                <w:rFonts w:ascii="楷体_GB2312" w:eastAsia="楷体_GB2312"/>
                                <w:color w:val="000000"/>
                                <w:sz w:val="21"/>
                                <w:szCs w:val="21"/>
                              </w:rPr>
                              <w:t>100</w:t>
                            </w:r>
                            <w:r>
                              <w:rPr>
                                <w:rFonts w:hint="eastAsia" w:ascii="楷体_GB2312" w:eastAsia="楷体_GB2312"/>
                                <w:color w:val="000000"/>
                                <w:sz w:val="21"/>
                                <w:szCs w:val="21"/>
                              </w:rPr>
                              <w:t>亿元。</w:t>
                            </w:r>
                          </w:p>
                          <w:p>
                            <w:pPr>
                              <w:spacing w:after="0" w:line="300" w:lineRule="exact"/>
                              <w:ind w:firstLine="422" w:firstLineChars="200"/>
                              <w:rPr>
                                <w:rFonts w:ascii="楷体_GB2312" w:eastAsia="楷体_GB2312"/>
                                <w:sz w:val="21"/>
                                <w:szCs w:val="21"/>
                              </w:rPr>
                            </w:pPr>
                            <w:r>
                              <w:rPr>
                                <w:rFonts w:hint="eastAsia" w:ascii="楷体_GB2312" w:eastAsia="楷体_GB2312"/>
                                <w:b/>
                                <w:color w:val="000000"/>
                                <w:sz w:val="21"/>
                                <w:szCs w:val="21"/>
                              </w:rPr>
                              <w:t>高档</w:t>
                            </w:r>
                            <w:r>
                              <w:rPr>
                                <w:rFonts w:ascii="楷体_GB2312" w:eastAsia="楷体_GB2312"/>
                                <w:b/>
                                <w:color w:val="000000"/>
                                <w:sz w:val="21"/>
                                <w:szCs w:val="21"/>
                              </w:rPr>
                              <w:t>数控机床和</w:t>
                            </w:r>
                            <w:r>
                              <w:rPr>
                                <w:rFonts w:hint="eastAsia" w:ascii="楷体_GB2312" w:eastAsia="楷体_GB2312"/>
                                <w:b/>
                                <w:color w:val="000000"/>
                                <w:sz w:val="21"/>
                                <w:szCs w:val="21"/>
                              </w:rPr>
                              <w:t>智能制造产业。</w:t>
                            </w:r>
                            <w:r>
                              <w:rPr>
                                <w:rFonts w:hint="eastAsia" w:ascii="楷体_GB2312" w:eastAsia="楷体_GB2312"/>
                                <w:color w:val="000000"/>
                                <w:sz w:val="21"/>
                                <w:szCs w:val="21"/>
                              </w:rPr>
                              <w:t>以“高速、精密、复合、智能、绿色”为方向，积极推动技术创新，不断开发系统集成、智能</w:t>
                            </w:r>
                            <w:r>
                              <w:rPr>
                                <w:rFonts w:hint="eastAsia" w:ascii="楷体_GB2312" w:eastAsia="楷体_GB2312"/>
                                <w:sz w:val="21"/>
                                <w:szCs w:val="21"/>
                              </w:rPr>
                              <w:t>化控制的高档数控机床；研发机器人关键零部件，推动机器人产业发展壮大。到</w:t>
                            </w:r>
                            <w:r>
                              <w:rPr>
                                <w:rFonts w:ascii="楷体_GB2312" w:eastAsia="楷体_GB2312"/>
                                <w:sz w:val="21"/>
                                <w:szCs w:val="21"/>
                              </w:rPr>
                              <w:t>2020</w:t>
                            </w:r>
                            <w:r>
                              <w:rPr>
                                <w:rFonts w:hint="eastAsia" w:ascii="楷体_GB2312" w:eastAsia="楷体_GB2312"/>
                                <w:sz w:val="21"/>
                                <w:szCs w:val="21"/>
                              </w:rPr>
                              <w:t>年末，高档</w:t>
                            </w:r>
                            <w:r>
                              <w:rPr>
                                <w:rFonts w:ascii="楷体_GB2312" w:eastAsia="楷体_GB2312"/>
                                <w:sz w:val="21"/>
                                <w:szCs w:val="21"/>
                              </w:rPr>
                              <w:t>数控机床和</w:t>
                            </w:r>
                            <w:r>
                              <w:rPr>
                                <w:rFonts w:hint="eastAsia" w:ascii="楷体_GB2312" w:eastAsia="楷体_GB2312"/>
                                <w:sz w:val="21"/>
                                <w:szCs w:val="21"/>
                              </w:rPr>
                              <w:t>智能制造产业产值达到</w:t>
                            </w:r>
                            <w:r>
                              <w:rPr>
                                <w:rFonts w:ascii="楷体_GB2312" w:eastAsia="楷体_GB2312"/>
                                <w:sz w:val="21"/>
                                <w:szCs w:val="21"/>
                              </w:rPr>
                              <w:t>100</w:t>
                            </w:r>
                            <w:r>
                              <w:rPr>
                                <w:rFonts w:hint="eastAsia" w:ascii="楷体_GB2312" w:eastAsia="楷体_GB2312"/>
                                <w:sz w:val="21"/>
                                <w:szCs w:val="21"/>
                              </w:rPr>
                              <w:t>亿元。</w:t>
                            </w:r>
                          </w:p>
                        </w:txbxContent>
                      </wps:txbx>
                      <wps:bodyPr wrap="square" upright="1"/>
                    </wps:wsp>
                  </a:graphicData>
                </a:graphic>
              </wp:anchor>
            </w:drawing>
          </mc:Choice>
          <mc:Fallback>
            <w:pict>
              <v:shape id="文本框 152" o:spid="_x0000_s1026" o:spt="202" type="#_x0000_t202" style="position:absolute;left:0pt;margin-left:0pt;margin-top:8pt;height:288.6pt;width:441pt;mso-wrap-distance-bottom:0pt;mso-wrap-distance-left:9pt;mso-wrap-distance-right:9pt;mso-wrap-distance-top:0pt;z-index:251706368;mso-width-relative:page;mso-height-relative:page;" fillcolor="#FFFFFF" filled="t" stroked="t" coordsize="21600,21600" o:gfxdata="UEsDBAoAAAAAAIdO4kAAAAAAAAAAAAAAAAAEAAAAZHJzL1BLAwQUAAAACACHTuJAH47W7dYAAAAH&#10;AQAADwAAAGRycy9kb3ducmV2LnhtbE2PzU7DMBCE70i8g7VIXBB1mkKahjg9IIHgBgWVqxtvkwh7&#10;HWw3LW/PcoLT/sxq5tt6fXJWTBji4EnBfJaBQGq9GahT8P72cF2CiEmT0dYTKvjGCOvm/KzWlfFH&#10;esVpkzrBJhQrraBPaaykjG2PTseZH5FY2/vgdOIxdNIEfWRzZ2WeZYV0eiBO6PWI9z22n5uDU1De&#10;PE0f8Xnxsm2LvV2lq+X0+BWUuryYZ3cgEp7S3zH84jM6NMy08wcyUVgF/EjibcGV1bLMudkpuF0t&#10;cpBNLf/zNz9QSwMEFAAAAAgAh07iQObMLRoaAgAASAQAAA4AAABkcnMvZTJvRG9jLnhtbK1UTa7T&#10;MBDeI3EHy3uaNNA+iJo+CUrZIEB6cICp7SSW/IftNukF4Aas2LDnXD0HY7ev7wcWXZBFMvaMv5nv&#10;m3EW16NWZCd8kNY0dDopKRGGWS5N19Avn9fPXlISIhgOyhrR0L0I9Hr59MlicLWobG8VF54giAn1&#10;4Brax+jqogisFxrCxDph0NlaryHi0ncF9zAgulZFVZbzYrCeO2+ZCAF3V0cnPSH6SwBt20omVpZt&#10;tTDxiOqFgoiUQi9doMtcbdsKFj+2bRCRqIYi05jfmATtTXoXywXUnQfXS3YqAS4p4REnDdJg0jPU&#10;CiKQrZd/QWnJvA22jRNmdXEkkhVBFtPykTY3PTiRuaDUwZ1FD/8Pln3YffJE8oa+uKLEgMaOH358&#10;P/z8ffj1jUxnVVJocKHGwBuHoXF8bUecm9v9gJuJ+Nh6nb5IiaAf9d2f9RVjJAw3Z/OyvCrRxdD3&#10;fD6fVVXuQHF33PkQ3wmrSTIa6rGBWVfYvQ8RS8HQ25CULVgl+VoqlRe+27xRnuwAm73OT6oSjzwI&#10;U4YMDX01q2ZYCOAEtzg5aGqHKgTT5XwPToT7wGV+/gWcCltB6I8FZIQUBrWWUfhs9QL4W8NJ3DsU&#10;2uAFo6kYLTglSuB9TFaOjCDVJZHIThkkmXp07EWy4rgZESaZG8v32LcBZxzpfd2Cx5xb52XXo8C5&#10;j/kwDljW6nQZ0gTfX+cUdz+A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jtbt1gAAAAcBAAAP&#10;AAAAAAAAAAEAIAAAACIAAABkcnMvZG93bnJldi54bWxQSwECFAAUAAAACACHTuJA5swtGhoCAABI&#10;BAAADgAAAAAAAAABACAAAAAlAQAAZHJzL2Uyb0RvYy54bWxQSwUGAAAAAAYABgBZAQAAsQUAAAAA&#10;">
                <v:fill on="t" focussize="0,0"/>
                <v:stroke color="#000000" joinstyle="miter"/>
                <v:imagedata o:title=""/>
                <o:lock v:ext="edit" aspectratio="f"/>
                <v:textbo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专栏16</w:t>
                      </w:r>
                    </w:p>
                    <w:p>
                      <w:pPr>
                        <w:spacing w:after="0" w:line="300" w:lineRule="exact"/>
                        <w:jc w:val="center"/>
                        <w:rPr>
                          <w:rFonts w:hint="eastAsia" w:ascii="楷体_GB2312" w:eastAsia="楷体_GB2312"/>
                          <w:b/>
                          <w:sz w:val="21"/>
                          <w:szCs w:val="21"/>
                        </w:rPr>
                      </w:pPr>
                      <w:r>
                        <w:rPr>
                          <w:rFonts w:hint="eastAsia" w:ascii="黑体" w:hAnsi="黑体" w:eastAsia="黑体"/>
                          <w:b/>
                          <w:sz w:val="21"/>
                          <w:szCs w:val="21"/>
                        </w:rPr>
                        <w:t>五大战略性新兴产业</w:t>
                      </w:r>
                    </w:p>
                    <w:p>
                      <w:pPr>
                        <w:spacing w:after="0" w:line="300" w:lineRule="exact"/>
                        <w:ind w:firstLine="422" w:firstLineChars="200"/>
                        <w:rPr>
                          <w:rFonts w:hint="eastAsia" w:ascii="楷体_GB2312" w:eastAsia="楷体_GB2312"/>
                          <w:color w:val="000000"/>
                          <w:sz w:val="21"/>
                          <w:szCs w:val="21"/>
                        </w:rPr>
                      </w:pPr>
                      <w:r>
                        <w:rPr>
                          <w:rFonts w:hint="eastAsia" w:ascii="楷体_GB2312" w:eastAsia="楷体_GB2312"/>
                          <w:b/>
                          <w:sz w:val="21"/>
                          <w:szCs w:val="21"/>
                        </w:rPr>
                        <w:t>航空航天产业。</w:t>
                      </w:r>
                      <w:r>
                        <w:rPr>
                          <w:rFonts w:hint="eastAsia" w:ascii="楷体_GB2312" w:eastAsia="楷体_GB2312"/>
                          <w:sz w:val="21"/>
                          <w:szCs w:val="21"/>
                        </w:rPr>
                        <w:t>立足航空，面向军工，以市场为导向，以需求为牵引，充分发挥我市军工优势，统筹军民资源，提升核心技术水平和系统集成能力，合力打造航空航天设备产业链，到</w:t>
                      </w:r>
                      <w:r>
                        <w:rPr>
                          <w:rFonts w:ascii="楷体_GB2312" w:eastAsia="楷体_GB2312"/>
                          <w:sz w:val="21"/>
                          <w:szCs w:val="21"/>
                        </w:rPr>
                        <w:t>2020</w:t>
                      </w:r>
                      <w:r>
                        <w:rPr>
                          <w:rFonts w:hint="eastAsia" w:ascii="楷体_GB2312" w:eastAsia="楷体_GB2312"/>
                          <w:sz w:val="21"/>
                          <w:szCs w:val="21"/>
                        </w:rPr>
                        <w:t>年末，航空航天产业产</w:t>
                      </w:r>
                      <w:r>
                        <w:rPr>
                          <w:rFonts w:hint="eastAsia" w:ascii="楷体_GB2312" w:eastAsia="楷体_GB2312"/>
                          <w:color w:val="000000"/>
                          <w:sz w:val="21"/>
                          <w:szCs w:val="21"/>
                        </w:rPr>
                        <w:t>值达到</w:t>
                      </w:r>
                      <w:r>
                        <w:rPr>
                          <w:rFonts w:ascii="楷体_GB2312" w:eastAsia="楷体_GB2312"/>
                          <w:color w:val="000000"/>
                          <w:sz w:val="21"/>
                          <w:szCs w:val="21"/>
                        </w:rPr>
                        <w:t>100</w:t>
                      </w:r>
                      <w:r>
                        <w:rPr>
                          <w:rFonts w:hint="eastAsia" w:ascii="楷体_GB2312" w:eastAsia="楷体_GB2312"/>
                          <w:color w:val="000000"/>
                          <w:sz w:val="21"/>
                          <w:szCs w:val="21"/>
                        </w:rPr>
                        <w:t>亿元。</w:t>
                      </w:r>
                    </w:p>
                    <w:p>
                      <w:pPr>
                        <w:spacing w:after="0" w:line="300" w:lineRule="exact"/>
                        <w:ind w:firstLine="422" w:firstLineChars="200"/>
                        <w:rPr>
                          <w:rFonts w:hint="eastAsia" w:ascii="楷体_GB2312" w:eastAsia="楷体_GB2312"/>
                          <w:color w:val="000000"/>
                          <w:sz w:val="21"/>
                          <w:szCs w:val="21"/>
                        </w:rPr>
                      </w:pPr>
                      <w:r>
                        <w:rPr>
                          <w:rFonts w:hint="eastAsia" w:ascii="楷体_GB2312" w:eastAsia="楷体_GB2312"/>
                          <w:b/>
                          <w:color w:val="000000"/>
                          <w:sz w:val="21"/>
                          <w:szCs w:val="21"/>
                        </w:rPr>
                        <w:t>新能源及节能环保产业。</w:t>
                      </w:r>
                      <w:r>
                        <w:rPr>
                          <w:rFonts w:hint="eastAsia" w:ascii="楷体_GB2312" w:eastAsia="楷体_GB2312"/>
                          <w:color w:val="000000"/>
                          <w:sz w:val="21"/>
                          <w:szCs w:val="21"/>
                        </w:rPr>
                        <w:t>以绿色、低碳、智能为发展方向，加快新技术研发和推广，合理开发水电，有序发展风电和光伏发电，充分利用我市装备制造和技术优势，加强新能源及节能环保产业装备的研发、推广和产业化，抢占行业发展高地。到</w:t>
                      </w:r>
                      <w:r>
                        <w:rPr>
                          <w:rFonts w:ascii="楷体_GB2312" w:eastAsia="楷体_GB2312"/>
                          <w:color w:val="000000"/>
                          <w:sz w:val="21"/>
                          <w:szCs w:val="21"/>
                        </w:rPr>
                        <w:t>2020</w:t>
                      </w:r>
                      <w:r>
                        <w:rPr>
                          <w:rFonts w:hint="eastAsia" w:ascii="楷体_GB2312" w:eastAsia="楷体_GB2312"/>
                          <w:color w:val="000000"/>
                          <w:sz w:val="21"/>
                          <w:szCs w:val="21"/>
                        </w:rPr>
                        <w:t>年末，新能源及节能环保产业产值达到</w:t>
                      </w:r>
                      <w:r>
                        <w:rPr>
                          <w:rFonts w:ascii="楷体_GB2312" w:eastAsia="楷体_GB2312"/>
                          <w:color w:val="000000"/>
                          <w:sz w:val="21"/>
                          <w:szCs w:val="21"/>
                        </w:rPr>
                        <w:t>100</w:t>
                      </w:r>
                      <w:r>
                        <w:rPr>
                          <w:rFonts w:hint="eastAsia" w:ascii="楷体_GB2312" w:eastAsia="楷体_GB2312"/>
                          <w:color w:val="000000"/>
                          <w:sz w:val="21"/>
                          <w:szCs w:val="21"/>
                        </w:rPr>
                        <w:t>亿元。</w:t>
                      </w:r>
                    </w:p>
                    <w:p>
                      <w:pPr>
                        <w:spacing w:after="0" w:line="300" w:lineRule="exact"/>
                        <w:ind w:firstLine="422" w:firstLineChars="200"/>
                        <w:rPr>
                          <w:rFonts w:hint="eastAsia" w:ascii="楷体_GB2312" w:eastAsia="楷体_GB2312"/>
                          <w:color w:val="000000"/>
                          <w:sz w:val="21"/>
                          <w:szCs w:val="21"/>
                        </w:rPr>
                      </w:pPr>
                      <w:r>
                        <w:rPr>
                          <w:rFonts w:hint="eastAsia" w:ascii="楷体_GB2312" w:eastAsia="楷体_GB2312"/>
                          <w:b/>
                          <w:color w:val="000000"/>
                          <w:sz w:val="21"/>
                          <w:szCs w:val="21"/>
                        </w:rPr>
                        <w:t>电子信息及光通信产业。</w:t>
                      </w:r>
                      <w:r>
                        <w:rPr>
                          <w:rFonts w:hint="eastAsia" w:ascii="楷体_GB2312" w:eastAsia="楷体_GB2312"/>
                          <w:color w:val="000000"/>
                          <w:sz w:val="21"/>
                          <w:szCs w:val="21"/>
                        </w:rPr>
                        <w:t>以军工骨干企业为依托，不断研发适应市场需求的军工及民用新产品，加快我市电子信息和光通信产业发展步伐，提高发展水平。到</w:t>
                      </w:r>
                      <w:r>
                        <w:rPr>
                          <w:rFonts w:ascii="楷体_GB2312" w:eastAsia="楷体_GB2312"/>
                          <w:color w:val="000000"/>
                          <w:sz w:val="21"/>
                          <w:szCs w:val="21"/>
                        </w:rPr>
                        <w:t>2020</w:t>
                      </w:r>
                      <w:r>
                        <w:rPr>
                          <w:rFonts w:hint="eastAsia" w:ascii="楷体_GB2312" w:eastAsia="楷体_GB2312"/>
                          <w:color w:val="000000"/>
                          <w:sz w:val="21"/>
                          <w:szCs w:val="21"/>
                        </w:rPr>
                        <w:t>年末，电子信息及光通信产业产值达到</w:t>
                      </w:r>
                      <w:r>
                        <w:rPr>
                          <w:rFonts w:ascii="楷体_GB2312" w:eastAsia="楷体_GB2312"/>
                          <w:color w:val="000000"/>
                          <w:sz w:val="21"/>
                          <w:szCs w:val="21"/>
                        </w:rPr>
                        <w:t>100</w:t>
                      </w:r>
                      <w:r>
                        <w:rPr>
                          <w:rFonts w:hint="eastAsia" w:ascii="楷体_GB2312" w:eastAsia="楷体_GB2312"/>
                          <w:color w:val="000000"/>
                          <w:sz w:val="21"/>
                          <w:szCs w:val="21"/>
                        </w:rPr>
                        <w:t>亿元。</w:t>
                      </w:r>
                    </w:p>
                    <w:p>
                      <w:pPr>
                        <w:spacing w:after="0" w:line="300" w:lineRule="exact"/>
                        <w:ind w:firstLine="422" w:firstLineChars="200"/>
                        <w:rPr>
                          <w:rFonts w:hint="eastAsia" w:ascii="楷体_GB2312" w:eastAsia="楷体_GB2312"/>
                          <w:color w:val="000000"/>
                          <w:sz w:val="21"/>
                          <w:szCs w:val="21"/>
                        </w:rPr>
                      </w:pPr>
                      <w:r>
                        <w:rPr>
                          <w:rFonts w:hint="eastAsia" w:ascii="楷体_GB2312" w:eastAsia="楷体_GB2312"/>
                          <w:b/>
                          <w:color w:val="000000"/>
                          <w:sz w:val="21"/>
                          <w:szCs w:val="21"/>
                        </w:rPr>
                        <w:t>生物医药与健康设备产业。</w:t>
                      </w:r>
                      <w:r>
                        <w:rPr>
                          <w:rFonts w:hint="eastAsia" w:ascii="楷体_GB2312" w:eastAsia="楷体_GB2312"/>
                          <w:color w:val="000000"/>
                          <w:sz w:val="21"/>
                          <w:szCs w:val="21"/>
                        </w:rPr>
                        <w:t>以中药现代化、生物制药为发展方向，以龙头企业带动种植基地和生物医药园区建设，积极研发健康医疗设备，促进生物医药与健康设备产业加快发展。到</w:t>
                      </w:r>
                      <w:r>
                        <w:rPr>
                          <w:rFonts w:ascii="楷体_GB2312" w:eastAsia="楷体_GB2312"/>
                          <w:color w:val="000000"/>
                          <w:sz w:val="21"/>
                          <w:szCs w:val="21"/>
                        </w:rPr>
                        <w:t>2020</w:t>
                      </w:r>
                      <w:r>
                        <w:rPr>
                          <w:rFonts w:hint="eastAsia" w:ascii="楷体_GB2312" w:eastAsia="楷体_GB2312"/>
                          <w:color w:val="000000"/>
                          <w:sz w:val="21"/>
                          <w:szCs w:val="21"/>
                        </w:rPr>
                        <w:t>年末，生物医药与健康设备产业产值达到</w:t>
                      </w:r>
                      <w:r>
                        <w:rPr>
                          <w:rFonts w:ascii="楷体_GB2312" w:eastAsia="楷体_GB2312"/>
                          <w:color w:val="000000"/>
                          <w:sz w:val="21"/>
                          <w:szCs w:val="21"/>
                        </w:rPr>
                        <w:t>100</w:t>
                      </w:r>
                      <w:r>
                        <w:rPr>
                          <w:rFonts w:hint="eastAsia" w:ascii="楷体_GB2312" w:eastAsia="楷体_GB2312"/>
                          <w:color w:val="000000"/>
                          <w:sz w:val="21"/>
                          <w:szCs w:val="21"/>
                        </w:rPr>
                        <w:t>亿元。</w:t>
                      </w:r>
                    </w:p>
                    <w:p>
                      <w:pPr>
                        <w:spacing w:after="0" w:line="300" w:lineRule="exact"/>
                        <w:ind w:firstLine="422" w:firstLineChars="200"/>
                        <w:rPr>
                          <w:rFonts w:ascii="楷体_GB2312" w:eastAsia="楷体_GB2312"/>
                          <w:sz w:val="21"/>
                          <w:szCs w:val="21"/>
                        </w:rPr>
                      </w:pPr>
                      <w:r>
                        <w:rPr>
                          <w:rFonts w:hint="eastAsia" w:ascii="楷体_GB2312" w:eastAsia="楷体_GB2312"/>
                          <w:b/>
                          <w:color w:val="000000"/>
                          <w:sz w:val="21"/>
                          <w:szCs w:val="21"/>
                        </w:rPr>
                        <w:t>高档</w:t>
                      </w:r>
                      <w:r>
                        <w:rPr>
                          <w:rFonts w:ascii="楷体_GB2312" w:eastAsia="楷体_GB2312"/>
                          <w:b/>
                          <w:color w:val="000000"/>
                          <w:sz w:val="21"/>
                          <w:szCs w:val="21"/>
                        </w:rPr>
                        <w:t>数控机床和</w:t>
                      </w:r>
                      <w:r>
                        <w:rPr>
                          <w:rFonts w:hint="eastAsia" w:ascii="楷体_GB2312" w:eastAsia="楷体_GB2312"/>
                          <w:b/>
                          <w:color w:val="000000"/>
                          <w:sz w:val="21"/>
                          <w:szCs w:val="21"/>
                        </w:rPr>
                        <w:t>智能制造产业。</w:t>
                      </w:r>
                      <w:r>
                        <w:rPr>
                          <w:rFonts w:hint="eastAsia" w:ascii="楷体_GB2312" w:eastAsia="楷体_GB2312"/>
                          <w:color w:val="000000"/>
                          <w:sz w:val="21"/>
                          <w:szCs w:val="21"/>
                        </w:rPr>
                        <w:t>以“高速、精密、复合、智能、绿色”为方向，积极推动技术创新，不断开发系统集成、智能</w:t>
                      </w:r>
                      <w:r>
                        <w:rPr>
                          <w:rFonts w:hint="eastAsia" w:ascii="楷体_GB2312" w:eastAsia="楷体_GB2312"/>
                          <w:sz w:val="21"/>
                          <w:szCs w:val="21"/>
                        </w:rPr>
                        <w:t>化控制的高档数控机床；研发机器人关键零部件，推动机器人产业发展壮大。到</w:t>
                      </w:r>
                      <w:r>
                        <w:rPr>
                          <w:rFonts w:ascii="楷体_GB2312" w:eastAsia="楷体_GB2312"/>
                          <w:sz w:val="21"/>
                          <w:szCs w:val="21"/>
                        </w:rPr>
                        <w:t>2020</w:t>
                      </w:r>
                      <w:r>
                        <w:rPr>
                          <w:rFonts w:hint="eastAsia" w:ascii="楷体_GB2312" w:eastAsia="楷体_GB2312"/>
                          <w:sz w:val="21"/>
                          <w:szCs w:val="21"/>
                        </w:rPr>
                        <w:t>年末，高档</w:t>
                      </w:r>
                      <w:r>
                        <w:rPr>
                          <w:rFonts w:ascii="楷体_GB2312" w:eastAsia="楷体_GB2312"/>
                          <w:sz w:val="21"/>
                          <w:szCs w:val="21"/>
                        </w:rPr>
                        <w:t>数控机床和</w:t>
                      </w:r>
                      <w:r>
                        <w:rPr>
                          <w:rFonts w:hint="eastAsia" w:ascii="楷体_GB2312" w:eastAsia="楷体_GB2312"/>
                          <w:sz w:val="21"/>
                          <w:szCs w:val="21"/>
                        </w:rPr>
                        <w:t>智能制造产业产值达到</w:t>
                      </w:r>
                      <w:r>
                        <w:rPr>
                          <w:rFonts w:ascii="楷体_GB2312" w:eastAsia="楷体_GB2312"/>
                          <w:sz w:val="21"/>
                          <w:szCs w:val="21"/>
                        </w:rPr>
                        <w:t>100</w:t>
                      </w:r>
                      <w:r>
                        <w:rPr>
                          <w:rFonts w:hint="eastAsia" w:ascii="楷体_GB2312" w:eastAsia="楷体_GB2312"/>
                          <w:sz w:val="21"/>
                          <w:szCs w:val="21"/>
                        </w:rPr>
                        <w:t>亿元。</w:t>
                      </w:r>
                    </w:p>
                  </w:txbxContent>
                </v:textbox>
                <w10:wrap type="square"/>
              </v:shape>
            </w:pict>
          </mc:Fallback>
        </mc:AlternateContent>
      </w:r>
    </w:p>
    <w:p>
      <w:pPr>
        <w:spacing w:after="0" w:line="600" w:lineRule="exact"/>
        <w:jc w:val="center"/>
        <w:rPr>
          <w:rFonts w:hint="eastAsia" w:ascii="楷体_GB2312" w:eastAsia="楷体_GB2312"/>
          <w:b/>
          <w:sz w:val="32"/>
          <w:szCs w:val="32"/>
        </w:rPr>
      </w:pPr>
      <w:r>
        <w:rPr>
          <w:rFonts w:hint="eastAsia" w:ascii="楷体_GB2312" w:eastAsia="楷体_GB2312"/>
          <w:b/>
          <w:sz w:val="32"/>
          <w:szCs w:val="32"/>
        </w:rPr>
        <w:t>第四节  改造提升特色产业</w:t>
      </w:r>
    </w:p>
    <w:p>
      <w:pPr>
        <w:spacing w:after="0" w:line="600" w:lineRule="exact"/>
        <w:ind w:firstLine="800" w:firstLineChars="250"/>
        <w:jc w:val="both"/>
        <w:rPr>
          <w:rFonts w:ascii="仿宋_GB2312" w:eastAsia="仿宋_GB2312"/>
          <w:sz w:val="32"/>
          <w:szCs w:val="32"/>
        </w:rPr>
      </w:pPr>
      <w:r>
        <w:rPr>
          <w:rFonts w:hint="eastAsia" w:ascii="仿宋_GB2312" w:eastAsia="仿宋_GB2312"/>
          <w:sz w:val="32"/>
          <w:szCs w:val="32"/>
        </w:rPr>
        <w:t>坚持以推动技术进步和两化融合为抓手，改造提升特色产业。支持企业开展创新能力建设，进行重大设备更新改造和重大技术创新，大力推广使用新工艺新技术，推动两化深度融合，鼓励企业实施节能技术改造，推广清洁生产、合同能源管理以及资源综合利用。引导企业不断加强技术革新，降低生产成本，推动企业走内涵式发展道路，切实提高我市特色产业的可持续发展能力。到“十三五”</w:t>
      </w:r>
      <w:r>
        <w:rPr>
          <w:rFonts w:ascii="仿宋_GB2312" w:eastAsia="仿宋_GB2312"/>
          <w:sz w:val="32"/>
          <w:szCs w:val="32"/>
        </w:rPr>
        <w:t>末</w:t>
      </w:r>
      <w:r>
        <w:rPr>
          <w:rFonts w:hint="eastAsia" w:ascii="仿宋_GB2312" w:eastAsia="仿宋_GB2312"/>
          <w:sz w:val="32"/>
          <w:szCs w:val="32"/>
        </w:rPr>
        <w:t>，三大特色产业总产值达到</w:t>
      </w:r>
      <w:r>
        <w:rPr>
          <w:rFonts w:ascii="仿宋_GB2312" w:eastAsia="仿宋_GB2312"/>
          <w:sz w:val="32"/>
          <w:szCs w:val="32"/>
        </w:rPr>
        <w:t>500</w:t>
      </w:r>
      <w:r>
        <w:rPr>
          <w:rFonts w:hint="eastAsia" w:ascii="仿宋_GB2312" w:eastAsia="仿宋_GB2312"/>
          <w:sz w:val="32"/>
          <w:szCs w:val="32"/>
        </w:rPr>
        <w:t>亿元以上。稳步发展房屋建筑业，提升市政、交通、电力、水利、通讯等专业施工能力，重点培育勘察设计、工程施工、装修装饰的产业集群，着力增强综合竞争力和产业带动能力。到“十三五”末，力争产值达到200亿元。</w:t>
      </w:r>
    </w:p>
    <w:p>
      <w:pPr>
        <w:pBdr>
          <w:bottom w:val="single" w:color="FFFFFF" w:sz="4" w:space="31"/>
        </w:pBdr>
        <w:topLinePunct/>
        <w:spacing w:after="0" w:line="100" w:lineRule="exact"/>
        <w:ind w:firstLine="640" w:firstLineChars="200"/>
        <w:jc w:val="both"/>
        <w:rPr>
          <w:rFonts w:hint="eastAsia" w:ascii="黑体" w:hAnsi="黑体" w:eastAsia="黑体"/>
          <w:spacing w:val="-20"/>
          <w:sz w:val="32"/>
          <w:szCs w:val="32"/>
        </w:rPr>
      </w:pPr>
      <w:r>
        <w:rPr>
          <w:rFonts w:hint="eastAsia" w:ascii="仿宋_GB2312" w:eastAsia="仿宋_GB2312"/>
          <w:sz w:val="32"/>
          <w:szCs w:val="32"/>
          <w:lang/>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33020</wp:posOffset>
                </wp:positionV>
                <wp:extent cx="5600700" cy="2011680"/>
                <wp:effectExtent l="4445" t="4445" r="14605" b="22225"/>
                <wp:wrapSquare wrapText="bothSides"/>
                <wp:docPr id="53" name="文本框 159"/>
                <wp:cNvGraphicFramePr/>
                <a:graphic xmlns:a="http://schemas.openxmlformats.org/drawingml/2006/main">
                  <a:graphicData uri="http://schemas.microsoft.com/office/word/2010/wordprocessingShape">
                    <wps:wsp>
                      <wps:cNvSpPr txBox="1"/>
                      <wps:spPr>
                        <a:xfrm>
                          <a:off x="0" y="0"/>
                          <a:ext cx="5600700" cy="2011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专栏17</w:t>
                            </w:r>
                          </w:p>
                          <w:p>
                            <w:pPr>
                              <w:spacing w:after="0" w:line="300" w:lineRule="exact"/>
                              <w:jc w:val="center"/>
                              <w:rPr>
                                <w:rFonts w:ascii="黑体" w:hAnsi="黑体" w:eastAsia="黑体"/>
                                <w:b/>
                                <w:sz w:val="21"/>
                                <w:szCs w:val="21"/>
                              </w:rPr>
                            </w:pPr>
                            <w:r>
                              <w:rPr>
                                <w:rFonts w:hint="eastAsia" w:ascii="黑体" w:hAnsi="黑体" w:eastAsia="黑体"/>
                                <w:b/>
                                <w:sz w:val="21"/>
                                <w:szCs w:val="21"/>
                              </w:rPr>
                              <w:t>三大特色产业</w:t>
                            </w:r>
                          </w:p>
                          <w:p>
                            <w:pPr>
                              <w:spacing w:after="0" w:line="300" w:lineRule="exact"/>
                              <w:ind w:firstLine="422" w:firstLineChars="200"/>
                              <w:rPr>
                                <w:rFonts w:hint="eastAsia" w:ascii="楷体_GB2312" w:hAnsi="宋体" w:eastAsia="楷体_GB2312" w:cs="宋体"/>
                                <w:sz w:val="21"/>
                                <w:szCs w:val="21"/>
                              </w:rPr>
                            </w:pPr>
                            <w:r>
                              <w:rPr>
                                <w:rFonts w:hint="eastAsia" w:ascii="楷体_GB2312" w:hAnsi="Times New Roman" w:eastAsia="楷体_GB2312"/>
                                <w:b/>
                                <w:bCs/>
                                <w:sz w:val="21"/>
                                <w:szCs w:val="21"/>
                              </w:rPr>
                              <w:t>建材产业。</w:t>
                            </w:r>
                            <w:r>
                              <w:rPr>
                                <w:rFonts w:hint="eastAsia" w:ascii="楷体_GB2312" w:hAnsi="Times New Roman" w:eastAsia="楷体_GB2312"/>
                                <w:bCs/>
                                <w:sz w:val="21"/>
                                <w:szCs w:val="21"/>
                              </w:rPr>
                              <w:t>以结构调整为</w:t>
                            </w:r>
                            <w:r>
                              <w:rPr>
                                <w:rFonts w:hint="eastAsia" w:ascii="楷体_GB2312" w:hAnsi="宋体" w:eastAsia="楷体_GB2312" w:cs="宋体"/>
                                <w:sz w:val="21"/>
                                <w:szCs w:val="21"/>
                              </w:rPr>
                              <w:t>主攻方向，优化产业布局、淘汰落后产能，积极推进资源综合利用，大力培育和发展节能环保新型建材，实现我市建材工业可持续发展。到2020年末，建材</w:t>
                            </w:r>
                            <w:r>
                              <w:rPr>
                                <w:rFonts w:hint="eastAsia" w:ascii="楷体_GB2312" w:eastAsia="楷体_GB2312"/>
                                <w:sz w:val="21"/>
                                <w:szCs w:val="21"/>
                              </w:rPr>
                              <w:t>产业产值达到</w:t>
                            </w:r>
                            <w:r>
                              <w:rPr>
                                <w:rFonts w:hint="eastAsia" w:ascii="楷体_GB2312" w:hAnsi="宋体" w:eastAsia="楷体_GB2312" w:cs="宋体"/>
                                <w:sz w:val="21"/>
                                <w:szCs w:val="21"/>
                              </w:rPr>
                              <w:t>200亿元。</w:t>
                            </w:r>
                          </w:p>
                          <w:p>
                            <w:pPr>
                              <w:spacing w:after="0" w:line="300" w:lineRule="exact"/>
                              <w:ind w:firstLine="422" w:firstLineChars="200"/>
                              <w:rPr>
                                <w:rFonts w:hint="eastAsia" w:ascii="楷体_GB2312" w:hAnsi="宋体" w:eastAsia="楷体_GB2312" w:cs="宋体"/>
                                <w:sz w:val="21"/>
                                <w:szCs w:val="21"/>
                              </w:rPr>
                            </w:pPr>
                            <w:r>
                              <w:rPr>
                                <w:rFonts w:hint="eastAsia" w:ascii="楷体_GB2312" w:hAnsi="Times New Roman" w:eastAsia="楷体_GB2312"/>
                                <w:b/>
                                <w:bCs/>
                                <w:sz w:val="21"/>
                                <w:szCs w:val="21"/>
                              </w:rPr>
                              <w:t>纺织服装产业。</w:t>
                            </w:r>
                            <w:r>
                              <w:rPr>
                                <w:rFonts w:hint="eastAsia" w:ascii="楷体_GB2312" w:hAnsi="宋体" w:eastAsia="楷体_GB2312" w:cs="宋体"/>
                                <w:sz w:val="21"/>
                                <w:szCs w:val="21"/>
                              </w:rPr>
                              <w:t>以提高生产水平和产业集中度为发展方向，着力推广新型、高效、节能的棉纺织技术装备，加大现有优势企业的改造力度，做优做大功能服装产业。到2020年末，纺织服装产业产值达到100亿元。</w:t>
                            </w:r>
                          </w:p>
                          <w:p>
                            <w:pPr>
                              <w:spacing w:after="0" w:line="300" w:lineRule="exact"/>
                              <w:ind w:firstLine="422" w:firstLineChars="200"/>
                              <w:rPr>
                                <w:rFonts w:hint="eastAsia" w:ascii="楷体_GB2312" w:eastAsia="楷体_GB2312"/>
                                <w:sz w:val="21"/>
                                <w:szCs w:val="21"/>
                              </w:rPr>
                            </w:pPr>
                            <w:r>
                              <w:rPr>
                                <w:rFonts w:hint="eastAsia" w:ascii="楷体_GB2312" w:hAnsi="Times New Roman" w:eastAsia="楷体_GB2312"/>
                                <w:b/>
                                <w:bCs/>
                                <w:sz w:val="21"/>
                                <w:szCs w:val="21"/>
                              </w:rPr>
                              <w:t>有色冶金产业。</w:t>
                            </w:r>
                            <w:r>
                              <w:rPr>
                                <w:rFonts w:hint="eastAsia" w:ascii="楷体_GB2312" w:eastAsia="楷体_GB2312"/>
                                <w:sz w:val="21"/>
                                <w:szCs w:val="21"/>
                              </w:rPr>
                              <w:t>加快产业结构调整和优化升级，做大做强优势骨干企业，规模总量和品种质量进一步提升。到2020年，全市冶金工业总产值达到200亿元。</w:t>
                            </w:r>
                          </w:p>
                          <w:p/>
                        </w:txbxContent>
                      </wps:txbx>
                      <wps:bodyPr wrap="square" upright="1"/>
                    </wps:wsp>
                  </a:graphicData>
                </a:graphic>
              </wp:anchor>
            </w:drawing>
          </mc:Choice>
          <mc:Fallback>
            <w:pict>
              <v:shape id="文本框 159" o:spid="_x0000_s1026" o:spt="202" type="#_x0000_t202" style="position:absolute;left:0pt;margin-left:0pt;margin-top:2.6pt;height:158.4pt;width:441pt;mso-wrap-distance-bottom:0pt;mso-wrap-distance-left:9pt;mso-wrap-distance-right:9pt;mso-wrap-distance-top:0pt;z-index:251712512;mso-width-relative:page;mso-height-relative:page;" fillcolor="#FFFFFF" filled="t" stroked="t" coordsize="21600,21600" wrapcoords="-37 -112 -37 21600 21637 21600 21637 -112 -37 -112" o:gfxdata="UEsDBAoAAAAAAIdO4kAAAAAAAAAAAAAAAAAEAAAAZHJzL1BLAwQUAAAACACHTuJAnJDAutUAAAAG&#10;AQAADwAAAGRycy9kb3ducmV2LnhtbE2PwU7DMBBE70j8g7VIXBB1mkIJIZsekEBwKwXB1Y23SUS8&#10;Drablr9nOcFtRrOaeVutjm5QE4XYe0aYzzJQxI23PbcIb68PlwWomAxbM3gmhG+KsKpPTypTWn/g&#10;F5o2qVVSwrE0CF1KY6l1bDpyJs78SCzZzgdnktjQahvMQcrdoPMsW2pnepaFzox031Hzudk7hOLq&#10;afqIz4v1e7PcDbfp4mZ6/AqI52fz7A5UomP6O4ZffEGHWpi2fs82qgFBHkkI1zkoCYsiF79FWOQi&#10;dF3p//j1D1BLAwQUAAAACACHTuJAquZM9xoCAABIBAAADgAAAGRycy9lMm9Eb2MueG1srVRLktMw&#10;EN1TxR1U2hM7oRJmXHGmCkLYUEDVwAEUWY5VpR+SEjsXgBuwYsOec+UcPCmZzAcWWeCF3VK3Xvd7&#10;3fL8ZtCK7IQP0pqajkclJcJw20izqemXz6sXV5SEyEzDlDWipnsR6M3i+bN57yoxsZ1VjfAEICZU&#10;vatpF6OriiLwTmgWRtYJA2drvWYRS78pGs96oGtVTMpyVvTWN85bLkLA7vLopCdEfwmgbVvJxdLy&#10;rRYmHlG9UCyCUuikC3SRq21bwePHtg0iElVTMI35jSSw1+ldLOas2njmOslPJbBLSnjCSTNpkPQM&#10;tWSRka2Xf0Fpyb0Nto0jbnVxJJIVAYtx+USb2445kblA6uDOoof/B8s/7D55IpuaTl9SYphGxw8/&#10;vh9+/j78+kbG0+ukUO9ChcBbh9A4vLYD5uZuP2AzER9ar9MXlAj80Hd/1lcMkXBsTmdl+aqEi8MH&#10;vuPZVe5AcX/c+RDfCatJMmrq0cCsK9u9DxGlIPQuJGULVslmJZXKC79Zv1Ge7BiavcpPqhJHHoUp&#10;Q/qaXk8nUxTCMMEtJgemdlAhmE3O9+hEeAhc5udfwKmwJQvdsYCMkMJYpWUUPludYM1b05C4dxDa&#10;4ILRVIwWDSVK4D4mK0dGJtUlkWCnDEimHh17kaw4rAfAJHNtmz361mPGQe/rlnnk3DovNx0Ezn3M&#10;hzFgWavTZUgT/HCdU9z/AB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yQwLrVAAAABgEAAA8A&#10;AAAAAAAAAQAgAAAAIgAAAGRycy9kb3ducmV2LnhtbFBLAQIUABQAAAAIAIdO4kCq5kz3GgIAAEgE&#10;AAAOAAAAAAAAAAEAIAAAACQBAABkcnMvZTJvRG9jLnhtbFBLBQYAAAAABgAGAFkBAACwBQAAAAA=&#10;">
                <v:fill on="t" focussize="0,0"/>
                <v:stroke color="#000000" joinstyle="miter"/>
                <v:imagedata o:title=""/>
                <o:lock v:ext="edit" aspectratio="f"/>
                <v:textbo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专栏17</w:t>
                      </w:r>
                    </w:p>
                    <w:p>
                      <w:pPr>
                        <w:spacing w:after="0" w:line="300" w:lineRule="exact"/>
                        <w:jc w:val="center"/>
                        <w:rPr>
                          <w:rFonts w:ascii="黑体" w:hAnsi="黑体" w:eastAsia="黑体"/>
                          <w:b/>
                          <w:sz w:val="21"/>
                          <w:szCs w:val="21"/>
                        </w:rPr>
                      </w:pPr>
                      <w:r>
                        <w:rPr>
                          <w:rFonts w:hint="eastAsia" w:ascii="黑体" w:hAnsi="黑体" w:eastAsia="黑体"/>
                          <w:b/>
                          <w:sz w:val="21"/>
                          <w:szCs w:val="21"/>
                        </w:rPr>
                        <w:t>三大特色产业</w:t>
                      </w:r>
                    </w:p>
                    <w:p>
                      <w:pPr>
                        <w:spacing w:after="0" w:line="300" w:lineRule="exact"/>
                        <w:ind w:firstLine="422" w:firstLineChars="200"/>
                        <w:rPr>
                          <w:rFonts w:hint="eastAsia" w:ascii="楷体_GB2312" w:hAnsi="宋体" w:eastAsia="楷体_GB2312" w:cs="宋体"/>
                          <w:sz w:val="21"/>
                          <w:szCs w:val="21"/>
                        </w:rPr>
                      </w:pPr>
                      <w:r>
                        <w:rPr>
                          <w:rFonts w:hint="eastAsia" w:ascii="楷体_GB2312" w:hAnsi="Times New Roman" w:eastAsia="楷体_GB2312"/>
                          <w:b/>
                          <w:bCs/>
                          <w:sz w:val="21"/>
                          <w:szCs w:val="21"/>
                        </w:rPr>
                        <w:t>建材产业。</w:t>
                      </w:r>
                      <w:r>
                        <w:rPr>
                          <w:rFonts w:hint="eastAsia" w:ascii="楷体_GB2312" w:hAnsi="Times New Roman" w:eastAsia="楷体_GB2312"/>
                          <w:bCs/>
                          <w:sz w:val="21"/>
                          <w:szCs w:val="21"/>
                        </w:rPr>
                        <w:t>以结构调整为</w:t>
                      </w:r>
                      <w:r>
                        <w:rPr>
                          <w:rFonts w:hint="eastAsia" w:ascii="楷体_GB2312" w:hAnsi="宋体" w:eastAsia="楷体_GB2312" w:cs="宋体"/>
                          <w:sz w:val="21"/>
                          <w:szCs w:val="21"/>
                        </w:rPr>
                        <w:t>主攻方向，优化产业布局、淘汰落后产能，积极推进资源综合利用，大力培育和发展节能环保新型建材，实现我市建材工业可持续发展。到2020年末，建材</w:t>
                      </w:r>
                      <w:r>
                        <w:rPr>
                          <w:rFonts w:hint="eastAsia" w:ascii="楷体_GB2312" w:eastAsia="楷体_GB2312"/>
                          <w:sz w:val="21"/>
                          <w:szCs w:val="21"/>
                        </w:rPr>
                        <w:t>产业产值达到</w:t>
                      </w:r>
                      <w:r>
                        <w:rPr>
                          <w:rFonts w:hint="eastAsia" w:ascii="楷体_GB2312" w:hAnsi="宋体" w:eastAsia="楷体_GB2312" w:cs="宋体"/>
                          <w:sz w:val="21"/>
                          <w:szCs w:val="21"/>
                        </w:rPr>
                        <w:t>200亿元。</w:t>
                      </w:r>
                    </w:p>
                    <w:p>
                      <w:pPr>
                        <w:spacing w:after="0" w:line="300" w:lineRule="exact"/>
                        <w:ind w:firstLine="422" w:firstLineChars="200"/>
                        <w:rPr>
                          <w:rFonts w:hint="eastAsia" w:ascii="楷体_GB2312" w:hAnsi="宋体" w:eastAsia="楷体_GB2312" w:cs="宋体"/>
                          <w:sz w:val="21"/>
                          <w:szCs w:val="21"/>
                        </w:rPr>
                      </w:pPr>
                      <w:r>
                        <w:rPr>
                          <w:rFonts w:hint="eastAsia" w:ascii="楷体_GB2312" w:hAnsi="Times New Roman" w:eastAsia="楷体_GB2312"/>
                          <w:b/>
                          <w:bCs/>
                          <w:sz w:val="21"/>
                          <w:szCs w:val="21"/>
                        </w:rPr>
                        <w:t>纺织服装产业。</w:t>
                      </w:r>
                      <w:r>
                        <w:rPr>
                          <w:rFonts w:hint="eastAsia" w:ascii="楷体_GB2312" w:hAnsi="宋体" w:eastAsia="楷体_GB2312" w:cs="宋体"/>
                          <w:sz w:val="21"/>
                          <w:szCs w:val="21"/>
                        </w:rPr>
                        <w:t>以提高生产水平和产业集中度为发展方向，着力推广新型、高效、节能的棉纺织技术装备，加大现有优势企业的改造力度，做优做大功能服装产业。到2020年末，纺织服装产业产值达到100亿元。</w:t>
                      </w:r>
                    </w:p>
                    <w:p>
                      <w:pPr>
                        <w:spacing w:after="0" w:line="300" w:lineRule="exact"/>
                        <w:ind w:firstLine="422" w:firstLineChars="200"/>
                        <w:rPr>
                          <w:rFonts w:hint="eastAsia" w:ascii="楷体_GB2312" w:eastAsia="楷体_GB2312"/>
                          <w:sz w:val="21"/>
                          <w:szCs w:val="21"/>
                        </w:rPr>
                      </w:pPr>
                      <w:r>
                        <w:rPr>
                          <w:rFonts w:hint="eastAsia" w:ascii="楷体_GB2312" w:hAnsi="Times New Roman" w:eastAsia="楷体_GB2312"/>
                          <w:b/>
                          <w:bCs/>
                          <w:sz w:val="21"/>
                          <w:szCs w:val="21"/>
                        </w:rPr>
                        <w:t>有色冶金产业。</w:t>
                      </w:r>
                      <w:r>
                        <w:rPr>
                          <w:rFonts w:hint="eastAsia" w:ascii="楷体_GB2312" w:eastAsia="楷体_GB2312"/>
                          <w:sz w:val="21"/>
                          <w:szCs w:val="21"/>
                        </w:rPr>
                        <w:t>加快产业结构调整和优化升级，做大做强优势骨干企业，规模总量和品种质量进一步提升。到2020年，全市冶金工业总产值达到200亿元。</w:t>
                      </w:r>
                    </w:p>
                    <w:p/>
                  </w:txbxContent>
                </v:textbox>
                <w10:wrap type="square"/>
              </v:shape>
            </w:pict>
          </mc:Fallback>
        </mc:AlternateContent>
      </w:r>
    </w:p>
    <w:p>
      <w:pPr>
        <w:spacing w:after="0" w:line="600" w:lineRule="exact"/>
        <w:jc w:val="center"/>
        <w:rPr>
          <w:rFonts w:ascii="楷体_GB2312" w:eastAsia="楷体_GB2312"/>
          <w:b/>
          <w:sz w:val="32"/>
          <w:szCs w:val="32"/>
        </w:rPr>
      </w:pPr>
      <w:r>
        <w:rPr>
          <w:rFonts w:hint="eastAsia" w:ascii="黑体" w:hAnsi="黑体" w:eastAsia="黑体"/>
          <w:sz w:val="32"/>
          <w:szCs w:val="32"/>
        </w:rPr>
        <w:t>第十一章</w:t>
      </w:r>
      <w:r>
        <w:rPr>
          <w:rFonts w:ascii="黑体" w:hAnsi="黑体" w:eastAsia="黑体"/>
          <w:sz w:val="32"/>
          <w:szCs w:val="32"/>
        </w:rPr>
        <w:t xml:space="preserve">  </w:t>
      </w:r>
      <w:r>
        <w:rPr>
          <w:rFonts w:hint="eastAsia" w:ascii="黑体" w:hAnsi="黑体" w:eastAsia="黑体"/>
          <w:sz w:val="32"/>
          <w:szCs w:val="32"/>
        </w:rPr>
        <w:t>加快发展现代服务业</w:t>
      </w:r>
    </w:p>
    <w:p>
      <w:pPr>
        <w:spacing w:after="0" w:line="600" w:lineRule="exact"/>
        <w:jc w:val="center"/>
        <w:rPr>
          <w:rFonts w:ascii="楷体_GB2312" w:eastAsia="楷体_GB2312"/>
          <w:b/>
          <w:sz w:val="32"/>
          <w:szCs w:val="32"/>
        </w:rPr>
      </w:pPr>
    </w:p>
    <w:p>
      <w:pPr>
        <w:spacing w:after="0" w:line="600" w:lineRule="exact"/>
        <w:jc w:val="center"/>
        <w:rPr>
          <w:rFonts w:ascii="楷体_GB2312" w:hAnsi="黑体" w:eastAsia="楷体_GB2312"/>
          <w:b/>
          <w:sz w:val="32"/>
          <w:szCs w:val="32"/>
        </w:rPr>
      </w:pPr>
      <w:r>
        <w:rPr>
          <w:rFonts w:hint="eastAsia" w:ascii="楷体_GB2312" w:eastAsia="楷体_GB2312"/>
          <w:b/>
          <w:sz w:val="32"/>
          <w:szCs w:val="32"/>
        </w:rPr>
        <w:t>第一节</w:t>
      </w:r>
      <w:r>
        <w:rPr>
          <w:rFonts w:ascii="楷体_GB2312" w:eastAsia="楷体_GB2312"/>
          <w:b/>
          <w:sz w:val="32"/>
          <w:szCs w:val="32"/>
        </w:rPr>
        <w:t xml:space="preserve">  </w:t>
      </w:r>
      <w:r>
        <w:rPr>
          <w:rFonts w:hint="eastAsia" w:ascii="楷体_GB2312" w:hAnsi="黑体" w:eastAsia="楷体_GB2312"/>
          <w:b/>
          <w:sz w:val="32"/>
          <w:szCs w:val="32"/>
        </w:rPr>
        <w:t>提升服务业发展水平</w:t>
      </w:r>
    </w:p>
    <w:p>
      <w:pPr>
        <w:spacing w:after="0" w:line="600" w:lineRule="exact"/>
        <w:ind w:firstLine="640" w:firstLineChars="200"/>
        <w:jc w:val="distribute"/>
        <w:rPr>
          <w:rFonts w:hint="eastAsia" w:ascii="仿宋_GB2312" w:eastAsia="仿宋_GB2312"/>
          <w:sz w:val="32"/>
          <w:szCs w:val="32"/>
        </w:rPr>
      </w:pPr>
      <w:r>
        <w:rPr>
          <w:rFonts w:hint="eastAsia" w:ascii="仿宋_GB2312" w:eastAsia="仿宋_GB2312"/>
          <w:sz w:val="32"/>
          <w:szCs w:val="32"/>
        </w:rPr>
        <w:t>营造良好的服务业发展环境，以市场化、产业化、现代化、国际化为方向，适应产业升级新要求，积极探索，创新发展，突出重点，完善政策，加快服务业集聚发展示范区建设步伐，力争在服务业布局优化、集聚发展、重点培育、政策扶持和机制创新等方面实现突破，“十三五”期间，全市服务业增加值增速力争达到</w:t>
      </w:r>
      <w:r>
        <w:rPr>
          <w:rFonts w:ascii="仿宋_GB2312" w:eastAsia="仿宋_GB2312"/>
          <w:sz w:val="32"/>
          <w:szCs w:val="32"/>
        </w:rPr>
        <w:t>10%以上</w:t>
      </w:r>
      <w:r>
        <w:rPr>
          <w:rFonts w:hint="eastAsia" w:ascii="仿宋_GB2312" w:eastAsia="仿宋_GB2312"/>
          <w:sz w:val="32"/>
          <w:szCs w:val="32"/>
        </w:rPr>
        <w:t>，到</w:t>
      </w:r>
      <w:r>
        <w:rPr>
          <w:rFonts w:ascii="仿宋_GB2312" w:eastAsia="仿宋_GB2312"/>
          <w:sz w:val="32"/>
          <w:szCs w:val="32"/>
        </w:rPr>
        <w:t>2020</w:t>
      </w:r>
      <w:r>
        <w:rPr>
          <w:rFonts w:hint="eastAsia" w:ascii="仿宋_GB2312" w:eastAsia="仿宋_GB2312"/>
          <w:sz w:val="32"/>
          <w:szCs w:val="32"/>
        </w:rPr>
        <w:t>年，服务业增加值占全市生产总值比重达到</w:t>
      </w:r>
      <w:r>
        <w:rPr>
          <w:rFonts w:ascii="仿宋_GB2312" w:eastAsia="仿宋_GB2312"/>
          <w:sz w:val="32"/>
          <w:szCs w:val="32"/>
        </w:rPr>
        <w:t>30%</w:t>
      </w:r>
      <w:r>
        <w:rPr>
          <w:rFonts w:hint="eastAsia" w:ascii="仿宋_GB2312" w:eastAsia="仿宋_GB2312"/>
          <w:sz w:val="32"/>
          <w:szCs w:val="32"/>
        </w:rPr>
        <w:t>，服务业整体发展水平和质量得到明显提高。</w:t>
      </w:r>
    </w:p>
    <w:p>
      <w:pPr>
        <w:spacing w:after="0" w:line="600" w:lineRule="exact"/>
        <w:ind w:firstLine="640" w:firstLineChars="200"/>
        <w:jc w:val="both"/>
        <w:rPr>
          <w:rFonts w:hint="eastAsia" w:ascii="仿宋_GB2312" w:eastAsia="仿宋_GB2312"/>
          <w:sz w:val="32"/>
          <w:szCs w:val="32"/>
        </w:rPr>
      </w:pPr>
    </w:p>
    <w:p>
      <w:pPr>
        <w:spacing w:after="0" w:line="600" w:lineRule="exact"/>
        <w:jc w:val="center"/>
        <w:rPr>
          <w:rFonts w:ascii="楷体_GB2312" w:eastAsia="楷体_GB2312"/>
          <w:b/>
          <w:sz w:val="32"/>
          <w:szCs w:val="32"/>
        </w:rPr>
      </w:pPr>
      <w:r>
        <w:rPr>
          <w:rFonts w:hint="eastAsia" w:ascii="楷体_GB2312" w:eastAsia="楷体_GB2312"/>
          <w:b/>
          <w:sz w:val="32"/>
          <w:szCs w:val="32"/>
        </w:rPr>
        <w:t>第二节</w:t>
      </w:r>
      <w:r>
        <w:rPr>
          <w:rFonts w:ascii="楷体_GB2312" w:eastAsia="楷体_GB2312"/>
          <w:b/>
          <w:sz w:val="32"/>
          <w:szCs w:val="32"/>
        </w:rPr>
        <w:t xml:space="preserve">  </w:t>
      </w:r>
      <w:r>
        <w:rPr>
          <w:rFonts w:hint="eastAsia" w:ascii="楷体_GB2312" w:eastAsia="楷体_GB2312"/>
          <w:b/>
          <w:sz w:val="32"/>
          <w:szCs w:val="32"/>
        </w:rPr>
        <w:t>大力发展生产性服务业</w:t>
      </w:r>
    </w:p>
    <w:p>
      <w:pPr>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以发展铁路专用线和高等级公路为支撑，加快发展现代物流业，建成丝路经济带国际物流节点；以银行、证券、保险、信托等各类金融机构为重点，大力发展金融业；</w:t>
      </w:r>
      <w:r>
        <w:rPr>
          <w:rFonts w:hint="eastAsia" w:ascii="仿宋_GB2312" w:eastAsia="仿宋_GB2312"/>
          <w:color w:val="000000"/>
          <w:sz w:val="32"/>
          <w:szCs w:val="32"/>
        </w:rPr>
        <w:t>以大企业大集团为抓手，推</w:t>
      </w:r>
      <w:r>
        <w:rPr>
          <w:rFonts w:hint="eastAsia" w:ascii="仿宋_GB2312" w:eastAsia="仿宋_GB2312"/>
          <w:sz w:val="32"/>
          <w:szCs w:val="32"/>
        </w:rPr>
        <w:t>进</w:t>
      </w:r>
      <w:r>
        <w:rPr>
          <w:rFonts w:ascii="仿宋_GB2312" w:eastAsia="仿宋_GB2312"/>
          <w:sz w:val="32"/>
          <w:szCs w:val="32"/>
        </w:rPr>
        <w:t>互联网+行动</w:t>
      </w:r>
      <w:r>
        <w:rPr>
          <w:rFonts w:hint="eastAsia" w:ascii="仿宋_GB2312" w:eastAsia="仿宋_GB2312"/>
          <w:sz w:val="32"/>
          <w:szCs w:val="32"/>
        </w:rPr>
        <w:t>促进电子商务</w:t>
      </w:r>
      <w:r>
        <w:rPr>
          <w:rFonts w:ascii="仿宋_GB2312" w:eastAsia="仿宋_GB2312"/>
          <w:sz w:val="32"/>
          <w:szCs w:val="32"/>
        </w:rPr>
        <w:t>在各领域的运用</w:t>
      </w:r>
      <w:r>
        <w:rPr>
          <w:rFonts w:hint="eastAsia" w:ascii="仿宋_GB2312" w:eastAsia="仿宋_GB2312"/>
          <w:sz w:val="32"/>
          <w:szCs w:val="32"/>
        </w:rPr>
        <w:t>；鼓励企业、机构等建立产学研创新战略联盟，联合开展装备制造、能源化工、新材料等产业技术研究和攻关；建立和完善工业设计体系，加快人才培养和设计成果产业化；以国家信息消费试点城市为发展契机，支持互联网、物联网企业加快发展，培育和发展信息服务业。</w:t>
      </w:r>
    </w:p>
    <w:p>
      <w:pPr>
        <w:spacing w:after="0" w:line="600" w:lineRule="exact"/>
        <w:ind w:firstLine="440" w:firstLineChars="200"/>
        <w:jc w:val="both"/>
        <w:rPr>
          <w:rFonts w:hint="eastAsia" w:ascii="仿宋_GB2312" w:eastAsia="仿宋_GB2312"/>
          <w:sz w:val="32"/>
          <w:szCs w:val="32"/>
        </w:rPr>
      </w:pPr>
      <w:r>
        <w:rPr>
          <w:rFonts w:hint="eastAsia"/>
        </w:rPr>
        <mc:AlternateContent>
          <mc:Choice Requires="wps">
            <w:drawing>
              <wp:anchor distT="0" distB="0" distL="114300" distR="114300" simplePos="0" relativeHeight="251709440" behindDoc="0" locked="0" layoutInCell="1" allowOverlap="1">
                <wp:simplePos x="0" y="0"/>
                <wp:positionH relativeFrom="column">
                  <wp:posOffset>10160</wp:posOffset>
                </wp:positionH>
                <wp:positionV relativeFrom="paragraph">
                  <wp:posOffset>193675</wp:posOffset>
                </wp:positionV>
                <wp:extent cx="5600700" cy="1684020"/>
                <wp:effectExtent l="4445" t="4445" r="14605" b="6985"/>
                <wp:wrapSquare wrapText="bothSides"/>
                <wp:docPr id="50" name="文本框 155"/>
                <wp:cNvGraphicFramePr/>
                <a:graphic xmlns:a="http://schemas.openxmlformats.org/drawingml/2006/main">
                  <a:graphicData uri="http://schemas.microsoft.com/office/word/2010/wordprocessingShape">
                    <wps:wsp>
                      <wps:cNvSpPr txBox="1"/>
                      <wps:spPr>
                        <a:xfrm>
                          <a:off x="0" y="0"/>
                          <a:ext cx="5600700" cy="1684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专栏18</w:t>
                            </w:r>
                          </w:p>
                          <w:p>
                            <w:pPr>
                              <w:spacing w:after="0" w:line="300" w:lineRule="exact"/>
                              <w:jc w:val="center"/>
                              <w:rPr>
                                <w:rFonts w:ascii="楷体_GB2312" w:eastAsia="楷体_GB2312"/>
                                <w:color w:val="FF0000"/>
                                <w:sz w:val="21"/>
                                <w:szCs w:val="21"/>
                              </w:rPr>
                            </w:pPr>
                            <w:r>
                              <w:rPr>
                                <w:rFonts w:hint="eastAsia" w:ascii="黑体" w:hAnsi="黑体" w:eastAsia="黑体"/>
                                <w:b/>
                                <w:sz w:val="21"/>
                                <w:szCs w:val="21"/>
                              </w:rPr>
                              <w:t>现代物流业发展重点</w:t>
                            </w:r>
                          </w:p>
                          <w:p>
                            <w:pPr>
                              <w:spacing w:after="0" w:line="300" w:lineRule="exact"/>
                              <w:ind w:firstLine="420" w:firstLineChars="200"/>
                              <w:jc w:val="both"/>
                              <w:rPr>
                                <w:rFonts w:ascii="楷体_GB2312" w:eastAsia="楷体_GB2312"/>
                                <w:sz w:val="21"/>
                              </w:rPr>
                            </w:pPr>
                            <w:r>
                              <w:rPr>
                                <w:rFonts w:hint="eastAsia" w:ascii="楷体_GB2312" w:eastAsia="楷体_GB2312"/>
                                <w:sz w:val="21"/>
                                <w:szCs w:val="21"/>
                              </w:rPr>
                              <w:t>结合全市四大产业带布局</w:t>
                            </w:r>
                            <w:r>
                              <w:rPr>
                                <w:rFonts w:ascii="楷体_GB2312" w:eastAsia="楷体_GB2312"/>
                                <w:sz w:val="21"/>
                                <w:szCs w:val="21"/>
                              </w:rPr>
                              <w:t>,</w:t>
                            </w:r>
                            <w:r>
                              <w:rPr>
                                <w:rFonts w:hint="eastAsia" w:ascii="楷体_GB2312" w:eastAsia="楷体_GB2312"/>
                                <w:sz w:val="21"/>
                                <w:szCs w:val="21"/>
                              </w:rPr>
                              <w:t>规划建设一批物流园区，充分发挥物流园区的服务功能，助力四大产业带形成。依托阳平铁路物流中心，着力打造宝鸡陆港，大力发展公铁联运、甩挂运输等现代物流业态，建成陕甘川宁毗邻地区重要的物资集散中心，形成宝鸡物流核心；依托凤翔机场，建设空港物流中心，大力发展航空物流和快递物流；依托宝鸡高新区，建设宝鸡综合保税区，大力发展出口加工和保税物流。远期将陆港物流、空港物流、保税物流功能进行整合，组建宝鸡国际港务区。“十三五”末，力争实现增加值</w:t>
                            </w:r>
                            <w:r>
                              <w:rPr>
                                <w:rFonts w:ascii="楷体_GB2312" w:eastAsia="楷体_GB2312"/>
                                <w:sz w:val="21"/>
                                <w:szCs w:val="21"/>
                              </w:rPr>
                              <w:t>200</w:t>
                            </w:r>
                            <w:r>
                              <w:rPr>
                                <w:rFonts w:hint="eastAsia" w:ascii="楷体_GB2312" w:eastAsia="楷体_GB2312"/>
                                <w:sz w:val="21"/>
                                <w:szCs w:val="21"/>
                              </w:rPr>
                              <w:t>亿元。</w:t>
                            </w:r>
                          </w:p>
                        </w:txbxContent>
                      </wps:txbx>
                      <wps:bodyPr wrap="square" upright="1"/>
                    </wps:wsp>
                  </a:graphicData>
                </a:graphic>
              </wp:anchor>
            </w:drawing>
          </mc:Choice>
          <mc:Fallback>
            <w:pict>
              <v:shape id="文本框 155" o:spid="_x0000_s1026" o:spt="202" type="#_x0000_t202" style="position:absolute;left:0pt;margin-left:0.8pt;margin-top:15.25pt;height:132.6pt;width:441pt;mso-wrap-distance-bottom:0pt;mso-wrap-distance-left:9pt;mso-wrap-distance-right:9pt;mso-wrap-distance-top:0pt;z-index:251709440;mso-width-relative:page;mso-height-relative:page;" fillcolor="#FFFFFF" filled="t" stroked="t" coordsize="21600,21600" o:gfxdata="UEsDBAoAAAAAAIdO4kAAAAAAAAAAAAAAAAAEAAAAZHJzL1BLAwQUAAAACACHTuJA+VWXAtcAAAAI&#10;AQAADwAAAGRycy9kb3ducmV2LnhtbE2PwU7DMBBE70j8g7VIXBC129A0DXF6QALBDQqCqxtvkwh7&#10;HWI3LX/PcoLj7Ixm31Sbk3diwjH2gTTMZwoEUhNsT62Gt9f76wJETIascYFQwzdG2NTnZ5UpbTjS&#10;C07b1AouoVgaDV1KQyllbDr0Js7CgMTePozeJJZjK+1ojlzunVwolUtveuIPnRnwrsPmc3vwGoqb&#10;x+kjPmXP702+d+t0tZoevkatLy/m6hZEwlP6C8MvPqNDzUy7cCAbhWOdc1BDppYg2C6KjA87DYv1&#10;cgWyruT/AfUPUEsDBBQAAAAIAIdO4kCucIGSGgIAAEgEAAAOAAAAZHJzL2Uyb0RvYy54bWytVEuS&#10;0zAQ3VPFHVTaEzspHAZXnKmCEDYUUDVwAMWWbVXph6TEzgXgBqzYsOdcOcc8KZnMBxZZ4IXdUrde&#10;93vd8uJ6VJLsuPPC6IpOJzklXNemEbqr6Ncv6xdXlPjAdMOk0byie+7p9fL5s8VgSz4zvZENdwQg&#10;2peDrWgfgi2zzNc9V8xPjOUaztY4xQKWrssaxwagK5nN8nyeDcY11pmae4/d1dFJT4juEkDTtqLm&#10;K1NvFdfhiOq4ZAGUfC+sp8tUbdvyOnxqW88DkRUF05DeSAJ7E9/ZcsHKzjHbi/pUArukhCecFBMa&#10;Sc9QKxYY2TrxF5QStTPetGFSG5UdiSRFwGKaP9HmpmeWJy6Q2tuz6P7/wdYfd58dEU1FC0iimULH&#10;Dz9/HH79Ofz+TqZFERUarC8ReGMRGsY3ZsTc3O17bEbiY+tU/IISgR9g+7O+fAykxmYxz/NXOVw1&#10;fNP51ct8ljqQ3R+3zof33CgSjYo6NDDpynYffEApCL0Lidm8kaJZCynTwnWbt9KRHUOz1+mJVeLI&#10;ozCpyVDR18WsQCEME9xicmAqCxW87lK+Ryf8Q+A8Pf8CjoWtmO+PBSSEGMZKJQJ3yeo5a97phoS9&#10;hdAaF4zGYhRvKJEc9zFaKTIwIS+JBDupQTL26NiLaIVxMwImmhvT7NG3ATMOet+2zCHn1jrR9RA4&#10;9TEdxoAlrU6XIU7ww3VKcf8DWN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WXAtcAAAAIAQAA&#10;DwAAAAAAAAABACAAAAAiAAAAZHJzL2Rvd25yZXYueG1sUEsBAhQAFAAAAAgAh07iQK5wgZIaAgAA&#10;SAQAAA4AAAAAAAAAAQAgAAAAJgEAAGRycy9lMm9Eb2MueG1sUEsFBgAAAAAGAAYAWQEAALIFAAAA&#10;AA==&#10;">
                <v:fill on="t" focussize="0,0"/>
                <v:stroke color="#000000" joinstyle="miter"/>
                <v:imagedata o:title=""/>
                <o:lock v:ext="edit" aspectratio="f"/>
                <v:textbo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专栏18</w:t>
                      </w:r>
                    </w:p>
                    <w:p>
                      <w:pPr>
                        <w:spacing w:after="0" w:line="300" w:lineRule="exact"/>
                        <w:jc w:val="center"/>
                        <w:rPr>
                          <w:rFonts w:ascii="楷体_GB2312" w:eastAsia="楷体_GB2312"/>
                          <w:color w:val="FF0000"/>
                          <w:sz w:val="21"/>
                          <w:szCs w:val="21"/>
                        </w:rPr>
                      </w:pPr>
                      <w:r>
                        <w:rPr>
                          <w:rFonts w:hint="eastAsia" w:ascii="黑体" w:hAnsi="黑体" w:eastAsia="黑体"/>
                          <w:b/>
                          <w:sz w:val="21"/>
                          <w:szCs w:val="21"/>
                        </w:rPr>
                        <w:t>现代物流业发展重点</w:t>
                      </w:r>
                    </w:p>
                    <w:p>
                      <w:pPr>
                        <w:spacing w:after="0" w:line="300" w:lineRule="exact"/>
                        <w:ind w:firstLine="420" w:firstLineChars="200"/>
                        <w:jc w:val="both"/>
                        <w:rPr>
                          <w:rFonts w:ascii="楷体_GB2312" w:eastAsia="楷体_GB2312"/>
                          <w:sz w:val="21"/>
                        </w:rPr>
                      </w:pPr>
                      <w:r>
                        <w:rPr>
                          <w:rFonts w:hint="eastAsia" w:ascii="楷体_GB2312" w:eastAsia="楷体_GB2312"/>
                          <w:sz w:val="21"/>
                          <w:szCs w:val="21"/>
                        </w:rPr>
                        <w:t>结合全市四大产业带布局</w:t>
                      </w:r>
                      <w:r>
                        <w:rPr>
                          <w:rFonts w:ascii="楷体_GB2312" w:eastAsia="楷体_GB2312"/>
                          <w:sz w:val="21"/>
                          <w:szCs w:val="21"/>
                        </w:rPr>
                        <w:t>,</w:t>
                      </w:r>
                      <w:r>
                        <w:rPr>
                          <w:rFonts w:hint="eastAsia" w:ascii="楷体_GB2312" w:eastAsia="楷体_GB2312"/>
                          <w:sz w:val="21"/>
                          <w:szCs w:val="21"/>
                        </w:rPr>
                        <w:t>规划建设一批物流园区，充分发挥物流园区的服务功能，助力四大产业带形成。依托阳平铁路物流中心，着力打造宝鸡陆港，大力发展公铁联运、甩挂运输等现代物流业态，建成陕甘川宁毗邻地区重要的物资集散中心，形成宝鸡物流核心；依托凤翔机场，建设空港物流中心，大力发展航空物流和快递物流；依托宝鸡高新区，建设宝鸡综合保税区，大力发展出口加工和保税物流。远期将陆港物流、空港物流、保税物流功能进行整合，组建宝鸡国际港务区。“十三五”末，力争实现增加值</w:t>
                      </w:r>
                      <w:r>
                        <w:rPr>
                          <w:rFonts w:ascii="楷体_GB2312" w:eastAsia="楷体_GB2312"/>
                          <w:sz w:val="21"/>
                          <w:szCs w:val="21"/>
                        </w:rPr>
                        <w:t>200</w:t>
                      </w:r>
                      <w:r>
                        <w:rPr>
                          <w:rFonts w:hint="eastAsia" w:ascii="楷体_GB2312" w:eastAsia="楷体_GB2312"/>
                          <w:sz w:val="21"/>
                          <w:szCs w:val="21"/>
                        </w:rPr>
                        <w:t>亿元。</w:t>
                      </w:r>
                    </w:p>
                  </w:txbxContent>
                </v:textbox>
                <w10:wrap type="square"/>
              </v:shape>
            </w:pict>
          </mc:Fallback>
        </mc:AlternateContent>
      </w:r>
    </w:p>
    <w:p>
      <w:pPr>
        <w:spacing w:after="0" w:line="600" w:lineRule="exact"/>
        <w:ind w:firstLine="640" w:firstLineChars="200"/>
        <w:jc w:val="both"/>
        <w:rPr>
          <w:rFonts w:hint="eastAsia" w:ascii="仿宋_GB2312" w:eastAsia="仿宋_GB2312"/>
          <w:sz w:val="32"/>
          <w:szCs w:val="32"/>
        </w:rPr>
      </w:pPr>
    </w:p>
    <w:p>
      <w:pPr>
        <w:spacing w:after="0" w:line="600" w:lineRule="exact"/>
        <w:ind w:firstLine="440" w:firstLineChars="200"/>
        <w:jc w:val="both"/>
        <w:rPr>
          <w:rFonts w:hint="eastAsia" w:ascii="楷体_GB2312" w:eastAsia="楷体_GB2312"/>
          <w:b/>
          <w:spacing w:val="-20"/>
          <w:sz w:val="32"/>
          <w:szCs w:val="32"/>
        </w:rPr>
      </w:pPr>
      <w:r>
        <w:rPr>
          <w:lang/>
        </w:rPr>
        <mc:AlternateContent>
          <mc:Choice Requires="wps">
            <w:drawing>
              <wp:anchor distT="45720" distB="45720" distL="114300" distR="114300" simplePos="0" relativeHeight="251708416" behindDoc="0" locked="0" layoutInCell="1" allowOverlap="1">
                <wp:simplePos x="0" y="0"/>
                <wp:positionH relativeFrom="margin">
                  <wp:align>center</wp:align>
                </wp:positionH>
                <wp:positionV relativeFrom="margin">
                  <wp:align>top</wp:align>
                </wp:positionV>
                <wp:extent cx="5600700" cy="3665220"/>
                <wp:effectExtent l="4445" t="4445" r="14605" b="6985"/>
                <wp:wrapSquare wrapText="bothSides"/>
                <wp:docPr id="49" name="文本框 2"/>
                <wp:cNvGraphicFramePr/>
                <a:graphic xmlns:a="http://schemas.openxmlformats.org/drawingml/2006/main">
                  <a:graphicData uri="http://schemas.microsoft.com/office/word/2010/wordprocessingShape">
                    <wps:wsp>
                      <wps:cNvSpPr txBox="1"/>
                      <wps:spPr>
                        <a:xfrm>
                          <a:off x="0" y="0"/>
                          <a:ext cx="5600700" cy="3665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专栏19</w:t>
                            </w:r>
                          </w:p>
                          <w:p>
                            <w:pPr>
                              <w:spacing w:after="0" w:line="300" w:lineRule="exact"/>
                              <w:jc w:val="center"/>
                              <w:rPr>
                                <w:rFonts w:hint="eastAsia" w:ascii="黑体" w:hAnsi="黑体" w:eastAsia="黑体"/>
                                <w:b/>
                                <w:sz w:val="21"/>
                                <w:szCs w:val="21"/>
                              </w:rPr>
                            </w:pPr>
                            <w:r>
                              <w:rPr>
                                <w:rFonts w:hint="eastAsia" w:ascii="黑体" w:hAnsi="黑体" w:eastAsia="黑体"/>
                                <w:b/>
                                <w:sz w:val="21"/>
                                <w:szCs w:val="21"/>
                              </w:rPr>
                              <w:t>其它生产性服务业发展重点</w:t>
                            </w:r>
                          </w:p>
                          <w:p>
                            <w:pPr>
                              <w:spacing w:after="0" w:line="260" w:lineRule="exact"/>
                              <w:ind w:firstLine="422" w:firstLineChars="200"/>
                              <w:jc w:val="both"/>
                              <w:rPr>
                                <w:rFonts w:ascii="楷体_GB2312" w:eastAsia="楷体_GB2312"/>
                                <w:sz w:val="21"/>
                                <w:szCs w:val="21"/>
                              </w:rPr>
                            </w:pPr>
                            <w:r>
                              <w:rPr>
                                <w:rFonts w:hint="eastAsia" w:ascii="楷体_GB2312" w:eastAsia="楷体_GB2312"/>
                                <w:b/>
                                <w:sz w:val="21"/>
                                <w:szCs w:val="21"/>
                              </w:rPr>
                              <w:t>金融业</w:t>
                            </w:r>
                            <w:r>
                              <w:rPr>
                                <w:rFonts w:ascii="楷体_GB2312" w:eastAsia="楷体_GB2312"/>
                                <w:b/>
                                <w:sz w:val="21"/>
                                <w:szCs w:val="21"/>
                              </w:rPr>
                              <w:t xml:space="preserve">: </w:t>
                            </w:r>
                            <w:r>
                              <w:rPr>
                                <w:rFonts w:hint="eastAsia" w:ascii="楷体_GB2312" w:eastAsia="楷体_GB2312"/>
                                <w:sz w:val="21"/>
                                <w:szCs w:val="21"/>
                              </w:rPr>
                              <w:t>以引进为主、引进与培育发展结合，发展银行、保险、证券、期货、租赁等各类金融机构，加大创新金融产品和业务，为重点项目、中小微企业、“三农”提供发展保障。支持企业上市挂牌，扩大利用资本市场融资，提高直接融资比例。“十三五”末，力争实现增加值</w:t>
                            </w:r>
                            <w:r>
                              <w:rPr>
                                <w:rFonts w:ascii="楷体_GB2312" w:eastAsia="楷体_GB2312"/>
                                <w:sz w:val="21"/>
                                <w:szCs w:val="21"/>
                              </w:rPr>
                              <w:t>100</w:t>
                            </w:r>
                            <w:r>
                              <w:rPr>
                                <w:rFonts w:hint="eastAsia" w:ascii="楷体_GB2312" w:eastAsia="楷体_GB2312"/>
                                <w:sz w:val="21"/>
                                <w:szCs w:val="21"/>
                              </w:rPr>
                              <w:t>亿元。</w:t>
                            </w:r>
                          </w:p>
                          <w:p>
                            <w:pPr>
                              <w:spacing w:after="0" w:line="300" w:lineRule="exact"/>
                              <w:ind w:firstLine="422" w:firstLineChars="200"/>
                              <w:jc w:val="both"/>
                              <w:rPr>
                                <w:rFonts w:ascii="楷体_GB2312" w:eastAsia="楷体_GB2312"/>
                                <w:sz w:val="21"/>
                              </w:rPr>
                            </w:pPr>
                            <w:r>
                              <w:rPr>
                                <w:rFonts w:hint="eastAsia" w:ascii="楷体_GB2312" w:eastAsia="楷体_GB2312"/>
                                <w:b/>
                                <w:sz w:val="21"/>
                                <w:szCs w:val="21"/>
                              </w:rPr>
                              <w:t>电子商务</w:t>
                            </w:r>
                            <w:r>
                              <w:rPr>
                                <w:rFonts w:ascii="楷体_GB2312" w:eastAsia="楷体_GB2312"/>
                                <w:b/>
                                <w:sz w:val="21"/>
                                <w:szCs w:val="21"/>
                              </w:rPr>
                              <w:t>:</w:t>
                            </w:r>
                            <w:r>
                              <w:rPr>
                                <w:rFonts w:hint="eastAsia" w:ascii="楷体_GB2312" w:eastAsia="楷体_GB2312"/>
                                <w:sz w:val="21"/>
                                <w:szCs w:val="21"/>
                              </w:rPr>
                              <w:t>遵循“市场导向、企业推进、政府监督”的发展原则，在银行、证券、外贸、出版物等适合电子商务发挥特长的领域中选择龙头企业率先推行电子商务试点，总结发展和管理经验，再向其他行业延伸。</w:t>
                            </w:r>
                            <w:r>
                              <w:rPr>
                                <w:rFonts w:ascii="楷体_GB2312" w:eastAsia="楷体_GB2312"/>
                                <w:sz w:val="21"/>
                                <w:szCs w:val="21"/>
                              </w:rPr>
                              <w:t>推动电子商务下乡进村入户，以城带乡，</w:t>
                            </w:r>
                            <w:r>
                              <w:rPr>
                                <w:rFonts w:hint="eastAsia" w:ascii="楷体_GB2312" w:eastAsia="楷体_GB2312"/>
                                <w:sz w:val="21"/>
                                <w:szCs w:val="21"/>
                              </w:rPr>
                              <w:t>带动农村电子商务发展。“十三五”末，力争实现增加值</w:t>
                            </w:r>
                            <w:r>
                              <w:rPr>
                                <w:rFonts w:ascii="楷体_GB2312" w:eastAsia="楷体_GB2312"/>
                                <w:sz w:val="21"/>
                                <w:szCs w:val="21"/>
                              </w:rPr>
                              <w:t>50</w:t>
                            </w:r>
                            <w:r>
                              <w:rPr>
                                <w:rFonts w:hint="eastAsia" w:ascii="楷体_GB2312" w:eastAsia="楷体_GB2312"/>
                                <w:sz w:val="21"/>
                                <w:szCs w:val="21"/>
                              </w:rPr>
                              <w:t>亿元。</w:t>
                            </w:r>
                          </w:p>
                          <w:p>
                            <w:pPr>
                              <w:spacing w:after="0" w:line="300" w:lineRule="exact"/>
                              <w:ind w:firstLine="422" w:firstLineChars="200"/>
                              <w:jc w:val="both"/>
                              <w:rPr>
                                <w:rFonts w:hint="eastAsia" w:ascii="楷体_GB2312" w:eastAsia="楷体_GB2312"/>
                                <w:b/>
                                <w:sz w:val="21"/>
                                <w:szCs w:val="21"/>
                              </w:rPr>
                            </w:pPr>
                            <w:r>
                              <w:rPr>
                                <w:rFonts w:hint="eastAsia" w:ascii="楷体_GB2312" w:eastAsia="楷体_GB2312"/>
                                <w:b/>
                                <w:sz w:val="21"/>
                                <w:szCs w:val="21"/>
                              </w:rPr>
                              <w:t>科技研发：</w:t>
                            </w:r>
                            <w:r>
                              <w:rPr>
                                <w:rFonts w:hint="eastAsia" w:ascii="楷体_GB2312" w:eastAsia="楷体_GB2312"/>
                                <w:sz w:val="21"/>
                                <w:szCs w:val="21"/>
                              </w:rPr>
                              <w:t>依托我市各级工程技术中心，建立产学研创新战略联盟，联合开展能源、化工、装备制造、新材料和食品等产业关键技术、共性技术的研究和攻关，形成一批拥有自主知识产权的核心技术，提升企业和优势产业的核心竞争力。</w:t>
                            </w:r>
                            <w:r>
                              <w:rPr>
                                <w:rFonts w:hint="eastAsia" w:ascii="楷体_GB2312" w:eastAsia="楷体_GB2312"/>
                                <w:sz w:val="21"/>
                              </w:rPr>
                              <w:t>“十三五”末，力争实现增加值</w:t>
                            </w:r>
                            <w:r>
                              <w:rPr>
                                <w:rFonts w:ascii="楷体_GB2312" w:eastAsia="楷体_GB2312"/>
                                <w:sz w:val="21"/>
                              </w:rPr>
                              <w:t>50</w:t>
                            </w:r>
                            <w:r>
                              <w:rPr>
                                <w:rFonts w:hint="eastAsia" w:ascii="楷体_GB2312" w:eastAsia="楷体_GB2312"/>
                                <w:sz w:val="21"/>
                              </w:rPr>
                              <w:t>亿元。</w:t>
                            </w:r>
                          </w:p>
                          <w:p>
                            <w:pPr>
                              <w:spacing w:after="0" w:line="300" w:lineRule="exact"/>
                              <w:ind w:firstLine="422" w:firstLineChars="200"/>
                              <w:jc w:val="both"/>
                              <w:rPr>
                                <w:rFonts w:ascii="楷体_GB2312" w:eastAsia="楷体_GB2312"/>
                                <w:sz w:val="21"/>
                                <w:szCs w:val="21"/>
                              </w:rPr>
                            </w:pPr>
                            <w:r>
                              <w:rPr>
                                <w:rFonts w:hint="eastAsia" w:ascii="楷体_GB2312" w:eastAsia="楷体_GB2312"/>
                                <w:b/>
                                <w:sz w:val="21"/>
                                <w:szCs w:val="21"/>
                              </w:rPr>
                              <w:t>工业设计：</w:t>
                            </w:r>
                            <w:r>
                              <w:rPr>
                                <w:rFonts w:hint="eastAsia" w:ascii="楷体_GB2312" w:eastAsia="楷体_GB2312"/>
                                <w:sz w:val="21"/>
                                <w:szCs w:val="21"/>
                              </w:rPr>
                              <w:t>以制造企业、设计公司为主体，以产业园区、基地为依托，以各类公共服务平台为支撑，以院校、研究培训机构为人才培养载体，建立和完善设计创新体系，加快设计成果产业化，提高工业设计的整体发展。</w:t>
                            </w:r>
                            <w:r>
                              <w:rPr>
                                <w:rFonts w:hint="eastAsia" w:ascii="楷体_GB2312" w:eastAsia="楷体_GB2312"/>
                                <w:sz w:val="21"/>
                              </w:rPr>
                              <w:t>“十三五”末，力争实现增加值</w:t>
                            </w:r>
                            <w:r>
                              <w:rPr>
                                <w:rFonts w:ascii="楷体_GB2312" w:eastAsia="楷体_GB2312"/>
                                <w:sz w:val="21"/>
                              </w:rPr>
                              <w:t>50</w:t>
                            </w:r>
                            <w:r>
                              <w:rPr>
                                <w:rFonts w:hint="eastAsia" w:ascii="楷体_GB2312" w:eastAsia="楷体_GB2312"/>
                                <w:sz w:val="21"/>
                              </w:rPr>
                              <w:t>亿元。</w:t>
                            </w:r>
                          </w:p>
                          <w:p>
                            <w:pPr>
                              <w:spacing w:after="0" w:line="300" w:lineRule="exact"/>
                              <w:ind w:firstLine="422" w:firstLineChars="200"/>
                              <w:jc w:val="both"/>
                              <w:rPr>
                                <w:rFonts w:hint="eastAsia"/>
                              </w:rPr>
                            </w:pPr>
                            <w:r>
                              <w:rPr>
                                <w:rFonts w:hint="eastAsia" w:ascii="楷体_GB2312" w:eastAsia="楷体_GB2312"/>
                                <w:b/>
                                <w:sz w:val="21"/>
                                <w:szCs w:val="21"/>
                              </w:rPr>
                              <w:t>信息服务</w:t>
                            </w:r>
                            <w:r>
                              <w:rPr>
                                <w:rFonts w:ascii="楷体_GB2312" w:eastAsia="楷体_GB2312"/>
                                <w:b/>
                                <w:sz w:val="21"/>
                                <w:szCs w:val="21"/>
                              </w:rPr>
                              <w:t xml:space="preserve">: </w:t>
                            </w:r>
                            <w:r>
                              <w:rPr>
                                <w:rFonts w:hint="eastAsia" w:ascii="楷体_GB2312" w:eastAsia="楷体_GB2312"/>
                                <w:sz w:val="21"/>
                                <w:szCs w:val="21"/>
                              </w:rPr>
                              <w:t>加快发展国民经济信息服务，务实开展农村信息服务，提高电子政务和社会事业信息服务水平，加强网络文化建设，提高网络文化产品和服务的供给能力，强化信息安全保障，维护社会稳定。</w:t>
                            </w:r>
                            <w:r>
                              <w:rPr>
                                <w:rFonts w:hint="eastAsia" w:ascii="楷体_GB2312" w:eastAsia="楷体_GB2312"/>
                                <w:sz w:val="21"/>
                              </w:rPr>
                              <w:t>“十三五”末，力争实现增加值</w:t>
                            </w:r>
                            <w:r>
                              <w:rPr>
                                <w:rFonts w:ascii="楷体_GB2312" w:eastAsia="楷体_GB2312"/>
                                <w:sz w:val="21"/>
                              </w:rPr>
                              <w:t>50</w:t>
                            </w:r>
                            <w:r>
                              <w:rPr>
                                <w:rFonts w:hint="eastAsia" w:ascii="楷体_GB2312" w:eastAsia="楷体_GB2312"/>
                                <w:sz w:val="21"/>
                              </w:rPr>
                              <w:t>亿元。</w:t>
                            </w:r>
                          </w:p>
                        </w:txbxContent>
                      </wps:txbx>
                      <wps:bodyPr wrap="square" upright="1"/>
                    </wps:wsp>
                  </a:graphicData>
                </a:graphic>
              </wp:anchor>
            </w:drawing>
          </mc:Choice>
          <mc:Fallback>
            <w:pict>
              <v:shape id="文本框 2" o:spid="_x0000_s1026" o:spt="202" type="#_x0000_t202" style="position:absolute;left:0pt;height:288.6pt;width:441pt;mso-position-horizontal:center;mso-position-horizontal-relative:margin;mso-position-vertical:top;mso-position-vertical-relative:margin;mso-wrap-distance-bottom:3.6pt;mso-wrap-distance-left:9pt;mso-wrap-distance-right:9pt;mso-wrap-distance-top:3.6pt;z-index:251708416;mso-width-relative:margin;mso-height-relative:margin;" fillcolor="#FFFFFF" filled="t" stroked="t" coordsize="21600,21600" o:gfxdata="UEsDBAoAAAAAAIdO4kAAAAAAAAAAAAAAAAAEAAAAZHJzL1BLAwQUAAAACACHTuJA+Q0uWNUAAAAF&#10;AQAADwAAAGRycy9kb3ducmV2LnhtbE2PwU7DMBBE70j8g7VIXBB1GqAJIU4PSCC4QanK1Y23SYS9&#10;Drablr9n4QKXkUazmnlbL4/OiglDHDwpmM8yEEitNwN1CtZvD5cliJg0GW09oYIvjLBsTk9qXRl/&#10;oFecVqkTXEKx0gr6lMZKytj26HSc+RGJs50PTie2oZMm6AOXOyvzLFtIpwfihV6PeN9j+7HaOwXl&#10;9dP0Hp+vXjbtYmdv00UxPX4Gpc7P5tkdiITH9HcMP/iMDg0zbf2eTBRWAT+SfpWzsszZbhXcFEUO&#10;sqnlf/rmG1BLAwQUAAAACACHTuJAMZEgnBgCAABGBAAADgAAAGRycy9lMm9Eb2MueG1srVNLktMw&#10;EN1TxR1U2jP2GBKYVJypghA2FFA1cABFlm1V6YekxM4F4Aas2LDnXDkHT0om84FFFnght9St1/1e&#10;t+bXo1ZkK3yQ1tT08qKkRBhuG2m6mn75vHr2ipIQmWmYskbUdCcCvV48fTIf3ExUtreqEZ4AxITZ&#10;4Grax+hmRRF4LzQLF9YJA2drvWYRW98VjWcD0LUqqrKcFoP1jfOWixBwujw46RHRnwNo21ZysbR8&#10;o4WJB1QvFIugFHrpAl3kattW8PixbYOIRNUUTGNekQT2Oq3FYs5mnWeul/xYAjunhEecNJMGSU9Q&#10;SxYZ2Xj5F5SW3Ntg23jBrS4ORLIiYHFZPtLmpmdOZC6QOriT6OH/wfIP20+eyKamL64oMUyj4/sf&#10;3/c/f+9/fSNV0mdwYYawG4fAOL62I6bm9jzgMNEeW6/TH4QI/FB3d1JXjJFwHE6mZfmyhIvD93w6&#10;nVRV1r+4u+58iO+E1SQZNfVoX1aVbd+HiFIQehuSsgWrZLOSSuWN79ZvlCdbhlav8peqxJUHYcqQ&#10;oaZXk2qCQhjmt8XcwNQOGgTT5XwPboT7wGX+/gWcCluy0B8KyAgpjM20jMJnqxeseWsaEncOMhs8&#10;L5qK0aKhRAm8xmTlyMikOicS7JQBydSjQy+SFcf1CJhkrm2zQ98GTDjofd0wj5wb52XXQ+Dcx3wZ&#10;45W1Oj6FNL/39znF3fNf/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DS5Y1QAAAAUBAAAPAAAA&#10;AAAAAAEAIAAAACIAAABkcnMvZG93bnJldi54bWxQSwECFAAUAAAACACHTuJAMZEgnBgCAABGBAAA&#10;DgAAAAAAAAABACAAAAAkAQAAZHJzL2Uyb0RvYy54bWxQSwUGAAAAAAYABgBZAQAArgUAAAAA&#10;">
                <v:fill on="t" focussize="0,0"/>
                <v:stroke color="#000000" joinstyle="miter"/>
                <v:imagedata o:title=""/>
                <o:lock v:ext="edit" aspectratio="f"/>
                <v:textbo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专栏19</w:t>
                      </w:r>
                    </w:p>
                    <w:p>
                      <w:pPr>
                        <w:spacing w:after="0" w:line="300" w:lineRule="exact"/>
                        <w:jc w:val="center"/>
                        <w:rPr>
                          <w:rFonts w:hint="eastAsia" w:ascii="黑体" w:hAnsi="黑体" w:eastAsia="黑体"/>
                          <w:b/>
                          <w:sz w:val="21"/>
                          <w:szCs w:val="21"/>
                        </w:rPr>
                      </w:pPr>
                      <w:r>
                        <w:rPr>
                          <w:rFonts w:hint="eastAsia" w:ascii="黑体" w:hAnsi="黑体" w:eastAsia="黑体"/>
                          <w:b/>
                          <w:sz w:val="21"/>
                          <w:szCs w:val="21"/>
                        </w:rPr>
                        <w:t>其它生产性服务业发展重点</w:t>
                      </w:r>
                    </w:p>
                    <w:p>
                      <w:pPr>
                        <w:spacing w:after="0" w:line="260" w:lineRule="exact"/>
                        <w:ind w:firstLine="422" w:firstLineChars="200"/>
                        <w:jc w:val="both"/>
                        <w:rPr>
                          <w:rFonts w:ascii="楷体_GB2312" w:eastAsia="楷体_GB2312"/>
                          <w:sz w:val="21"/>
                          <w:szCs w:val="21"/>
                        </w:rPr>
                      </w:pPr>
                      <w:r>
                        <w:rPr>
                          <w:rFonts w:hint="eastAsia" w:ascii="楷体_GB2312" w:eastAsia="楷体_GB2312"/>
                          <w:b/>
                          <w:sz w:val="21"/>
                          <w:szCs w:val="21"/>
                        </w:rPr>
                        <w:t>金融业</w:t>
                      </w:r>
                      <w:r>
                        <w:rPr>
                          <w:rFonts w:ascii="楷体_GB2312" w:eastAsia="楷体_GB2312"/>
                          <w:b/>
                          <w:sz w:val="21"/>
                          <w:szCs w:val="21"/>
                        </w:rPr>
                        <w:t xml:space="preserve">: </w:t>
                      </w:r>
                      <w:r>
                        <w:rPr>
                          <w:rFonts w:hint="eastAsia" w:ascii="楷体_GB2312" w:eastAsia="楷体_GB2312"/>
                          <w:sz w:val="21"/>
                          <w:szCs w:val="21"/>
                        </w:rPr>
                        <w:t>以引进为主、引进与培育发展结合，发展银行、保险、证券、期货、租赁等各类金融机构，加大创新金融产品和业务，为重点项目、中小微企业、“三农”提供发展保障。支持企业上市挂牌，扩大利用资本市场融资，提高直接融资比例。“十三五”末，力争实现增加值</w:t>
                      </w:r>
                      <w:r>
                        <w:rPr>
                          <w:rFonts w:ascii="楷体_GB2312" w:eastAsia="楷体_GB2312"/>
                          <w:sz w:val="21"/>
                          <w:szCs w:val="21"/>
                        </w:rPr>
                        <w:t>100</w:t>
                      </w:r>
                      <w:r>
                        <w:rPr>
                          <w:rFonts w:hint="eastAsia" w:ascii="楷体_GB2312" w:eastAsia="楷体_GB2312"/>
                          <w:sz w:val="21"/>
                          <w:szCs w:val="21"/>
                        </w:rPr>
                        <w:t>亿元。</w:t>
                      </w:r>
                    </w:p>
                    <w:p>
                      <w:pPr>
                        <w:spacing w:after="0" w:line="300" w:lineRule="exact"/>
                        <w:ind w:firstLine="422" w:firstLineChars="200"/>
                        <w:jc w:val="both"/>
                        <w:rPr>
                          <w:rFonts w:ascii="楷体_GB2312" w:eastAsia="楷体_GB2312"/>
                          <w:sz w:val="21"/>
                        </w:rPr>
                      </w:pPr>
                      <w:r>
                        <w:rPr>
                          <w:rFonts w:hint="eastAsia" w:ascii="楷体_GB2312" w:eastAsia="楷体_GB2312"/>
                          <w:b/>
                          <w:sz w:val="21"/>
                          <w:szCs w:val="21"/>
                        </w:rPr>
                        <w:t>电子商务</w:t>
                      </w:r>
                      <w:r>
                        <w:rPr>
                          <w:rFonts w:ascii="楷体_GB2312" w:eastAsia="楷体_GB2312"/>
                          <w:b/>
                          <w:sz w:val="21"/>
                          <w:szCs w:val="21"/>
                        </w:rPr>
                        <w:t>:</w:t>
                      </w:r>
                      <w:r>
                        <w:rPr>
                          <w:rFonts w:hint="eastAsia" w:ascii="楷体_GB2312" w:eastAsia="楷体_GB2312"/>
                          <w:sz w:val="21"/>
                          <w:szCs w:val="21"/>
                        </w:rPr>
                        <w:t>遵循“市场导向、企业推进、政府监督”的发展原则，在银行、证券、外贸、出版物等适合电子商务发挥特长的领域中选择龙头企业率先推行电子商务试点，总结发展和管理经验，再向其他行业延伸。</w:t>
                      </w:r>
                      <w:r>
                        <w:rPr>
                          <w:rFonts w:ascii="楷体_GB2312" w:eastAsia="楷体_GB2312"/>
                          <w:sz w:val="21"/>
                          <w:szCs w:val="21"/>
                        </w:rPr>
                        <w:t>推动电子商务下乡进村入户，以城带乡，</w:t>
                      </w:r>
                      <w:r>
                        <w:rPr>
                          <w:rFonts w:hint="eastAsia" w:ascii="楷体_GB2312" w:eastAsia="楷体_GB2312"/>
                          <w:sz w:val="21"/>
                          <w:szCs w:val="21"/>
                        </w:rPr>
                        <w:t>带动农村电子商务发展。“十三五”末，力争实现增加值</w:t>
                      </w:r>
                      <w:r>
                        <w:rPr>
                          <w:rFonts w:ascii="楷体_GB2312" w:eastAsia="楷体_GB2312"/>
                          <w:sz w:val="21"/>
                          <w:szCs w:val="21"/>
                        </w:rPr>
                        <w:t>50</w:t>
                      </w:r>
                      <w:r>
                        <w:rPr>
                          <w:rFonts w:hint="eastAsia" w:ascii="楷体_GB2312" w:eastAsia="楷体_GB2312"/>
                          <w:sz w:val="21"/>
                          <w:szCs w:val="21"/>
                        </w:rPr>
                        <w:t>亿元。</w:t>
                      </w:r>
                    </w:p>
                    <w:p>
                      <w:pPr>
                        <w:spacing w:after="0" w:line="300" w:lineRule="exact"/>
                        <w:ind w:firstLine="422" w:firstLineChars="200"/>
                        <w:jc w:val="both"/>
                        <w:rPr>
                          <w:rFonts w:hint="eastAsia" w:ascii="楷体_GB2312" w:eastAsia="楷体_GB2312"/>
                          <w:b/>
                          <w:sz w:val="21"/>
                          <w:szCs w:val="21"/>
                        </w:rPr>
                      </w:pPr>
                      <w:r>
                        <w:rPr>
                          <w:rFonts w:hint="eastAsia" w:ascii="楷体_GB2312" w:eastAsia="楷体_GB2312"/>
                          <w:b/>
                          <w:sz w:val="21"/>
                          <w:szCs w:val="21"/>
                        </w:rPr>
                        <w:t>科技研发：</w:t>
                      </w:r>
                      <w:r>
                        <w:rPr>
                          <w:rFonts w:hint="eastAsia" w:ascii="楷体_GB2312" w:eastAsia="楷体_GB2312"/>
                          <w:sz w:val="21"/>
                          <w:szCs w:val="21"/>
                        </w:rPr>
                        <w:t>依托我市各级工程技术中心，建立产学研创新战略联盟，联合开展能源、化工、装备制造、新材料和食品等产业关键技术、共性技术的研究和攻关，形成一批拥有自主知识产权的核心技术，提升企业和优势产业的核心竞争力。</w:t>
                      </w:r>
                      <w:r>
                        <w:rPr>
                          <w:rFonts w:hint="eastAsia" w:ascii="楷体_GB2312" w:eastAsia="楷体_GB2312"/>
                          <w:sz w:val="21"/>
                        </w:rPr>
                        <w:t>“十三五”末，力争实现增加值</w:t>
                      </w:r>
                      <w:r>
                        <w:rPr>
                          <w:rFonts w:ascii="楷体_GB2312" w:eastAsia="楷体_GB2312"/>
                          <w:sz w:val="21"/>
                        </w:rPr>
                        <w:t>50</w:t>
                      </w:r>
                      <w:r>
                        <w:rPr>
                          <w:rFonts w:hint="eastAsia" w:ascii="楷体_GB2312" w:eastAsia="楷体_GB2312"/>
                          <w:sz w:val="21"/>
                        </w:rPr>
                        <w:t>亿元。</w:t>
                      </w:r>
                    </w:p>
                    <w:p>
                      <w:pPr>
                        <w:spacing w:after="0" w:line="300" w:lineRule="exact"/>
                        <w:ind w:firstLine="422" w:firstLineChars="200"/>
                        <w:jc w:val="both"/>
                        <w:rPr>
                          <w:rFonts w:ascii="楷体_GB2312" w:eastAsia="楷体_GB2312"/>
                          <w:sz w:val="21"/>
                          <w:szCs w:val="21"/>
                        </w:rPr>
                      </w:pPr>
                      <w:r>
                        <w:rPr>
                          <w:rFonts w:hint="eastAsia" w:ascii="楷体_GB2312" w:eastAsia="楷体_GB2312"/>
                          <w:b/>
                          <w:sz w:val="21"/>
                          <w:szCs w:val="21"/>
                        </w:rPr>
                        <w:t>工业设计：</w:t>
                      </w:r>
                      <w:r>
                        <w:rPr>
                          <w:rFonts w:hint="eastAsia" w:ascii="楷体_GB2312" w:eastAsia="楷体_GB2312"/>
                          <w:sz w:val="21"/>
                          <w:szCs w:val="21"/>
                        </w:rPr>
                        <w:t>以制造企业、设计公司为主体，以产业园区、基地为依托，以各类公共服务平台为支撑，以院校、研究培训机构为人才培养载体，建立和完善设计创新体系，加快设计成果产业化，提高工业设计的整体发展。</w:t>
                      </w:r>
                      <w:r>
                        <w:rPr>
                          <w:rFonts w:hint="eastAsia" w:ascii="楷体_GB2312" w:eastAsia="楷体_GB2312"/>
                          <w:sz w:val="21"/>
                        </w:rPr>
                        <w:t>“十三五”末，力争实现增加值</w:t>
                      </w:r>
                      <w:r>
                        <w:rPr>
                          <w:rFonts w:ascii="楷体_GB2312" w:eastAsia="楷体_GB2312"/>
                          <w:sz w:val="21"/>
                        </w:rPr>
                        <w:t>50</w:t>
                      </w:r>
                      <w:r>
                        <w:rPr>
                          <w:rFonts w:hint="eastAsia" w:ascii="楷体_GB2312" w:eastAsia="楷体_GB2312"/>
                          <w:sz w:val="21"/>
                        </w:rPr>
                        <w:t>亿元。</w:t>
                      </w:r>
                    </w:p>
                    <w:p>
                      <w:pPr>
                        <w:spacing w:after="0" w:line="300" w:lineRule="exact"/>
                        <w:ind w:firstLine="422" w:firstLineChars="200"/>
                        <w:jc w:val="both"/>
                        <w:rPr>
                          <w:rFonts w:hint="eastAsia"/>
                        </w:rPr>
                      </w:pPr>
                      <w:r>
                        <w:rPr>
                          <w:rFonts w:hint="eastAsia" w:ascii="楷体_GB2312" w:eastAsia="楷体_GB2312"/>
                          <w:b/>
                          <w:sz w:val="21"/>
                          <w:szCs w:val="21"/>
                        </w:rPr>
                        <w:t>信息服务</w:t>
                      </w:r>
                      <w:r>
                        <w:rPr>
                          <w:rFonts w:ascii="楷体_GB2312" w:eastAsia="楷体_GB2312"/>
                          <w:b/>
                          <w:sz w:val="21"/>
                          <w:szCs w:val="21"/>
                        </w:rPr>
                        <w:t xml:space="preserve">: </w:t>
                      </w:r>
                      <w:r>
                        <w:rPr>
                          <w:rFonts w:hint="eastAsia" w:ascii="楷体_GB2312" w:eastAsia="楷体_GB2312"/>
                          <w:sz w:val="21"/>
                          <w:szCs w:val="21"/>
                        </w:rPr>
                        <w:t>加快发展国民经济信息服务，务实开展农村信息服务，提高电子政务和社会事业信息服务水平，加强网络文化建设，提高网络文化产品和服务的供给能力，强化信息安全保障，维护社会稳定。</w:t>
                      </w:r>
                      <w:r>
                        <w:rPr>
                          <w:rFonts w:hint="eastAsia" w:ascii="楷体_GB2312" w:eastAsia="楷体_GB2312"/>
                          <w:sz w:val="21"/>
                        </w:rPr>
                        <w:t>“十三五”末，力争实现增加值</w:t>
                      </w:r>
                      <w:r>
                        <w:rPr>
                          <w:rFonts w:ascii="楷体_GB2312" w:eastAsia="楷体_GB2312"/>
                          <w:sz w:val="21"/>
                        </w:rPr>
                        <w:t>50</w:t>
                      </w:r>
                      <w:r>
                        <w:rPr>
                          <w:rFonts w:hint="eastAsia" w:ascii="楷体_GB2312" w:eastAsia="楷体_GB2312"/>
                          <w:sz w:val="21"/>
                        </w:rPr>
                        <w:t>亿元。</w:t>
                      </w:r>
                    </w:p>
                  </w:txbxContent>
                </v:textbox>
                <w10:wrap type="square"/>
              </v:shape>
            </w:pict>
          </mc:Fallback>
        </mc:AlternateContent>
      </w:r>
    </w:p>
    <w:p>
      <w:pPr>
        <w:spacing w:after="0" w:line="600" w:lineRule="exact"/>
        <w:jc w:val="center"/>
        <w:rPr>
          <w:rFonts w:hint="eastAsia" w:ascii="楷体_GB2312" w:eastAsia="楷体_GB2312"/>
          <w:b/>
          <w:sz w:val="32"/>
          <w:szCs w:val="32"/>
        </w:rPr>
      </w:pPr>
      <w:r>
        <w:rPr>
          <w:rFonts w:hint="eastAsia" w:ascii="楷体_GB2312" w:eastAsia="楷体_GB2312"/>
          <w:b/>
          <w:sz w:val="32"/>
          <w:szCs w:val="32"/>
        </w:rPr>
        <w:t>第三节  加快提升生活性服务业</w:t>
      </w:r>
    </w:p>
    <w:p>
      <w:pPr>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围绕人民群众对生活性服务的普遍关注和迫切期待，着力解决供给、需求、质量方面存在的突出矛盾和问题，推动生活性服务业便利化、精细化、品质化发展。坚持消费需求引领，充分发挥市场配置资源的决定性作用，更好发挥政府规划、政策引导和市场监管的作用，挖掘消费潜力，增添市场活力。深度挖掘名胜古迹文化内涵，做好旅游配套设施建设，提升我市文化旅游整体水平；大力支持社会办医，积极发展健康保险业等多样化服务，加快健康服务业与相关产业相融合；打造特色美食品牌，着力推进商圈经济提档升级，推动组建宝鸡互联网商业联盟，扩大和完善商品配送网络；以现代建筑和传统文化有机融合为突破，提升房地产项目品位和档次，提高城市总体宜居水平。</w:t>
      </w:r>
    </w:p>
    <w:p>
      <w:pPr>
        <w:spacing w:after="0" w:line="600" w:lineRule="exact"/>
        <w:ind w:firstLine="440" w:firstLineChars="200"/>
        <w:rPr>
          <w:rFonts w:hint="eastAsia" w:ascii="楷体_GB2312" w:eastAsia="楷体_GB2312"/>
          <w:b/>
          <w:sz w:val="32"/>
          <w:szCs w:val="32"/>
        </w:rPr>
      </w:pPr>
      <w:r>
        <w:rPr>
          <w:lang/>
        </w:rPr>
        <mc:AlternateContent>
          <mc:Choice Requires="wps">
            <w:drawing>
              <wp:anchor distT="45720" distB="45720" distL="114300" distR="114300" simplePos="0" relativeHeight="251710464" behindDoc="0" locked="0" layoutInCell="1" allowOverlap="1">
                <wp:simplePos x="0" y="0"/>
                <wp:positionH relativeFrom="margin">
                  <wp:posOffset>6985</wp:posOffset>
                </wp:positionH>
                <wp:positionV relativeFrom="margin">
                  <wp:posOffset>845820</wp:posOffset>
                </wp:positionV>
                <wp:extent cx="5527040" cy="3488690"/>
                <wp:effectExtent l="4445" t="4445" r="12065" b="12065"/>
                <wp:wrapSquare wrapText="bothSides"/>
                <wp:docPr id="51" name="文本框 2"/>
                <wp:cNvGraphicFramePr/>
                <a:graphic xmlns:a="http://schemas.openxmlformats.org/drawingml/2006/main">
                  <a:graphicData uri="http://schemas.microsoft.com/office/word/2010/wordprocessingShape">
                    <wps:wsp>
                      <wps:cNvSpPr txBox="1"/>
                      <wps:spPr>
                        <a:xfrm>
                          <a:off x="0" y="0"/>
                          <a:ext cx="5527040" cy="34886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专栏20</w:t>
                            </w:r>
                          </w:p>
                          <w:p>
                            <w:pPr>
                              <w:spacing w:after="0" w:line="300" w:lineRule="exact"/>
                              <w:jc w:val="center"/>
                              <w:rPr>
                                <w:rFonts w:hint="eastAsia" w:ascii="楷体_GB2312" w:eastAsia="楷体_GB2312"/>
                                <w:b/>
                                <w:sz w:val="21"/>
                                <w:szCs w:val="21"/>
                              </w:rPr>
                            </w:pPr>
                            <w:r>
                              <w:rPr>
                                <w:rFonts w:hint="eastAsia" w:ascii="黑体" w:hAnsi="黑体" w:eastAsia="黑体"/>
                                <w:b/>
                                <w:sz w:val="21"/>
                                <w:szCs w:val="21"/>
                              </w:rPr>
                              <w:t>生活性服务业发展重点</w:t>
                            </w:r>
                          </w:p>
                          <w:p>
                            <w:pPr>
                              <w:spacing w:after="0" w:line="300" w:lineRule="exact"/>
                              <w:ind w:firstLine="422" w:firstLineChars="200"/>
                              <w:jc w:val="both"/>
                              <w:rPr>
                                <w:rFonts w:ascii="楷体_GB2312" w:eastAsia="楷体_GB2312"/>
                                <w:sz w:val="21"/>
                                <w:szCs w:val="21"/>
                              </w:rPr>
                            </w:pPr>
                            <w:r>
                              <w:rPr>
                                <w:rFonts w:hint="eastAsia" w:ascii="楷体_GB2312" w:eastAsia="楷体_GB2312"/>
                                <w:b/>
                                <w:sz w:val="21"/>
                                <w:szCs w:val="21"/>
                              </w:rPr>
                              <w:t>文化旅游</w:t>
                            </w:r>
                            <w:r>
                              <w:rPr>
                                <w:rFonts w:ascii="楷体_GB2312" w:eastAsia="楷体_GB2312"/>
                                <w:b/>
                                <w:sz w:val="21"/>
                                <w:szCs w:val="21"/>
                              </w:rPr>
                              <w:t>:</w:t>
                            </w:r>
                            <w:r>
                              <w:rPr>
                                <w:rFonts w:ascii="楷体_GB2312" w:eastAsia="楷体_GB2312"/>
                                <w:sz w:val="21"/>
                                <w:szCs w:val="21"/>
                              </w:rPr>
                              <w:t xml:space="preserve"> </w:t>
                            </w:r>
                            <w:r>
                              <w:rPr>
                                <w:rFonts w:hint="eastAsia" w:ascii="楷体_GB2312" w:eastAsia="楷体_GB2312"/>
                                <w:sz w:val="21"/>
                                <w:szCs w:val="21"/>
                              </w:rPr>
                              <w:t>抓住“中华源文化（周秦文化）”和世界佛文化”这两条主线，深度挖掘旅游景区的文化内涵，开发具有吸引力和旅游价值的线路和项目，完善旅游集散地和旅游协作区的服务功能，延长和提升宝鸡文化旅游的产品链和价值链。“十三五”末，实现旅游综合收入7</w:t>
                            </w:r>
                            <w:r>
                              <w:rPr>
                                <w:rFonts w:ascii="楷体_GB2312" w:eastAsia="楷体_GB2312"/>
                                <w:sz w:val="21"/>
                                <w:szCs w:val="21"/>
                              </w:rPr>
                              <w:t>00</w:t>
                            </w:r>
                            <w:r>
                              <w:rPr>
                                <w:rFonts w:hint="eastAsia" w:ascii="楷体_GB2312" w:eastAsia="楷体_GB2312"/>
                                <w:sz w:val="21"/>
                                <w:szCs w:val="21"/>
                              </w:rPr>
                              <w:t>亿元。</w:t>
                            </w:r>
                          </w:p>
                          <w:p>
                            <w:pPr>
                              <w:spacing w:after="0" w:line="300" w:lineRule="exact"/>
                              <w:ind w:firstLine="422" w:firstLineChars="200"/>
                              <w:jc w:val="both"/>
                              <w:rPr>
                                <w:rFonts w:ascii="楷体_GB2312" w:eastAsia="楷体_GB2312"/>
                                <w:sz w:val="21"/>
                              </w:rPr>
                            </w:pPr>
                            <w:r>
                              <w:rPr>
                                <w:rFonts w:hint="eastAsia" w:ascii="楷体_GB2312" w:eastAsia="楷体_GB2312"/>
                                <w:b/>
                                <w:sz w:val="21"/>
                                <w:szCs w:val="21"/>
                              </w:rPr>
                              <w:t>民生服务（包括健康养老、教育卫生等）</w:t>
                            </w:r>
                            <w:r>
                              <w:rPr>
                                <w:rFonts w:ascii="楷体_GB2312" w:eastAsia="楷体_GB2312"/>
                                <w:sz w:val="21"/>
                                <w:szCs w:val="21"/>
                              </w:rPr>
                              <w:t xml:space="preserve">: </w:t>
                            </w:r>
                            <w:r>
                              <w:rPr>
                                <w:rFonts w:hint="eastAsia" w:ascii="楷体_GB2312" w:eastAsia="楷体_GB2312"/>
                                <w:sz w:val="21"/>
                                <w:szCs w:val="21"/>
                              </w:rPr>
                              <w:t>鼓励企业、机构、基金会等以出资新建、参与改造、托管等多种形式投资健康服务业。推动健康咨询、营养辅导、母婴照料、健康旅游、健康保险，培育健康产业链。大力发展居家养老和社区养老服务等养老服务业。</w:t>
                            </w:r>
                            <w:r>
                              <w:rPr>
                                <w:rFonts w:hint="eastAsia" w:ascii="楷体_GB2312" w:eastAsia="楷体_GB2312"/>
                                <w:sz w:val="21"/>
                              </w:rPr>
                              <w:t>“十三五”末，力争实现增加值</w:t>
                            </w:r>
                            <w:r>
                              <w:rPr>
                                <w:rFonts w:ascii="楷体_GB2312" w:eastAsia="楷体_GB2312"/>
                                <w:sz w:val="21"/>
                              </w:rPr>
                              <w:t>100</w:t>
                            </w:r>
                            <w:r>
                              <w:rPr>
                                <w:rFonts w:hint="eastAsia" w:ascii="楷体_GB2312" w:eastAsia="楷体_GB2312"/>
                                <w:sz w:val="21"/>
                              </w:rPr>
                              <w:t>亿元。</w:t>
                            </w:r>
                          </w:p>
                          <w:p>
                            <w:pPr>
                              <w:spacing w:after="0" w:line="300" w:lineRule="exact"/>
                              <w:ind w:firstLine="422" w:firstLineChars="200"/>
                              <w:jc w:val="both"/>
                              <w:rPr>
                                <w:rFonts w:ascii="楷体_GB2312" w:eastAsia="楷体_GB2312"/>
                                <w:sz w:val="21"/>
                              </w:rPr>
                            </w:pPr>
                            <w:r>
                              <w:rPr>
                                <w:rFonts w:hint="eastAsia" w:ascii="楷体_GB2312" w:eastAsia="楷体_GB2312"/>
                                <w:b/>
                                <w:sz w:val="21"/>
                                <w:szCs w:val="21"/>
                              </w:rPr>
                              <w:t>商贸流通</w:t>
                            </w:r>
                            <w:r>
                              <w:rPr>
                                <w:rFonts w:ascii="楷体_GB2312" w:eastAsia="楷体_GB2312"/>
                                <w:b/>
                                <w:sz w:val="21"/>
                                <w:szCs w:val="21"/>
                              </w:rPr>
                              <w:t>:</w:t>
                            </w:r>
                            <w:r>
                              <w:rPr>
                                <w:rFonts w:ascii="楷体_GB2312" w:eastAsia="楷体_GB2312"/>
                                <w:sz w:val="21"/>
                                <w:szCs w:val="21"/>
                              </w:rPr>
                              <w:t xml:space="preserve"> </w:t>
                            </w:r>
                            <w:r>
                              <w:rPr>
                                <w:rFonts w:hint="eastAsia" w:ascii="楷体_GB2312" w:eastAsia="楷体_GB2312"/>
                                <w:sz w:val="21"/>
                                <w:szCs w:val="21"/>
                              </w:rPr>
                              <w:t>推动组建宝鸡互联网商业联盟，扩大和完善商品配送网络，进一步向社区和镇村延伸。加大传统商贸流通企业售后服务的覆盖面和响应效率，逐步向电商体验店和实体展示店方向过渡。</w:t>
                            </w:r>
                            <w:r>
                              <w:rPr>
                                <w:rFonts w:hint="eastAsia" w:ascii="楷体_GB2312" w:eastAsia="楷体_GB2312"/>
                                <w:sz w:val="21"/>
                              </w:rPr>
                              <w:t>“十三五”末，力争实现增加值</w:t>
                            </w:r>
                            <w:r>
                              <w:rPr>
                                <w:rFonts w:ascii="楷体_GB2312" w:eastAsia="楷体_GB2312"/>
                                <w:sz w:val="21"/>
                              </w:rPr>
                              <w:t>300</w:t>
                            </w:r>
                            <w:r>
                              <w:rPr>
                                <w:rFonts w:hint="eastAsia" w:ascii="楷体_GB2312" w:eastAsia="楷体_GB2312"/>
                                <w:sz w:val="21"/>
                              </w:rPr>
                              <w:t>亿元。</w:t>
                            </w:r>
                          </w:p>
                          <w:p>
                            <w:pPr>
                              <w:spacing w:after="0" w:line="300" w:lineRule="exact"/>
                              <w:ind w:firstLine="422" w:firstLineChars="200"/>
                              <w:jc w:val="both"/>
                            </w:pPr>
                            <w:r>
                              <w:rPr>
                                <w:rFonts w:hint="eastAsia" w:ascii="楷体_GB2312" w:eastAsia="楷体_GB2312"/>
                                <w:b/>
                                <w:sz w:val="21"/>
                                <w:szCs w:val="21"/>
                              </w:rPr>
                              <w:t>房地产业</w:t>
                            </w:r>
                            <w:r>
                              <w:rPr>
                                <w:rFonts w:ascii="楷体_GB2312" w:eastAsia="楷体_GB2312"/>
                                <w:b/>
                                <w:sz w:val="21"/>
                                <w:szCs w:val="21"/>
                              </w:rPr>
                              <w:t>:</w:t>
                            </w:r>
                            <w:r>
                              <w:rPr>
                                <w:rFonts w:ascii="楷体_GB2312" w:eastAsia="楷体_GB2312"/>
                                <w:sz w:val="21"/>
                                <w:szCs w:val="21"/>
                              </w:rPr>
                              <w:t xml:space="preserve"> </w:t>
                            </w:r>
                            <w:r>
                              <w:rPr>
                                <w:rFonts w:hint="eastAsia" w:ascii="楷体_GB2312" w:eastAsia="楷体_GB2312"/>
                                <w:sz w:val="21"/>
                                <w:szCs w:val="21"/>
                              </w:rPr>
                              <w:t>根据宝鸡市“东扩、南移、北上”的城市建设格局，本着科学规划、有序开发的原则，以现代建筑承载民族传统风格，在市区主干道沿街、河流两岸和重要景观节点重点规划房地产建设项目，在保障性用房充足供应的前提下，适度发展商品房，提升房地产项目的品位和档次，彰显文化特色，凸显城市个性。</w:t>
                            </w:r>
                            <w:r>
                              <w:rPr>
                                <w:rFonts w:hint="eastAsia" w:ascii="楷体_GB2312" w:eastAsia="楷体_GB2312"/>
                                <w:sz w:val="21"/>
                              </w:rPr>
                              <w:t>“十三五”末，力争实现增加值</w:t>
                            </w:r>
                            <w:r>
                              <w:rPr>
                                <w:rFonts w:ascii="楷体_GB2312" w:eastAsia="楷体_GB2312"/>
                                <w:sz w:val="21"/>
                              </w:rPr>
                              <w:t>50</w:t>
                            </w:r>
                            <w:r>
                              <w:rPr>
                                <w:rFonts w:hint="eastAsia" w:ascii="楷体_GB2312" w:eastAsia="楷体_GB2312"/>
                                <w:sz w:val="21"/>
                              </w:rPr>
                              <w:t>亿元。</w:t>
                            </w:r>
                          </w:p>
                        </w:txbxContent>
                      </wps:txbx>
                      <wps:bodyPr wrap="square" upright="1"/>
                    </wps:wsp>
                  </a:graphicData>
                </a:graphic>
              </wp:anchor>
            </w:drawing>
          </mc:Choice>
          <mc:Fallback>
            <w:pict>
              <v:shape id="文本框 2" o:spid="_x0000_s1026" o:spt="202" type="#_x0000_t202" style="position:absolute;left:0pt;margin-left:0.55pt;margin-top:66.6pt;height:274.7pt;width:435.2pt;mso-position-horizontal-relative:margin;mso-position-vertical-relative:margin;mso-wrap-distance-bottom:3.6pt;mso-wrap-distance-left:9pt;mso-wrap-distance-right:9pt;mso-wrap-distance-top:3.6pt;z-index:251710464;mso-width-relative:margin;mso-height-relative:margin;" fillcolor="#FFFFFF" filled="t" stroked="t" coordsize="21600,21600" o:gfxdata="UEsDBAoAAAAAAIdO4kAAAAAAAAAAAAAAAAAEAAAAZHJzL1BLAwQUAAAACACHTuJAFvQF4tgAAAAJ&#10;AQAADwAAAGRycy9kb3ducmV2LnhtbE2PzU7DMBCE70i8g7VIXBB1fiANIU4PSCC4QUHt1U22SYS9&#10;DrablrdnOcFpNZrR7Df16mSNmNGH0ZGCdJGAQGpdN1Kv4OP98boEEaKmThtHqOAbA6ya87NaV507&#10;0hvO69gLLqFQaQVDjFMlZWgHtDos3ITE3t55qyNL38vO6yOXWyOzJCmk1SPxh0FP+DBg+7k+WAXl&#10;zfO8DS/566Yt9uYuXi3npy+v1OVFmtyDiHiKf2H4xWd0aJhp5w7UBWFYpxzkk+cZCPbLZXoLYqeg&#10;KLMCZFPL/wuaH1BLAwQUAAAACACHTuJA+FZ35RkCAABGBAAADgAAAGRycy9lMm9Eb2MueG1srVNL&#10;jhMxEN0jcQfLe9KdMBky0XRGghA2CJAGDuC43d2W/MN20p0LwA1YsWHPuXIOnp1M5gOLLOiFu+wq&#10;v6r3qnx9M2hFtsIHaU1Fx6OSEmG4raVpK/rl8+rFjJIQmamZskZUdCcCvVk8f3bdu7mY2M6qWngC&#10;EBPmvatoF6ObF0XgndAsjKwTBs7Ges0itr4tas96oGtVTMrysuitr523XISA0+XBSY+I/hxA2zSS&#10;i6XlGy1MPKB6oVgEpdBJF+giV9s0gsePTRNEJKqiYBrziiSw12ktFtds3nrmOsmPJbBzSnjCSTNp&#10;kPQEtWSRkY2Xf0Fpyb0NtokjbnVxIJIVAYtx+USb2445kblA6uBOoof/B8s/bD95IuuKTseUGKbR&#10;8f2P7/ufv/e/vpFJ0qd3YY6wW4fAOLy2A6bm7jzgMNEeGq/TH4QI/FB3d1JXDJFwHE6nk1flBVwc&#10;vpcXs9nlVda/uL/ufIjvhNUkGRX1aF9WlW3fh4hSEHoXkrIFq2S9kkrljW/Xb5QnW4ZWr/KXqsSV&#10;R2HKkL6iV9PJFIUwzG+DuYGpHTQIps35Ht0ID4HL/P0LOBW2ZKE7FJARUhibaxmFz1YnWP3W1CTu&#10;HGQ2eF40FaNFTYkSeI3JypGRSXVOJNgpA5KpR4deJCsO6wEwyVzbeoe+9Zhw0Pu6YR45N87LtoPA&#10;uY/5MsYra3V8Cml+H+5zivvnv/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vQF4tgAAAAJAQAA&#10;DwAAAAAAAAABACAAAAAiAAAAZHJzL2Rvd25yZXYueG1sUEsBAhQAFAAAAAgAh07iQPhWd+UZAgAA&#10;RgQAAA4AAAAAAAAAAQAgAAAAJwEAAGRycy9lMm9Eb2MueG1sUEsFBgAAAAAGAAYAWQEAALIFAAAA&#10;AA==&#10;">
                <v:fill on="t" focussize="0,0"/>
                <v:stroke color="#000000" joinstyle="miter"/>
                <v:imagedata o:title=""/>
                <o:lock v:ext="edit" aspectratio="f"/>
                <v:textbo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专栏20</w:t>
                      </w:r>
                    </w:p>
                    <w:p>
                      <w:pPr>
                        <w:spacing w:after="0" w:line="300" w:lineRule="exact"/>
                        <w:jc w:val="center"/>
                        <w:rPr>
                          <w:rFonts w:hint="eastAsia" w:ascii="楷体_GB2312" w:eastAsia="楷体_GB2312"/>
                          <w:b/>
                          <w:sz w:val="21"/>
                          <w:szCs w:val="21"/>
                        </w:rPr>
                      </w:pPr>
                      <w:r>
                        <w:rPr>
                          <w:rFonts w:hint="eastAsia" w:ascii="黑体" w:hAnsi="黑体" w:eastAsia="黑体"/>
                          <w:b/>
                          <w:sz w:val="21"/>
                          <w:szCs w:val="21"/>
                        </w:rPr>
                        <w:t>生活性服务业发展重点</w:t>
                      </w:r>
                    </w:p>
                    <w:p>
                      <w:pPr>
                        <w:spacing w:after="0" w:line="300" w:lineRule="exact"/>
                        <w:ind w:firstLine="422" w:firstLineChars="200"/>
                        <w:jc w:val="both"/>
                        <w:rPr>
                          <w:rFonts w:ascii="楷体_GB2312" w:eastAsia="楷体_GB2312"/>
                          <w:sz w:val="21"/>
                          <w:szCs w:val="21"/>
                        </w:rPr>
                      </w:pPr>
                      <w:r>
                        <w:rPr>
                          <w:rFonts w:hint="eastAsia" w:ascii="楷体_GB2312" w:eastAsia="楷体_GB2312"/>
                          <w:b/>
                          <w:sz w:val="21"/>
                          <w:szCs w:val="21"/>
                        </w:rPr>
                        <w:t>文化旅游</w:t>
                      </w:r>
                      <w:r>
                        <w:rPr>
                          <w:rFonts w:ascii="楷体_GB2312" w:eastAsia="楷体_GB2312"/>
                          <w:b/>
                          <w:sz w:val="21"/>
                          <w:szCs w:val="21"/>
                        </w:rPr>
                        <w:t>:</w:t>
                      </w:r>
                      <w:r>
                        <w:rPr>
                          <w:rFonts w:ascii="楷体_GB2312" w:eastAsia="楷体_GB2312"/>
                          <w:sz w:val="21"/>
                          <w:szCs w:val="21"/>
                        </w:rPr>
                        <w:t xml:space="preserve"> </w:t>
                      </w:r>
                      <w:r>
                        <w:rPr>
                          <w:rFonts w:hint="eastAsia" w:ascii="楷体_GB2312" w:eastAsia="楷体_GB2312"/>
                          <w:sz w:val="21"/>
                          <w:szCs w:val="21"/>
                        </w:rPr>
                        <w:t>抓住“中华源文化（周秦文化）”和世界佛文化”这两条主线，深度挖掘旅游景区的文化内涵，开发具有吸引力和旅游价值的线路和项目，完善旅游集散地和旅游协作区的服务功能，延长和提升宝鸡文化旅游的产品链和价值链。“十三五”末，实现旅游综合收入7</w:t>
                      </w:r>
                      <w:r>
                        <w:rPr>
                          <w:rFonts w:ascii="楷体_GB2312" w:eastAsia="楷体_GB2312"/>
                          <w:sz w:val="21"/>
                          <w:szCs w:val="21"/>
                        </w:rPr>
                        <w:t>00</w:t>
                      </w:r>
                      <w:r>
                        <w:rPr>
                          <w:rFonts w:hint="eastAsia" w:ascii="楷体_GB2312" w:eastAsia="楷体_GB2312"/>
                          <w:sz w:val="21"/>
                          <w:szCs w:val="21"/>
                        </w:rPr>
                        <w:t>亿元。</w:t>
                      </w:r>
                    </w:p>
                    <w:p>
                      <w:pPr>
                        <w:spacing w:after="0" w:line="300" w:lineRule="exact"/>
                        <w:ind w:firstLine="422" w:firstLineChars="200"/>
                        <w:jc w:val="both"/>
                        <w:rPr>
                          <w:rFonts w:ascii="楷体_GB2312" w:eastAsia="楷体_GB2312"/>
                          <w:sz w:val="21"/>
                        </w:rPr>
                      </w:pPr>
                      <w:r>
                        <w:rPr>
                          <w:rFonts w:hint="eastAsia" w:ascii="楷体_GB2312" w:eastAsia="楷体_GB2312"/>
                          <w:b/>
                          <w:sz w:val="21"/>
                          <w:szCs w:val="21"/>
                        </w:rPr>
                        <w:t>民生服务（包括健康养老、教育卫生等）</w:t>
                      </w:r>
                      <w:r>
                        <w:rPr>
                          <w:rFonts w:ascii="楷体_GB2312" w:eastAsia="楷体_GB2312"/>
                          <w:sz w:val="21"/>
                          <w:szCs w:val="21"/>
                        </w:rPr>
                        <w:t xml:space="preserve">: </w:t>
                      </w:r>
                      <w:r>
                        <w:rPr>
                          <w:rFonts w:hint="eastAsia" w:ascii="楷体_GB2312" w:eastAsia="楷体_GB2312"/>
                          <w:sz w:val="21"/>
                          <w:szCs w:val="21"/>
                        </w:rPr>
                        <w:t>鼓励企业、机构、基金会等以出资新建、参与改造、托管等多种形式投资健康服务业。推动健康咨询、营养辅导、母婴照料、健康旅游、健康保险，培育健康产业链。大力发展居家养老和社区养老服务等养老服务业。</w:t>
                      </w:r>
                      <w:r>
                        <w:rPr>
                          <w:rFonts w:hint="eastAsia" w:ascii="楷体_GB2312" w:eastAsia="楷体_GB2312"/>
                          <w:sz w:val="21"/>
                        </w:rPr>
                        <w:t>“十三五”末，力争实现增加值</w:t>
                      </w:r>
                      <w:r>
                        <w:rPr>
                          <w:rFonts w:ascii="楷体_GB2312" w:eastAsia="楷体_GB2312"/>
                          <w:sz w:val="21"/>
                        </w:rPr>
                        <w:t>100</w:t>
                      </w:r>
                      <w:r>
                        <w:rPr>
                          <w:rFonts w:hint="eastAsia" w:ascii="楷体_GB2312" w:eastAsia="楷体_GB2312"/>
                          <w:sz w:val="21"/>
                        </w:rPr>
                        <w:t>亿元。</w:t>
                      </w:r>
                    </w:p>
                    <w:p>
                      <w:pPr>
                        <w:spacing w:after="0" w:line="300" w:lineRule="exact"/>
                        <w:ind w:firstLine="422" w:firstLineChars="200"/>
                        <w:jc w:val="both"/>
                        <w:rPr>
                          <w:rFonts w:ascii="楷体_GB2312" w:eastAsia="楷体_GB2312"/>
                          <w:sz w:val="21"/>
                        </w:rPr>
                      </w:pPr>
                      <w:r>
                        <w:rPr>
                          <w:rFonts w:hint="eastAsia" w:ascii="楷体_GB2312" w:eastAsia="楷体_GB2312"/>
                          <w:b/>
                          <w:sz w:val="21"/>
                          <w:szCs w:val="21"/>
                        </w:rPr>
                        <w:t>商贸流通</w:t>
                      </w:r>
                      <w:r>
                        <w:rPr>
                          <w:rFonts w:ascii="楷体_GB2312" w:eastAsia="楷体_GB2312"/>
                          <w:b/>
                          <w:sz w:val="21"/>
                          <w:szCs w:val="21"/>
                        </w:rPr>
                        <w:t>:</w:t>
                      </w:r>
                      <w:r>
                        <w:rPr>
                          <w:rFonts w:ascii="楷体_GB2312" w:eastAsia="楷体_GB2312"/>
                          <w:sz w:val="21"/>
                          <w:szCs w:val="21"/>
                        </w:rPr>
                        <w:t xml:space="preserve"> </w:t>
                      </w:r>
                      <w:r>
                        <w:rPr>
                          <w:rFonts w:hint="eastAsia" w:ascii="楷体_GB2312" w:eastAsia="楷体_GB2312"/>
                          <w:sz w:val="21"/>
                          <w:szCs w:val="21"/>
                        </w:rPr>
                        <w:t>推动组建宝鸡互联网商业联盟，扩大和完善商品配送网络，进一步向社区和镇村延伸。加大传统商贸流通企业售后服务的覆盖面和响应效率，逐步向电商体验店和实体展示店方向过渡。</w:t>
                      </w:r>
                      <w:r>
                        <w:rPr>
                          <w:rFonts w:hint="eastAsia" w:ascii="楷体_GB2312" w:eastAsia="楷体_GB2312"/>
                          <w:sz w:val="21"/>
                        </w:rPr>
                        <w:t>“十三五”末，力争实现增加值</w:t>
                      </w:r>
                      <w:r>
                        <w:rPr>
                          <w:rFonts w:ascii="楷体_GB2312" w:eastAsia="楷体_GB2312"/>
                          <w:sz w:val="21"/>
                        </w:rPr>
                        <w:t>300</w:t>
                      </w:r>
                      <w:r>
                        <w:rPr>
                          <w:rFonts w:hint="eastAsia" w:ascii="楷体_GB2312" w:eastAsia="楷体_GB2312"/>
                          <w:sz w:val="21"/>
                        </w:rPr>
                        <w:t>亿元。</w:t>
                      </w:r>
                    </w:p>
                    <w:p>
                      <w:pPr>
                        <w:spacing w:after="0" w:line="300" w:lineRule="exact"/>
                        <w:ind w:firstLine="422" w:firstLineChars="200"/>
                        <w:jc w:val="both"/>
                      </w:pPr>
                      <w:r>
                        <w:rPr>
                          <w:rFonts w:hint="eastAsia" w:ascii="楷体_GB2312" w:eastAsia="楷体_GB2312"/>
                          <w:b/>
                          <w:sz w:val="21"/>
                          <w:szCs w:val="21"/>
                        </w:rPr>
                        <w:t>房地产业</w:t>
                      </w:r>
                      <w:r>
                        <w:rPr>
                          <w:rFonts w:ascii="楷体_GB2312" w:eastAsia="楷体_GB2312"/>
                          <w:b/>
                          <w:sz w:val="21"/>
                          <w:szCs w:val="21"/>
                        </w:rPr>
                        <w:t>:</w:t>
                      </w:r>
                      <w:r>
                        <w:rPr>
                          <w:rFonts w:ascii="楷体_GB2312" w:eastAsia="楷体_GB2312"/>
                          <w:sz w:val="21"/>
                          <w:szCs w:val="21"/>
                        </w:rPr>
                        <w:t xml:space="preserve"> </w:t>
                      </w:r>
                      <w:r>
                        <w:rPr>
                          <w:rFonts w:hint="eastAsia" w:ascii="楷体_GB2312" w:eastAsia="楷体_GB2312"/>
                          <w:sz w:val="21"/>
                          <w:szCs w:val="21"/>
                        </w:rPr>
                        <w:t>根据宝鸡市“东扩、南移、北上”的城市建设格局，本着科学规划、有序开发的原则，以现代建筑承载民族传统风格，在市区主干道沿街、河流两岸和重要景观节点重点规划房地产建设项目，在保障性用房充足供应的前提下，适度发展商品房，提升房地产项目的品位和档次，彰显文化特色，凸显城市个性。</w:t>
                      </w:r>
                      <w:r>
                        <w:rPr>
                          <w:rFonts w:hint="eastAsia" w:ascii="楷体_GB2312" w:eastAsia="楷体_GB2312"/>
                          <w:sz w:val="21"/>
                        </w:rPr>
                        <w:t>“十三五”末，力争实现增加值</w:t>
                      </w:r>
                      <w:r>
                        <w:rPr>
                          <w:rFonts w:ascii="楷体_GB2312" w:eastAsia="楷体_GB2312"/>
                          <w:sz w:val="21"/>
                        </w:rPr>
                        <w:t>50</w:t>
                      </w:r>
                      <w:r>
                        <w:rPr>
                          <w:rFonts w:hint="eastAsia" w:ascii="楷体_GB2312" w:eastAsia="楷体_GB2312"/>
                          <w:sz w:val="21"/>
                        </w:rPr>
                        <w:t>亿元。</w:t>
                      </w:r>
                    </w:p>
                  </w:txbxContent>
                </v:textbox>
                <w10:wrap type="square"/>
              </v:shape>
            </w:pict>
          </mc:Fallback>
        </mc:AlternateContent>
      </w:r>
    </w:p>
    <w:p>
      <w:pPr>
        <w:widowControl w:val="0"/>
        <w:spacing w:after="0" w:line="620" w:lineRule="exact"/>
        <w:jc w:val="center"/>
        <w:rPr>
          <w:rFonts w:hint="eastAsia" w:ascii="楷体_GB2312" w:eastAsia="楷体_GB2312"/>
          <w:b/>
          <w:sz w:val="32"/>
          <w:szCs w:val="32"/>
        </w:rPr>
      </w:pPr>
      <w:r>
        <w:rPr>
          <w:rFonts w:hint="eastAsia" w:ascii="楷体_GB2312" w:eastAsia="楷体_GB2312"/>
          <w:b/>
          <w:sz w:val="32"/>
          <w:szCs w:val="32"/>
        </w:rPr>
        <w:t>第四节  积极推动夜间经济繁荣发展</w:t>
      </w:r>
    </w:p>
    <w:p>
      <w:pPr>
        <w:widowControl w:val="0"/>
        <w:pBdr>
          <w:bottom w:val="single" w:color="FFFFFF" w:sz="4" w:space="31"/>
        </w:pBdr>
        <w:topLinePunct/>
        <w:spacing w:after="0" w:line="620" w:lineRule="exact"/>
        <w:ind w:firstLine="640" w:firstLineChars="200"/>
        <w:jc w:val="both"/>
        <w:rPr>
          <w:rFonts w:hint="eastAsia" w:ascii="仿宋_GB2312" w:eastAsia="仿宋_GB2312"/>
          <w:sz w:val="32"/>
          <w:szCs w:val="32"/>
        </w:rPr>
      </w:pPr>
      <w:r>
        <w:rPr>
          <w:rFonts w:hint="eastAsia" w:ascii="仿宋_GB2312" w:eastAsia="仿宋_GB2312"/>
          <w:sz w:val="32"/>
          <w:szCs w:val="32"/>
        </w:rPr>
        <w:t>充分发挥政府组织协调、规划指导及政策扶持作用，发挥市场在资源配置中的决定性作用，营造良好发展环境，围绕吃、购、娱等消费要素，以发展夜间市场、促进夜间购物、培育夜间旅游、繁荣夜间文化为突破口，科学规划建设夜间经济特色街区，着力推进特色名吃城街村、特色烧烤、高端购物中心、夜间游玩中心、特色酒吧街、都市景观长廊、高雅艺术中心、高品位综合节目等夜间经济示范点建设。全力打造独具特色、健康时尚、多元发展的夜间消费业态，推动夜间经济由小到大、形成特色、创出品牌，到2020年，使我市夜间消费环境明显改善，消费水平全面提升，群众文化生活更加丰富，使夜间经济真正成为拉动我市消费的重要支撑。</w:t>
      </w:r>
    </w:p>
    <w:p>
      <w:pPr>
        <w:widowControl w:val="0"/>
        <w:pBdr>
          <w:bottom w:val="single" w:color="FFFFFF" w:sz="4" w:space="31"/>
        </w:pBdr>
        <w:topLinePunct/>
        <w:spacing w:after="0" w:line="620" w:lineRule="exact"/>
        <w:ind w:firstLine="640" w:firstLineChars="200"/>
        <w:jc w:val="both"/>
        <w:rPr>
          <w:rFonts w:hint="eastAsia" w:ascii="仿宋_GB2312" w:eastAsia="仿宋_GB2312"/>
          <w:sz w:val="32"/>
          <w:szCs w:val="32"/>
        </w:rPr>
      </w:pPr>
    </w:p>
    <w:p>
      <w:pPr>
        <w:widowControl w:val="0"/>
        <w:pBdr>
          <w:bottom w:val="single" w:color="FFFFFF" w:sz="4" w:space="31"/>
        </w:pBdr>
        <w:topLinePunct/>
        <w:spacing w:after="0" w:line="620" w:lineRule="exact"/>
        <w:jc w:val="center"/>
        <w:rPr>
          <w:rFonts w:ascii="黑体" w:hAnsi="黑体" w:eastAsia="黑体"/>
          <w:sz w:val="32"/>
          <w:szCs w:val="32"/>
        </w:rPr>
      </w:pPr>
      <w:r>
        <w:rPr>
          <w:rFonts w:hint="eastAsia" w:ascii="黑体" w:hAnsi="黑体" w:eastAsia="黑体"/>
          <w:sz w:val="32"/>
          <w:szCs w:val="32"/>
        </w:rPr>
        <w:t>第十二章</w:t>
      </w:r>
      <w:r>
        <w:rPr>
          <w:rFonts w:ascii="黑体" w:hAnsi="黑体" w:eastAsia="黑体"/>
          <w:sz w:val="32"/>
          <w:szCs w:val="32"/>
        </w:rPr>
        <w:t xml:space="preserve">  </w:t>
      </w:r>
      <w:r>
        <w:rPr>
          <w:rFonts w:hint="eastAsia" w:ascii="黑体" w:hAnsi="黑体" w:eastAsia="黑体"/>
          <w:sz w:val="32"/>
          <w:szCs w:val="32"/>
        </w:rPr>
        <w:t>优化产业组织结构</w:t>
      </w:r>
    </w:p>
    <w:p>
      <w:pPr>
        <w:widowControl w:val="0"/>
        <w:pBdr>
          <w:bottom w:val="single" w:color="FFFFFF" w:sz="4" w:space="31"/>
        </w:pBdr>
        <w:topLinePunct/>
        <w:spacing w:after="0" w:line="620" w:lineRule="exact"/>
        <w:jc w:val="center"/>
        <w:rPr>
          <w:rFonts w:ascii="楷体_GB2312" w:eastAsia="楷体_GB2312"/>
          <w:b/>
          <w:sz w:val="32"/>
          <w:szCs w:val="32"/>
        </w:rPr>
      </w:pPr>
    </w:p>
    <w:p>
      <w:pPr>
        <w:widowControl w:val="0"/>
        <w:pBdr>
          <w:bottom w:val="single" w:color="FFFFFF" w:sz="4" w:space="31"/>
        </w:pBdr>
        <w:topLinePunct/>
        <w:spacing w:after="0" w:line="620" w:lineRule="exact"/>
        <w:jc w:val="center"/>
        <w:rPr>
          <w:rFonts w:hint="eastAsia" w:ascii="楷体_GB2312" w:eastAsia="楷体_GB2312"/>
          <w:b/>
          <w:sz w:val="32"/>
          <w:szCs w:val="32"/>
        </w:rPr>
      </w:pPr>
      <w:r>
        <w:rPr>
          <w:rFonts w:hint="eastAsia" w:ascii="楷体_GB2312" w:eastAsia="楷体_GB2312"/>
          <w:b/>
          <w:sz w:val="32"/>
          <w:szCs w:val="32"/>
        </w:rPr>
        <w:t>第一节  推动产业集群化发展</w:t>
      </w:r>
    </w:p>
    <w:p>
      <w:pPr>
        <w:widowControl w:val="0"/>
        <w:pBdr>
          <w:bottom w:val="single" w:color="FFFFFF" w:sz="4" w:space="31"/>
        </w:pBdr>
        <w:topLinePunct/>
        <w:spacing w:after="0" w:line="620" w:lineRule="exact"/>
        <w:ind w:firstLine="660"/>
        <w:rPr>
          <w:rFonts w:ascii="仿宋_GB2312" w:eastAsia="仿宋_GB2312"/>
          <w:sz w:val="32"/>
          <w:szCs w:val="32"/>
        </w:rPr>
      </w:pPr>
      <w:r>
        <w:rPr>
          <w:rFonts w:hint="eastAsia" w:ascii="仿宋_GB2312" w:eastAsia="仿宋_GB2312"/>
          <w:sz w:val="32"/>
          <w:szCs w:val="32"/>
        </w:rPr>
        <w:t>继续实施大企业、大集团战略，以高新化和品牌化为导向，围绕八大支出产业做大做强，按照“龙头企业带动、配套产业跟进、产业集群发展”的思路。不断提高产业集群的发展水平，壮大产业集群的发展规模。大力引导企业围绕产业链进行横向扩展和纵向延伸，建设一批龙头企业辐射带动、中小企业协作配套、创新驱动引领发展、产业集聚效应明显、具有行业优势的汽车及零部件产业集群、钛及钛合金产业集群、机床工具产业集群、石油装备产业集群、煤及煤化工产业集群、烟酒食品产业集群、航空安全装备产业集群、轨道交通产业集群，完善产业集群信息服务平台功能，增强企业间协作配套；鼓励成立工业行业协会，加强行业指导服务；建立专业的质量检测检验机构，实现资源共享，加快推动工业产业集群转型升级。</w:t>
      </w:r>
    </w:p>
    <w:p>
      <w:pPr>
        <w:widowControl w:val="0"/>
        <w:pBdr>
          <w:bottom w:val="single" w:color="FFFFFF" w:sz="4" w:space="31"/>
        </w:pBdr>
        <w:topLinePunct/>
        <w:spacing w:after="0" w:line="620" w:lineRule="exact"/>
        <w:rPr>
          <w:rFonts w:ascii="仿宋_GB2312" w:eastAsia="仿宋_GB2312"/>
          <w:sz w:val="32"/>
          <w:szCs w:val="32"/>
        </w:rPr>
      </w:pPr>
    </w:p>
    <w:p>
      <w:pPr>
        <w:widowControl w:val="0"/>
        <w:pBdr>
          <w:bottom w:val="single" w:color="FFFFFF" w:sz="4" w:space="31"/>
        </w:pBdr>
        <w:topLinePunct/>
        <w:spacing w:after="0" w:line="620" w:lineRule="exact"/>
        <w:jc w:val="center"/>
        <w:rPr>
          <w:rFonts w:ascii="楷体_GB2312" w:eastAsia="楷体_GB2312"/>
          <w:b/>
          <w:sz w:val="32"/>
          <w:szCs w:val="32"/>
        </w:rPr>
      </w:pPr>
      <w:r>
        <w:rPr>
          <w:rFonts w:hint="eastAsia" w:ascii="楷体_GB2312" w:eastAsia="楷体_GB2312"/>
          <w:b/>
          <w:sz w:val="32"/>
          <w:szCs w:val="32"/>
        </w:rPr>
        <w:t>第二节  促进两化融合与军民融合</w:t>
      </w:r>
    </w:p>
    <w:p>
      <w:pPr>
        <w:widowControl w:val="0"/>
        <w:pBdr>
          <w:bottom w:val="single" w:color="FFFFFF" w:sz="4" w:space="31"/>
        </w:pBdr>
        <w:topLinePunct/>
        <w:spacing w:after="0" w:line="620" w:lineRule="exact"/>
        <w:ind w:firstLine="660"/>
        <w:rPr>
          <w:rFonts w:ascii="仿宋_GB2312" w:eastAsia="仿宋_GB2312"/>
          <w:sz w:val="32"/>
          <w:szCs w:val="32"/>
        </w:rPr>
      </w:pPr>
      <w:r>
        <w:rPr>
          <w:rFonts w:hint="eastAsia" w:ascii="仿宋_GB2312" w:eastAsia="仿宋_GB2312"/>
          <w:sz w:val="32"/>
          <w:szCs w:val="32"/>
        </w:rPr>
        <w:t>围绕国家“互联网+”计划，推动移动互联网、云计算、大数据、物联网等新一代信息技术与我市制造业相融合，把智能制造作为两化深度融合的主攻方向。依托我市制造业基础，着力发展智能装备和智能产品，推进信息技术在产品内涵、产品设计、生产过程控制、物流与供应链管理、企业管理决策等各个层面上的应用与融合。到“十三五”末，培育150户两化融合转型升级示范企业，规范和提升500户企业，发展10个具有较大规模的商贸物流信息化平台。</w:t>
      </w:r>
    </w:p>
    <w:p>
      <w:pPr>
        <w:widowControl w:val="0"/>
        <w:pBdr>
          <w:bottom w:val="single" w:color="FFFFFF" w:sz="4" w:space="31"/>
        </w:pBdr>
        <w:topLinePunct/>
        <w:spacing w:after="0" w:line="620" w:lineRule="exact"/>
        <w:ind w:firstLine="660"/>
        <w:rPr>
          <w:rFonts w:ascii="仿宋_GB2312" w:eastAsia="仿宋_GB2312"/>
          <w:sz w:val="32"/>
          <w:szCs w:val="32"/>
        </w:rPr>
      </w:pPr>
      <w:r>
        <w:rPr>
          <w:rFonts w:hint="eastAsia" w:ascii="仿宋_GB2312" w:eastAsia="仿宋_GB2312"/>
          <w:sz w:val="32"/>
          <w:szCs w:val="32"/>
        </w:rPr>
        <w:t>充分发挥和利用我市军工企业优势，在涉及航天、航空、兵器、电子等国防工业领域，着力促进军企民企合作。以组合导航与航行安全监测系统的开发为重点，发展航空安全装备产业；以高频电子组件、短波、超短波通信设备、电声器件、军民用雷达、磁性器件、特种电子变压器、直升机空调、导光板等为重点，做大做强军工电子产业；以轻型轮式装甲防暴车、装甲输送车、柴油发动机及零部件等为重点，发展专用车及零部件产业；以高性能钛材加工、核级锆材研发和产业化为重点，做强我市特色新材料产业；以微特电机及技术的拓展为支撑，积极发展航天惯性技术应用产业；以军用蓬盖布、电磁屏遮布、军用伪装布等为重点，发展新一代军用纺织产业；以电光源器件科研生产为重点，做大做强相关装备配套产业。同时，以纺织机电产品、车载视听系统、铅酸蓄电池、消防车、光伏逆变器、汇流箱等为重点，大力发展民品产业，努力提升我市军民融合产业发展水平。</w:t>
      </w:r>
    </w:p>
    <w:p>
      <w:pPr>
        <w:widowControl w:val="0"/>
        <w:pBdr>
          <w:bottom w:val="single" w:color="FFFFFF" w:sz="4" w:space="31"/>
        </w:pBdr>
        <w:topLinePunct/>
        <w:spacing w:after="0" w:line="620" w:lineRule="exact"/>
        <w:ind w:firstLine="660"/>
        <w:rPr>
          <w:rFonts w:ascii="仿宋_GB2312" w:eastAsia="仿宋_GB2312"/>
          <w:sz w:val="32"/>
          <w:szCs w:val="32"/>
        </w:rPr>
      </w:pPr>
      <w:r>
        <w:rPr>
          <w:rFonts w:hint="eastAsia" w:ascii="仿宋_GB2312" w:eastAsia="仿宋_GB2312"/>
          <w:sz w:val="32"/>
          <w:szCs w:val="32"/>
        </w:rPr>
        <w:t>到“十三五”末，实现信息技术在工业领域的全面渗透和高水平应用，两化融合对产业结构优化升级和经济发展方式转变的助推作用明显增强，成为全省两化融合应用示范城市。</w:t>
      </w:r>
    </w:p>
    <w:p>
      <w:pPr>
        <w:widowControl w:val="0"/>
        <w:pBdr>
          <w:bottom w:val="single" w:color="FFFFFF" w:sz="4" w:space="31"/>
        </w:pBdr>
        <w:topLinePunct/>
        <w:spacing w:after="0" w:line="620" w:lineRule="exact"/>
        <w:jc w:val="center"/>
        <w:rPr>
          <w:rFonts w:ascii="楷体_GB2312" w:eastAsia="楷体_GB2312"/>
          <w:b/>
          <w:sz w:val="32"/>
          <w:szCs w:val="32"/>
        </w:rPr>
      </w:pPr>
    </w:p>
    <w:p>
      <w:pPr>
        <w:widowControl w:val="0"/>
        <w:pBdr>
          <w:bottom w:val="single" w:color="FFFFFF" w:sz="4" w:space="31"/>
        </w:pBdr>
        <w:topLinePunct/>
        <w:spacing w:after="0" w:line="620" w:lineRule="exact"/>
        <w:jc w:val="center"/>
        <w:rPr>
          <w:rFonts w:hint="eastAsia" w:ascii="楷体_GB2312" w:eastAsia="楷体_GB2312"/>
          <w:b/>
          <w:sz w:val="32"/>
          <w:szCs w:val="32"/>
        </w:rPr>
      </w:pPr>
      <w:r>
        <w:rPr>
          <w:rFonts w:hint="eastAsia" w:ascii="楷体_GB2312" w:eastAsia="楷体_GB2312"/>
          <w:b/>
          <w:sz w:val="32"/>
          <w:szCs w:val="32"/>
        </w:rPr>
        <w:t>第三节  构建区域性总部经济集聚区</w:t>
      </w:r>
    </w:p>
    <w:p>
      <w:pPr>
        <w:widowControl w:val="0"/>
        <w:pBdr>
          <w:bottom w:val="single" w:color="FFFFFF" w:sz="4" w:space="31"/>
        </w:pBdr>
        <w:topLinePunct/>
        <w:spacing w:after="0" w:line="620" w:lineRule="exact"/>
        <w:ind w:firstLine="640" w:firstLineChars="200"/>
        <w:jc w:val="both"/>
        <w:rPr>
          <w:rFonts w:ascii="仿宋_GB2312" w:eastAsia="仿宋_GB2312"/>
          <w:sz w:val="32"/>
          <w:szCs w:val="32"/>
        </w:rPr>
      </w:pPr>
      <w:r>
        <w:rPr>
          <w:rFonts w:hint="eastAsia" w:ascii="仿宋_GB2312" w:eastAsia="仿宋_GB2312"/>
          <w:sz w:val="32"/>
          <w:szCs w:val="32"/>
        </w:rPr>
        <w:t>按照“巩固、培育、引进、回归”的思路，以形成智慧、绿色、高端产业集群为原则，以发展区域性总部、职能型总部为重点，巩固我市现有大企业集团总部，同时培育和引进一批先进制造业、现代服务业以及其他优势产业的企业总部，吸引回迁一批企业总部。围绕现有大企业大集团，规划</w:t>
      </w:r>
      <w:r>
        <w:rPr>
          <w:rFonts w:ascii="仿宋_GB2312" w:eastAsia="仿宋_GB2312"/>
          <w:sz w:val="32"/>
          <w:szCs w:val="32"/>
        </w:rPr>
        <w:t>3-5</w:t>
      </w:r>
      <w:r>
        <w:rPr>
          <w:rFonts w:hint="eastAsia" w:ascii="仿宋_GB2312" w:eastAsia="仿宋_GB2312"/>
          <w:sz w:val="32"/>
          <w:szCs w:val="32"/>
        </w:rPr>
        <w:t>个功能定位明确、产业路线明晰、集群效应明显的区域性企业总部聚集区，形成集聚效应，逐步实现集群化发展。到</w:t>
      </w:r>
      <w:r>
        <w:rPr>
          <w:rFonts w:ascii="仿宋_GB2312" w:eastAsia="仿宋_GB2312"/>
          <w:sz w:val="32"/>
          <w:szCs w:val="32"/>
        </w:rPr>
        <w:t>2018</w:t>
      </w:r>
      <w:r>
        <w:rPr>
          <w:rFonts w:hint="eastAsia" w:ascii="仿宋_GB2312" w:eastAsia="仿宋_GB2312"/>
          <w:sz w:val="32"/>
          <w:szCs w:val="32"/>
        </w:rPr>
        <w:t>年，形成良好的总部经济发展环境，建立比较完善的总部经济发展激励政策体系和服务保障体系。到</w:t>
      </w:r>
      <w:r>
        <w:rPr>
          <w:rFonts w:ascii="仿宋_GB2312" w:eastAsia="仿宋_GB2312"/>
          <w:sz w:val="32"/>
          <w:szCs w:val="32"/>
        </w:rPr>
        <w:t>2020</w:t>
      </w:r>
      <w:r>
        <w:rPr>
          <w:rFonts w:hint="eastAsia" w:ascii="仿宋_GB2312" w:eastAsia="仿宋_GB2312"/>
          <w:sz w:val="32"/>
          <w:szCs w:val="32"/>
        </w:rPr>
        <w:t>年，全市力争引进、培育和发展全国性和区域性总部企业</w:t>
      </w:r>
      <w:r>
        <w:rPr>
          <w:rFonts w:ascii="仿宋_GB2312" w:eastAsia="仿宋_GB2312"/>
          <w:sz w:val="32"/>
          <w:szCs w:val="32"/>
        </w:rPr>
        <w:t>5-10</w:t>
      </w:r>
      <w:r>
        <w:rPr>
          <w:rFonts w:hint="eastAsia" w:ascii="仿宋_GB2312" w:eastAsia="仿宋_GB2312"/>
          <w:sz w:val="32"/>
          <w:szCs w:val="32"/>
        </w:rPr>
        <w:t>家，职能型总部企业</w:t>
      </w:r>
      <w:r>
        <w:rPr>
          <w:rFonts w:ascii="仿宋_GB2312" w:eastAsia="仿宋_GB2312"/>
          <w:sz w:val="32"/>
          <w:szCs w:val="32"/>
        </w:rPr>
        <w:t>30</w:t>
      </w:r>
      <w:r>
        <w:rPr>
          <w:rFonts w:hint="eastAsia" w:ascii="仿宋_GB2312" w:eastAsia="仿宋_GB2312"/>
          <w:sz w:val="32"/>
          <w:szCs w:val="32"/>
        </w:rPr>
        <w:t>家以上，总部企业增加值占全市</w:t>
      </w:r>
      <w:r>
        <w:rPr>
          <w:rFonts w:ascii="仿宋_GB2312" w:eastAsia="仿宋_GB2312"/>
          <w:sz w:val="32"/>
          <w:szCs w:val="32"/>
        </w:rPr>
        <w:t>地区生产总值</w:t>
      </w:r>
      <w:r>
        <w:rPr>
          <w:rFonts w:hint="eastAsia" w:ascii="仿宋_GB2312" w:eastAsia="仿宋_GB2312"/>
          <w:sz w:val="32"/>
          <w:szCs w:val="32"/>
        </w:rPr>
        <w:t>比重达到</w:t>
      </w:r>
      <w:r>
        <w:rPr>
          <w:rFonts w:ascii="仿宋_GB2312" w:eastAsia="仿宋_GB2312"/>
          <w:sz w:val="32"/>
          <w:szCs w:val="32"/>
        </w:rPr>
        <w:t>40%</w:t>
      </w:r>
      <w:r>
        <w:rPr>
          <w:rFonts w:hint="eastAsia" w:ascii="仿宋_GB2312" w:eastAsia="仿宋_GB2312"/>
          <w:sz w:val="32"/>
          <w:szCs w:val="32"/>
        </w:rPr>
        <w:t>以上，形成若干中央商务区或总部企业基地等总部经济集聚区，全力打造西北地区区域性总部经济高地。</w:t>
      </w:r>
    </w:p>
    <w:p>
      <w:pPr>
        <w:widowControl w:val="0"/>
        <w:pBdr>
          <w:bottom w:val="single" w:color="FFFFFF" w:sz="4" w:space="31"/>
        </w:pBdr>
        <w:topLinePunct/>
        <w:spacing w:after="0" w:line="620" w:lineRule="exact"/>
        <w:jc w:val="both"/>
        <w:rPr>
          <w:rFonts w:ascii="楷体_GB2312" w:eastAsia="楷体_GB2312"/>
          <w:b/>
          <w:sz w:val="32"/>
          <w:szCs w:val="32"/>
        </w:rPr>
      </w:pPr>
    </w:p>
    <w:p>
      <w:pPr>
        <w:widowControl w:val="0"/>
        <w:pBdr>
          <w:bottom w:val="single" w:color="FFFFFF" w:sz="4" w:space="31"/>
        </w:pBdr>
        <w:topLinePunct/>
        <w:spacing w:after="0" w:line="620" w:lineRule="exact"/>
        <w:jc w:val="center"/>
        <w:rPr>
          <w:rFonts w:hint="eastAsia" w:ascii="楷体_GB2312" w:eastAsia="楷体_GB2312"/>
          <w:b/>
          <w:sz w:val="32"/>
          <w:szCs w:val="32"/>
        </w:rPr>
      </w:pPr>
      <w:r>
        <w:rPr>
          <w:rFonts w:hint="eastAsia" w:ascii="楷体_GB2312" w:eastAsia="楷体_GB2312"/>
          <w:b/>
          <w:sz w:val="32"/>
          <w:szCs w:val="32"/>
        </w:rPr>
        <w:t>第四节  加快实施品牌经济战略</w:t>
      </w:r>
    </w:p>
    <w:p>
      <w:pPr>
        <w:widowControl w:val="0"/>
        <w:pBdr>
          <w:bottom w:val="single" w:color="FFFFFF" w:sz="4" w:space="31"/>
        </w:pBdr>
        <w:topLinePunct/>
        <w:spacing w:after="0" w:line="620" w:lineRule="exact"/>
        <w:ind w:firstLine="640" w:firstLineChars="200"/>
        <w:jc w:val="both"/>
        <w:rPr>
          <w:rFonts w:ascii="仿宋_GB2312" w:eastAsia="仿宋_GB2312"/>
          <w:sz w:val="32"/>
          <w:szCs w:val="32"/>
        </w:rPr>
      </w:pPr>
      <w:r>
        <w:rPr>
          <w:rFonts w:hint="eastAsia" w:ascii="仿宋_GB2312" w:eastAsia="仿宋_GB2312"/>
          <w:sz w:val="32"/>
          <w:szCs w:val="32"/>
        </w:rPr>
        <w:t>巩固提升“中国品牌经济城市”称号，紧紧抓住装备制造产品全球采购和中国制造的战略机遇，以机床工具、汽车及零部件制造、石油装备和轨道交通为重点，培育一批优势企业、产品和品牌，实现制造向创造转变，速度向质量转变，产品向品牌的转变。以宝钛为龙头，以</w:t>
      </w:r>
      <w:r>
        <w:rPr>
          <w:rFonts w:ascii="仿宋_GB2312" w:eastAsia="仿宋_GB2312"/>
          <w:sz w:val="32"/>
          <w:szCs w:val="32"/>
        </w:rPr>
        <w:t>民营企业为支撑，</w:t>
      </w:r>
      <w:r>
        <w:rPr>
          <w:rFonts w:hint="eastAsia" w:ascii="仿宋_GB2312" w:eastAsia="仿宋_GB2312"/>
          <w:sz w:val="32"/>
          <w:szCs w:val="32"/>
        </w:rPr>
        <w:t>做大做强“中国钛谷”品牌。发挥宝鸡作为国家重要的商品粮基地和丰富的猕猴桃、核桃等农特</w:t>
      </w:r>
      <w:r>
        <w:rPr>
          <w:rFonts w:hint="eastAsia" w:ascii="仿宋_GB2312" w:eastAsia="仿宋_GB2312"/>
          <w:color w:val="000000"/>
          <w:sz w:val="32"/>
          <w:szCs w:val="32"/>
        </w:rPr>
        <w:t>产品资源优势，培育农产品深加工品牌。以宝烟、西凤酒等龙头食品企业为骨干，着力打造“好猫”、“西凤”、“</w:t>
      </w:r>
      <w:r>
        <w:rPr>
          <w:rFonts w:ascii="仿宋_GB2312" w:eastAsia="仿宋_GB2312"/>
          <w:color w:val="000000"/>
          <w:sz w:val="32"/>
          <w:szCs w:val="32"/>
        </w:rPr>
        <w:t>和氏</w:t>
      </w:r>
      <w:r>
        <w:rPr>
          <w:rFonts w:hint="eastAsia" w:ascii="仿宋_GB2312" w:eastAsia="仿宋_GB2312"/>
          <w:color w:val="000000"/>
          <w:sz w:val="32"/>
          <w:szCs w:val="32"/>
        </w:rPr>
        <w:t>”</w:t>
      </w:r>
      <w:r>
        <w:rPr>
          <w:rFonts w:ascii="仿宋_GB2312" w:eastAsia="仿宋_GB2312"/>
          <w:color w:val="000000"/>
          <w:sz w:val="32"/>
          <w:szCs w:val="32"/>
        </w:rPr>
        <w:t>、</w:t>
      </w:r>
      <w:r>
        <w:rPr>
          <w:rFonts w:hint="eastAsia" w:ascii="仿宋_GB2312" w:eastAsia="仿宋_GB2312"/>
          <w:color w:val="000000"/>
          <w:sz w:val="32"/>
          <w:szCs w:val="32"/>
        </w:rPr>
        <w:t>“</w:t>
      </w:r>
      <w:r>
        <w:rPr>
          <w:rFonts w:ascii="仿宋_GB2312" w:eastAsia="仿宋_GB2312"/>
          <w:color w:val="000000"/>
          <w:sz w:val="32"/>
          <w:szCs w:val="32"/>
        </w:rPr>
        <w:t>关山</w:t>
      </w:r>
      <w:r>
        <w:rPr>
          <w:rFonts w:hint="eastAsia" w:ascii="仿宋_GB2312" w:eastAsia="仿宋_GB2312"/>
          <w:color w:val="000000"/>
          <w:sz w:val="32"/>
          <w:szCs w:val="32"/>
        </w:rPr>
        <w:t>”、陇州核桃等特色食品品牌。围绕宝鸡市</w:t>
      </w:r>
      <w:r>
        <w:rPr>
          <w:rFonts w:ascii="仿宋_GB2312" w:eastAsia="仿宋_GB2312"/>
          <w:color w:val="000000"/>
          <w:sz w:val="32"/>
          <w:szCs w:val="32"/>
        </w:rPr>
        <w:t>10</w:t>
      </w:r>
      <w:r>
        <w:rPr>
          <w:rFonts w:hint="eastAsia" w:ascii="仿宋_GB2312" w:eastAsia="仿宋_GB2312"/>
          <w:color w:val="000000"/>
          <w:sz w:val="32"/>
          <w:szCs w:val="32"/>
        </w:rPr>
        <w:t>余种道地药材及在国内市场具有比较优势和竞争力的品种，依托生物制药企业，作</w:t>
      </w:r>
      <w:r>
        <w:rPr>
          <w:rFonts w:hint="eastAsia" w:ascii="仿宋_GB2312" w:eastAsia="仿宋_GB2312"/>
          <w:sz w:val="32"/>
          <w:szCs w:val="32"/>
        </w:rPr>
        <w:t>响“全国最大的红豆杉种植基地、林麝养殖基地、山茱萸基地”等品牌。大力实施商标品牌战略，力争更多的“宝鸡品牌”进入国内国际品牌行列。</w:t>
      </w:r>
    </w:p>
    <w:p>
      <w:pPr>
        <w:widowControl w:val="0"/>
        <w:pBdr>
          <w:bottom w:val="single" w:color="FFFFFF" w:sz="4" w:space="31"/>
        </w:pBdr>
        <w:topLinePunct/>
        <w:spacing w:after="0" w:line="620" w:lineRule="exact"/>
        <w:ind w:firstLine="640" w:firstLineChars="200"/>
        <w:jc w:val="both"/>
        <w:rPr>
          <w:rFonts w:hint="eastAsia" w:ascii="仿宋_GB2312" w:eastAsia="仿宋_GB2312"/>
          <w:sz w:val="32"/>
          <w:szCs w:val="32"/>
        </w:rPr>
      </w:pPr>
    </w:p>
    <w:p>
      <w:pPr>
        <w:widowControl w:val="0"/>
        <w:pBdr>
          <w:bottom w:val="single" w:color="FFFFFF" w:sz="4" w:space="31"/>
        </w:pBdr>
        <w:topLinePunct/>
        <w:spacing w:after="0" w:line="620" w:lineRule="exact"/>
        <w:jc w:val="center"/>
        <w:rPr>
          <w:rFonts w:ascii="黑体" w:hAnsi="黑体" w:eastAsia="黑体"/>
          <w:sz w:val="32"/>
          <w:szCs w:val="32"/>
        </w:rPr>
      </w:pPr>
      <w:r>
        <w:rPr>
          <w:rFonts w:hint="eastAsia" w:ascii="黑体" w:hAnsi="黑体" w:eastAsia="黑体"/>
          <w:sz w:val="32"/>
          <w:szCs w:val="32"/>
        </w:rPr>
        <w:t>第十三章</w:t>
      </w:r>
      <w:r>
        <w:rPr>
          <w:rFonts w:ascii="黑体" w:hAnsi="黑体" w:eastAsia="黑体"/>
          <w:sz w:val="32"/>
          <w:szCs w:val="32"/>
        </w:rPr>
        <w:t xml:space="preserve">  </w:t>
      </w:r>
      <w:r>
        <w:rPr>
          <w:rFonts w:hint="eastAsia" w:ascii="黑体" w:hAnsi="黑体" w:eastAsia="黑体"/>
          <w:sz w:val="32"/>
          <w:szCs w:val="32"/>
        </w:rPr>
        <w:t>推动非公有制经济加快发展</w:t>
      </w:r>
    </w:p>
    <w:p>
      <w:pPr>
        <w:widowControl w:val="0"/>
        <w:pBdr>
          <w:bottom w:val="single" w:color="FFFFFF" w:sz="4" w:space="31"/>
        </w:pBdr>
        <w:topLinePunct/>
        <w:spacing w:after="0" w:line="620" w:lineRule="exact"/>
        <w:ind w:firstLine="640" w:firstLineChars="200"/>
        <w:jc w:val="both"/>
        <w:rPr>
          <w:rFonts w:hint="eastAsia" w:ascii="仿宋_GB2312" w:eastAsia="仿宋_GB2312"/>
          <w:sz w:val="32"/>
          <w:szCs w:val="32"/>
        </w:rPr>
      </w:pPr>
    </w:p>
    <w:p>
      <w:pPr>
        <w:widowControl w:val="0"/>
        <w:pBdr>
          <w:bottom w:val="single" w:color="FFFFFF" w:sz="4" w:space="31"/>
        </w:pBdr>
        <w:topLinePunct/>
        <w:spacing w:after="0" w:line="620" w:lineRule="exact"/>
        <w:jc w:val="center"/>
        <w:rPr>
          <w:rFonts w:hint="eastAsia" w:ascii="楷体_GB2312" w:eastAsia="楷体_GB2312"/>
          <w:b/>
          <w:sz w:val="32"/>
          <w:szCs w:val="32"/>
        </w:rPr>
      </w:pPr>
      <w:r>
        <w:rPr>
          <w:rFonts w:hint="eastAsia" w:ascii="楷体_GB2312" w:eastAsia="楷体_GB2312"/>
          <w:b/>
          <w:sz w:val="32"/>
          <w:szCs w:val="32"/>
        </w:rPr>
        <w:t>第一节  拓展非公有制经济发展领域</w:t>
      </w:r>
    </w:p>
    <w:p>
      <w:pPr>
        <w:widowControl w:val="0"/>
        <w:pBdr>
          <w:bottom w:val="single" w:color="FFFFFF" w:sz="4" w:space="31"/>
        </w:pBdr>
        <w:topLinePunct/>
        <w:spacing w:after="0" w:line="620" w:lineRule="exact"/>
        <w:ind w:firstLine="640" w:firstLineChars="200"/>
        <w:jc w:val="both"/>
        <w:rPr>
          <w:rFonts w:ascii="仿宋_GB2312" w:eastAsia="仿宋_GB2312"/>
          <w:sz w:val="32"/>
          <w:szCs w:val="32"/>
        </w:rPr>
      </w:pPr>
      <w:r>
        <w:rPr>
          <w:rFonts w:hint="eastAsia" w:ascii="仿宋_GB2312" w:eastAsia="仿宋_GB2312"/>
          <w:sz w:val="32"/>
          <w:szCs w:val="32"/>
        </w:rPr>
        <w:t>按照“平等准入、公平待遇”的原则，进一步拓展民间投资的领域和范围，推广运用</w:t>
      </w:r>
      <w:r>
        <w:rPr>
          <w:rFonts w:ascii="仿宋_GB2312" w:eastAsia="仿宋_GB2312"/>
          <w:sz w:val="32"/>
          <w:szCs w:val="32"/>
        </w:rPr>
        <w:t>PPP</w:t>
      </w:r>
      <w:r>
        <w:rPr>
          <w:rFonts w:hint="eastAsia" w:ascii="仿宋_GB2312" w:eastAsia="仿宋_GB2312"/>
          <w:sz w:val="32"/>
          <w:szCs w:val="32"/>
        </w:rPr>
        <w:t>模式，鼓励和引导民间资本进入基础设施、市政公用事业、政策性住房建设、社会事业、金融服务、商贸流通等领域，加大民间资本的参与力度。鼓励和引导民营企业通过参股、控股、资产收购等多种形式，参与国有企业的改制重组，吸纳民营企业产品和服务进入政府采购目录。深入实施民营企业成长培育、创业创新、素质提升三项计划，推动民营企业加强自主创新和转型升级，全面增强非公有制企业活力。到2020年，非公有制经济总量占全市地区生产总值比重达到</w:t>
      </w:r>
      <w:r>
        <w:rPr>
          <w:rFonts w:ascii="仿宋_GB2312" w:eastAsia="仿宋_GB2312"/>
          <w:sz w:val="32"/>
          <w:szCs w:val="32"/>
        </w:rPr>
        <w:t>55</w:t>
      </w:r>
      <w:r>
        <w:rPr>
          <w:rFonts w:hint="eastAsia" w:ascii="仿宋_GB2312" w:eastAsia="仿宋_GB2312"/>
          <w:sz w:val="32"/>
          <w:szCs w:val="32"/>
        </w:rPr>
        <w:t>％，企业数量增加</w:t>
      </w:r>
      <w:r>
        <w:rPr>
          <w:rFonts w:ascii="仿宋_GB2312" w:eastAsia="仿宋_GB2312"/>
          <w:sz w:val="32"/>
          <w:szCs w:val="32"/>
        </w:rPr>
        <w:t>50%</w:t>
      </w:r>
      <w:r>
        <w:rPr>
          <w:rFonts w:hint="eastAsia" w:ascii="仿宋_GB2312" w:eastAsia="仿宋_GB2312"/>
          <w:sz w:val="32"/>
          <w:szCs w:val="32"/>
        </w:rPr>
        <w:t>以上。</w:t>
      </w:r>
    </w:p>
    <w:p>
      <w:pPr>
        <w:widowControl w:val="0"/>
        <w:pBdr>
          <w:bottom w:val="single" w:color="FFFFFF" w:sz="4" w:space="31"/>
        </w:pBdr>
        <w:topLinePunct/>
        <w:spacing w:after="0" w:line="620" w:lineRule="exact"/>
        <w:ind w:firstLine="640" w:firstLineChars="200"/>
        <w:jc w:val="both"/>
        <w:rPr>
          <w:rFonts w:hint="eastAsia" w:ascii="仿宋_GB2312" w:eastAsia="仿宋_GB2312"/>
          <w:sz w:val="32"/>
          <w:szCs w:val="32"/>
        </w:rPr>
      </w:pPr>
    </w:p>
    <w:p>
      <w:pPr>
        <w:widowControl w:val="0"/>
        <w:pBdr>
          <w:bottom w:val="single" w:color="FFFFFF" w:sz="4" w:space="31"/>
        </w:pBdr>
        <w:topLinePunct/>
        <w:spacing w:after="0" w:line="620" w:lineRule="exact"/>
        <w:jc w:val="center"/>
        <w:rPr>
          <w:rFonts w:hint="eastAsia" w:ascii="楷体_GB2312" w:eastAsia="楷体_GB2312"/>
          <w:b/>
          <w:sz w:val="32"/>
          <w:szCs w:val="32"/>
        </w:rPr>
      </w:pPr>
      <w:r>
        <w:rPr>
          <w:rFonts w:hint="eastAsia" w:ascii="楷体_GB2312" w:eastAsia="楷体_GB2312"/>
          <w:b/>
          <w:sz w:val="32"/>
          <w:szCs w:val="32"/>
        </w:rPr>
        <w:t>第二节  增强县域经济发展活力</w:t>
      </w:r>
    </w:p>
    <w:p>
      <w:pPr>
        <w:widowControl w:val="0"/>
        <w:pBdr>
          <w:bottom w:val="single" w:color="FFFFFF" w:sz="4" w:space="31"/>
        </w:pBdr>
        <w:topLinePunct/>
        <w:spacing w:after="0" w:line="620" w:lineRule="exact"/>
        <w:ind w:firstLine="640" w:firstLineChars="200"/>
        <w:jc w:val="both"/>
        <w:rPr>
          <w:rFonts w:ascii="仿宋_GB2312" w:eastAsia="仿宋_GB2312"/>
          <w:sz w:val="32"/>
          <w:szCs w:val="32"/>
        </w:rPr>
      </w:pPr>
      <w:r>
        <w:rPr>
          <w:rFonts w:hint="eastAsia" w:ascii="仿宋_GB2312" w:eastAsia="仿宋_GB2312"/>
          <w:sz w:val="32"/>
          <w:szCs w:val="32"/>
        </w:rPr>
        <w:t>以非公有制经济和中小企业为重点，依托区域优势，积极培育特色产业、骨干企业、名牌产品，逐步形成资源开发、产业配套、劳动密集、多种产业协作并进的县域经济发展格局。升级“一村一品”，形成“一乡一业”，推进“一县一特色”，扶强做大产业化龙头企业，大力发展农民专业合作社，支持粮油、肉蛋奶、园艺和特色农产品生产大县创建产业示范区，推进产业化龙头企业集群发展，形成具有引领产业创新提高的产业集聚区。推进三次产业联动发展，提升县域经济综合效益。进一步激发县域经济活力，壮大县域经济实力。力争更多的县进入全省十强、西部百强。</w:t>
      </w:r>
    </w:p>
    <w:p>
      <w:pPr>
        <w:widowControl w:val="0"/>
        <w:pBdr>
          <w:bottom w:val="single" w:color="FFFFFF" w:sz="4" w:space="31"/>
        </w:pBdr>
        <w:topLinePunct/>
        <w:spacing w:after="0" w:line="620" w:lineRule="exact"/>
        <w:jc w:val="both"/>
        <w:rPr>
          <w:rFonts w:ascii="仿宋_GB2312" w:eastAsia="仿宋_GB2312"/>
          <w:sz w:val="32"/>
          <w:szCs w:val="32"/>
        </w:rPr>
      </w:pPr>
    </w:p>
    <w:p>
      <w:pPr>
        <w:widowControl w:val="0"/>
        <w:pBdr>
          <w:bottom w:val="single" w:color="FFFFFF" w:sz="4" w:space="31"/>
        </w:pBdr>
        <w:topLinePunct/>
        <w:spacing w:after="0" w:line="620" w:lineRule="exact"/>
        <w:jc w:val="center"/>
        <w:rPr>
          <w:rFonts w:ascii="楷体_GB2312" w:hAnsi="仿宋" w:eastAsia="楷体_GB2312"/>
          <w:b/>
          <w:sz w:val="32"/>
          <w:szCs w:val="32"/>
        </w:rPr>
      </w:pPr>
      <w:r>
        <w:rPr>
          <w:rFonts w:hint="eastAsia" w:ascii="楷体_GB2312" w:hAnsi="仿宋" w:eastAsia="楷体_GB2312"/>
          <w:b/>
          <w:sz w:val="32"/>
          <w:szCs w:val="32"/>
        </w:rPr>
        <w:t>第三节</w:t>
      </w:r>
      <w:r>
        <w:rPr>
          <w:rFonts w:ascii="楷体_GB2312" w:hAnsi="仿宋" w:eastAsia="楷体_GB2312"/>
          <w:b/>
          <w:sz w:val="32"/>
          <w:szCs w:val="32"/>
        </w:rPr>
        <w:t xml:space="preserve">  </w:t>
      </w:r>
      <w:r>
        <w:rPr>
          <w:rFonts w:hint="eastAsia" w:ascii="楷体_GB2312" w:hAnsi="仿宋" w:eastAsia="楷体_GB2312"/>
          <w:b/>
          <w:sz w:val="32"/>
          <w:szCs w:val="32"/>
        </w:rPr>
        <w:t>提升园区经济发展水平</w:t>
      </w:r>
    </w:p>
    <w:p>
      <w:pPr>
        <w:widowControl w:val="0"/>
        <w:pBdr>
          <w:bottom w:val="single" w:color="FFFFFF" w:sz="4" w:space="31"/>
        </w:pBdr>
        <w:topLinePunct/>
        <w:spacing w:after="0" w:line="620" w:lineRule="exact"/>
        <w:ind w:firstLine="660"/>
        <w:rPr>
          <w:rFonts w:ascii="仿宋_GB2312" w:hAnsi="华文中宋" w:eastAsia="仿宋_GB2312"/>
          <w:sz w:val="32"/>
          <w:szCs w:val="32"/>
        </w:rPr>
      </w:pPr>
      <w:r>
        <w:rPr>
          <w:rFonts w:hint="eastAsia" w:ascii="仿宋_GB2312" w:hAnsi="华文中宋" w:eastAsia="仿宋_GB2312"/>
          <w:sz w:val="32"/>
          <w:szCs w:val="32"/>
        </w:rPr>
        <w:t>根据县域区位特点、资源禀赋和产业现状，建设一批重点县域特色工业集中区。严格贯彻执行国家的产业政策和土地管理、环境保护政策，找准比较优势，合理确定县域工业园区产业定位，引导和推动区域特色产业集群式发展。不断完善园区规划，处理好近期与远期、需要与可能、生产与生活等方面的关系，充分利用自身产业优势、资源优势和特色优势，引导和吸引各类人群进区兴业、民间资本进区投资、外地公司进区办厂；储备一批适应不同层次投资者需求的大项目，开发建设一批能够发挥骨干示范作用的好项目，引导分散企业向园区集聚；全力扶持和培育特色产业中的龙头企业，使之成为产业核心，发挥其在园区中的“领头羊”作用，延伸产业链条，逐步形成产业集群，围绕龙头企业搞好产业配套，形成完整产业链，始终保持园区活力；积极探索与工业园区发展相适应的工作机构和运行机制，确保园区工作高效运转。</w:t>
      </w:r>
    </w:p>
    <w:p>
      <w:pPr>
        <w:spacing w:after="0" w:line="600" w:lineRule="exact"/>
        <w:jc w:val="both"/>
        <w:rPr>
          <w:rFonts w:hint="eastAsia"/>
        </w:rPr>
      </w:pPr>
      <w:r>
        <w:rPr>
          <w:rFonts w:hint="eastAsia" w:ascii="仿宋_GB2312" w:eastAsia="仿宋_GB2312"/>
          <w:sz w:val="32"/>
          <w:szCs w:val="32"/>
        </w:rPr>
        <mc:AlternateContent>
          <mc:Choice Requires="wps">
            <w:drawing>
              <wp:anchor distT="0" distB="0" distL="114300" distR="114300" simplePos="0" relativeHeight="251707392" behindDoc="0" locked="0" layoutInCell="1" allowOverlap="1">
                <wp:simplePos x="0" y="0"/>
                <wp:positionH relativeFrom="margin">
                  <wp:posOffset>7620</wp:posOffset>
                </wp:positionH>
                <wp:positionV relativeFrom="margin">
                  <wp:posOffset>4200525</wp:posOffset>
                </wp:positionV>
                <wp:extent cx="5528310" cy="3716655"/>
                <wp:effectExtent l="4445" t="4445" r="10795" b="12700"/>
                <wp:wrapSquare wrapText="bothSides"/>
                <wp:docPr id="48" name="文本框 153"/>
                <wp:cNvGraphicFramePr/>
                <a:graphic xmlns:a="http://schemas.openxmlformats.org/drawingml/2006/main">
                  <a:graphicData uri="http://schemas.microsoft.com/office/word/2010/wordprocessingShape">
                    <wps:wsp>
                      <wps:cNvSpPr txBox="1"/>
                      <wps:spPr>
                        <a:xfrm>
                          <a:off x="0" y="0"/>
                          <a:ext cx="5528310" cy="37166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2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专栏21</w:t>
                            </w:r>
                          </w:p>
                          <w:p>
                            <w:pPr>
                              <w:spacing w:after="0" w:line="320" w:lineRule="exact"/>
                              <w:jc w:val="center"/>
                              <w:rPr>
                                <w:rFonts w:hint="eastAsia" w:ascii="黑体" w:hAnsi="黑体" w:eastAsia="黑体" w:cs="仿宋_GB2312"/>
                                <w:b/>
                                <w:bCs/>
                                <w:sz w:val="21"/>
                                <w:szCs w:val="21"/>
                              </w:rPr>
                            </w:pPr>
                            <w:r>
                              <w:rPr>
                                <w:rFonts w:hint="eastAsia" w:ascii="黑体" w:hAnsi="黑体" w:eastAsia="黑体" w:cs="仿宋_GB2312"/>
                                <w:b/>
                                <w:bCs/>
                                <w:sz w:val="21"/>
                                <w:szCs w:val="21"/>
                              </w:rPr>
                              <w:t>重点县域工业园区发展方向</w:t>
                            </w:r>
                          </w:p>
                          <w:p>
                            <w:pPr>
                              <w:spacing w:after="0" w:line="320" w:lineRule="exact"/>
                              <w:ind w:firstLine="527" w:firstLineChars="250"/>
                              <w:rPr>
                                <w:rFonts w:ascii="楷体_GB2312" w:hAnsi="仿宋" w:eastAsia="楷体_GB2312"/>
                                <w:szCs w:val="21"/>
                              </w:rPr>
                            </w:pPr>
                            <w:r>
                              <w:rPr>
                                <w:rFonts w:hint="eastAsia" w:ascii="楷体_GB2312" w:hAnsi="仿宋" w:eastAsia="楷体_GB2312"/>
                                <w:b/>
                                <w:sz w:val="21"/>
                                <w:szCs w:val="21"/>
                              </w:rPr>
                              <w:t>金台金河工业园：</w:t>
                            </w:r>
                            <w:r>
                              <w:rPr>
                                <w:rFonts w:hint="eastAsia" w:ascii="楷体_GB2312" w:hAnsi="仿宋" w:eastAsia="楷体_GB2312"/>
                                <w:sz w:val="21"/>
                                <w:szCs w:val="21"/>
                              </w:rPr>
                              <w:t>以机械制造为核心，打造配套大集团、大企业的中小企业工业园。</w:t>
                            </w:r>
                            <w:r>
                              <w:rPr>
                                <w:rFonts w:hint="eastAsia" w:ascii="楷体_GB2312" w:hAnsi="仿宋" w:eastAsia="楷体_GB2312"/>
                                <w:b/>
                                <w:sz w:val="21"/>
                                <w:szCs w:val="21"/>
                              </w:rPr>
                              <w:t>渭滨姜谭工业园：</w:t>
                            </w:r>
                            <w:r>
                              <w:rPr>
                                <w:rFonts w:hint="eastAsia" w:ascii="楷体_GB2312" w:hAnsi="仿宋" w:eastAsia="楷体_GB2312"/>
                                <w:sz w:val="21"/>
                                <w:szCs w:val="21"/>
                              </w:rPr>
                              <w:t>以互联网产业为趋势，以装备制造业为核心，打造一流工业集中区。</w:t>
                            </w:r>
                            <w:r>
                              <w:rPr>
                                <w:rFonts w:hint="eastAsia" w:ascii="楷体_GB2312" w:hAnsi="仿宋" w:eastAsia="楷体_GB2312"/>
                                <w:b/>
                                <w:sz w:val="21"/>
                                <w:szCs w:val="21"/>
                              </w:rPr>
                              <w:t>陈仓科技工业园：</w:t>
                            </w:r>
                            <w:r>
                              <w:rPr>
                                <w:rFonts w:hint="eastAsia" w:ascii="楷体_GB2312" w:hAnsi="仿宋" w:eastAsia="楷体_GB2312"/>
                                <w:sz w:val="21"/>
                                <w:szCs w:val="21"/>
                              </w:rPr>
                              <w:t>以机械加工为基础，打造产城融合发展的新平台。</w:t>
                            </w:r>
                            <w:r>
                              <w:rPr>
                                <w:rFonts w:hint="eastAsia" w:ascii="楷体_GB2312" w:hAnsi="仿宋" w:eastAsia="楷体_GB2312"/>
                                <w:b/>
                                <w:sz w:val="21"/>
                                <w:szCs w:val="21"/>
                              </w:rPr>
                              <w:t>陈仓周原工业园：</w:t>
                            </w:r>
                            <w:r>
                              <w:rPr>
                                <w:rFonts w:hint="eastAsia" w:ascii="楷体_GB2312" w:hAnsi="仿宋" w:eastAsia="楷体_GB2312"/>
                                <w:sz w:val="21"/>
                                <w:szCs w:val="21"/>
                              </w:rPr>
                              <w:t>以玻璃化工为龙头，打造特色县域工业园区</w:t>
                            </w:r>
                            <w:r>
                              <w:rPr>
                                <w:rFonts w:hint="eastAsia" w:ascii="楷体_GB2312" w:hAnsi="仿宋" w:eastAsia="楷体_GB2312"/>
                                <w:color w:val="000000"/>
                                <w:sz w:val="21"/>
                                <w:szCs w:val="21"/>
                              </w:rPr>
                              <w:t>。</w:t>
                            </w:r>
                            <w:r>
                              <w:rPr>
                                <w:rFonts w:hint="eastAsia" w:ascii="楷体_GB2312" w:hAnsi="仿宋" w:eastAsia="楷体_GB2312"/>
                                <w:b/>
                                <w:color w:val="000000"/>
                                <w:sz w:val="21"/>
                                <w:szCs w:val="21"/>
                              </w:rPr>
                              <w:t>陈仓区县功工业园：</w:t>
                            </w:r>
                            <w:r>
                              <w:rPr>
                                <w:rFonts w:hint="eastAsia" w:ascii="楷体_GB2312" w:hAnsi="仿宋" w:eastAsia="楷体_GB2312"/>
                                <w:color w:val="000000"/>
                                <w:sz w:val="21"/>
                                <w:szCs w:val="21"/>
                              </w:rPr>
                              <w:t>打造以建材加工为主的生态循环型工业园区。</w:t>
                            </w:r>
                            <w:r>
                              <w:rPr>
                                <w:rFonts w:hint="eastAsia" w:ascii="楷体_GB2312" w:hAnsi="仿宋" w:eastAsia="楷体_GB2312"/>
                                <w:b/>
                                <w:color w:val="000000"/>
                                <w:sz w:val="21"/>
                                <w:szCs w:val="21"/>
                              </w:rPr>
                              <w:t>岐山建材工业园：</w:t>
                            </w:r>
                            <w:r>
                              <w:rPr>
                                <w:rFonts w:hint="eastAsia" w:ascii="楷体_GB2312" w:hAnsi="仿宋" w:eastAsia="楷体_GB2312"/>
                                <w:color w:val="000000"/>
                                <w:sz w:val="21"/>
                                <w:szCs w:val="21"/>
                              </w:rPr>
                              <w:t>以新型建筑材料为主，打造可持续发展的建材工业园。</w:t>
                            </w:r>
                            <w:r>
                              <w:rPr>
                                <w:rFonts w:hint="eastAsia" w:ascii="楷体_GB2312" w:hAnsi="仿宋" w:eastAsia="楷体_GB2312"/>
                                <w:b/>
                                <w:color w:val="000000"/>
                                <w:sz w:val="21"/>
                                <w:szCs w:val="21"/>
                              </w:rPr>
                              <w:t>扶风机械加工工业园：</w:t>
                            </w:r>
                            <w:r>
                              <w:rPr>
                                <w:rFonts w:hint="eastAsia" w:ascii="楷体_GB2312" w:hAnsi="仿宋" w:eastAsia="楷体_GB2312"/>
                                <w:color w:val="000000"/>
                                <w:sz w:val="21"/>
                                <w:szCs w:val="21"/>
                              </w:rPr>
                              <w:t>围绕机械加工打造独具活力的县域工业园。</w:t>
                            </w:r>
                            <w:r>
                              <w:rPr>
                                <w:rFonts w:hint="eastAsia" w:ascii="楷体_GB2312" w:hAnsi="仿宋" w:eastAsia="楷体_GB2312"/>
                                <w:b/>
                                <w:color w:val="000000"/>
                                <w:sz w:val="21"/>
                                <w:szCs w:val="21"/>
                              </w:rPr>
                              <w:t>扶风绛帐工业园：</w:t>
                            </w:r>
                            <w:r>
                              <w:rPr>
                                <w:rFonts w:hint="eastAsia" w:ascii="楷体_GB2312" w:hAnsi="仿宋" w:eastAsia="楷体_GB2312"/>
                                <w:color w:val="000000"/>
                                <w:sz w:val="21"/>
                                <w:szCs w:val="21"/>
                              </w:rPr>
                              <w:t>以食品加工为主导，打造西北最大的省级农产品加工园区。</w:t>
                            </w:r>
                            <w:r>
                              <w:rPr>
                                <w:rFonts w:hint="eastAsia" w:ascii="楷体_GB2312" w:hAnsi="仿宋" w:eastAsia="楷体_GB2312"/>
                                <w:b/>
                                <w:color w:val="000000"/>
                                <w:sz w:val="21"/>
                                <w:szCs w:val="21"/>
                              </w:rPr>
                              <w:t>眉县科技工业园：</w:t>
                            </w:r>
                            <w:r>
                              <w:rPr>
                                <w:rFonts w:hint="eastAsia" w:ascii="楷体_GB2312" w:hAnsi="仿宋" w:eastAsia="楷体_GB2312"/>
                                <w:color w:val="000000"/>
                                <w:sz w:val="21"/>
                                <w:szCs w:val="21"/>
                              </w:rPr>
                              <w:t>以钛及钛合金、新材料加工为主导产业，延伸产业链条，加快钛谷东区建设，打造宝鸡中国钛谷产业基地。</w:t>
                            </w:r>
                            <w:r>
                              <w:rPr>
                                <w:rFonts w:hint="eastAsia" w:ascii="楷体_GB2312" w:hAnsi="仿宋" w:eastAsia="楷体_GB2312"/>
                                <w:b/>
                                <w:color w:val="000000"/>
                                <w:sz w:val="21"/>
                                <w:szCs w:val="21"/>
                              </w:rPr>
                              <w:t>眉县常兴工业园：</w:t>
                            </w:r>
                            <w:r>
                              <w:rPr>
                                <w:rFonts w:hint="eastAsia" w:ascii="楷体_GB2312" w:hAnsi="仿宋" w:eastAsia="楷体_GB2312"/>
                                <w:color w:val="000000"/>
                                <w:sz w:val="21"/>
                                <w:szCs w:val="21"/>
                              </w:rPr>
                              <w:t>发展和壮大纺织业规模，打造西北纺织第一镇。</w:t>
                            </w:r>
                            <w:r>
                              <w:rPr>
                                <w:rFonts w:hint="eastAsia" w:ascii="楷体_GB2312" w:hAnsi="仿宋" w:eastAsia="楷体_GB2312"/>
                                <w:b/>
                                <w:color w:val="000000"/>
                                <w:sz w:val="21"/>
                                <w:szCs w:val="21"/>
                              </w:rPr>
                              <w:t>千阳环保产业园：</w:t>
                            </w:r>
                            <w:r>
                              <w:rPr>
                                <w:rFonts w:hint="eastAsia" w:ascii="楷体_GB2312" w:hAnsi="仿宋" w:eastAsia="楷体_GB2312"/>
                                <w:color w:val="000000"/>
                                <w:sz w:val="21"/>
                                <w:szCs w:val="21"/>
                              </w:rPr>
                              <w:t>以陶瓷和水泥生产为主体产业，建设西北地区最大的陶瓷产业园区。</w:t>
                            </w:r>
                            <w:r>
                              <w:rPr>
                                <w:rFonts w:hint="eastAsia" w:ascii="楷体_GB2312" w:hAnsi="仿宋" w:eastAsia="楷体_GB2312"/>
                                <w:b/>
                                <w:color w:val="000000"/>
                                <w:sz w:val="21"/>
                                <w:szCs w:val="21"/>
                              </w:rPr>
                              <w:t>陇县工业园：</w:t>
                            </w:r>
                            <w:r>
                              <w:rPr>
                                <w:rFonts w:hint="eastAsia" w:ascii="楷体_GB2312" w:hAnsi="仿宋" w:eastAsia="楷体_GB2312"/>
                                <w:color w:val="000000"/>
                                <w:sz w:val="21"/>
                                <w:szCs w:val="21"/>
                              </w:rPr>
                              <w:t>打造新型工业产业集群区。</w:t>
                            </w:r>
                            <w:r>
                              <w:rPr>
                                <w:rFonts w:hint="eastAsia" w:ascii="楷体_GB2312" w:hAnsi="仿宋" w:eastAsia="楷体_GB2312"/>
                                <w:b/>
                                <w:color w:val="000000"/>
                                <w:sz w:val="21"/>
                                <w:szCs w:val="21"/>
                              </w:rPr>
                              <w:t>陇县新型建材工业园：</w:t>
                            </w:r>
                            <w:r>
                              <w:rPr>
                                <w:rFonts w:hint="eastAsia" w:ascii="楷体_GB2312" w:hAnsi="仿宋" w:eastAsia="楷体_GB2312"/>
                                <w:color w:val="000000"/>
                                <w:sz w:val="21"/>
                                <w:szCs w:val="21"/>
                              </w:rPr>
                              <w:t>打造以建筑装饰石材、木制品加工、新型玻璃制品等绿色环保建材工业为主的新型建材工业园。</w:t>
                            </w:r>
                            <w:r>
                              <w:rPr>
                                <w:rFonts w:hint="eastAsia" w:ascii="楷体_GB2312" w:hAnsi="仿宋" w:eastAsia="楷体_GB2312"/>
                                <w:b/>
                                <w:color w:val="000000"/>
                                <w:sz w:val="21"/>
                                <w:szCs w:val="21"/>
                              </w:rPr>
                              <w:t>凤州现代科技产业园区：</w:t>
                            </w:r>
                            <w:r>
                              <w:rPr>
                                <w:rFonts w:hint="eastAsia" w:ascii="楷体_GB2312" w:hAnsi="仿宋" w:eastAsia="楷体_GB2312"/>
                                <w:color w:val="000000"/>
                                <w:sz w:val="21"/>
                                <w:szCs w:val="21"/>
                              </w:rPr>
                              <w:t>主要以机械加工业、工业物流、新能源、新材料为主导产业。</w:t>
                            </w:r>
                            <w:r>
                              <w:rPr>
                                <w:rFonts w:hint="eastAsia" w:ascii="楷体_GB2312" w:hAnsi="仿宋" w:eastAsia="楷体_GB2312"/>
                                <w:b/>
                                <w:color w:val="000000"/>
                                <w:sz w:val="21"/>
                                <w:szCs w:val="21"/>
                              </w:rPr>
                              <w:t>凤县留凤关循环经济园区：</w:t>
                            </w:r>
                            <w:r>
                              <w:rPr>
                                <w:rFonts w:hint="eastAsia" w:ascii="楷体_GB2312" w:hAnsi="仿宋" w:eastAsia="楷体_GB2312"/>
                                <w:color w:val="000000"/>
                                <w:sz w:val="21"/>
                                <w:szCs w:val="21"/>
                              </w:rPr>
                              <w:t>以有色金属产业开采、加工、销售、循环利用为一体的产业集群。</w:t>
                            </w:r>
                            <w:r>
                              <w:rPr>
                                <w:rFonts w:hint="eastAsia" w:ascii="楷体_GB2312" w:hAnsi="仿宋" w:eastAsia="楷体_GB2312"/>
                                <w:b/>
                                <w:color w:val="000000"/>
                                <w:sz w:val="21"/>
                                <w:szCs w:val="21"/>
                              </w:rPr>
                              <w:t>太白县生态工业园：</w:t>
                            </w:r>
                            <w:r>
                              <w:rPr>
                                <w:rFonts w:hint="eastAsia" w:ascii="楷体_GB2312" w:hAnsi="仿宋" w:eastAsia="楷体_GB2312"/>
                                <w:color w:val="000000"/>
                                <w:sz w:val="21"/>
                                <w:szCs w:val="21"/>
                              </w:rPr>
                              <w:t>以绿色蔬菜深加工、中药材提取加工等为重点的生态工业园区。</w:t>
                            </w:r>
                            <w:r>
                              <w:rPr>
                                <w:rFonts w:hint="eastAsia" w:ascii="楷体_GB2312" w:hAnsi="仿宋" w:eastAsia="楷体_GB2312"/>
                                <w:b/>
                                <w:color w:val="000000"/>
                                <w:sz w:val="21"/>
                                <w:szCs w:val="21"/>
                              </w:rPr>
                              <w:t>麟游县天堂煤炭产业循环经济工业园</w:t>
                            </w:r>
                            <w:r>
                              <w:rPr>
                                <w:rFonts w:hint="eastAsia" w:ascii="楷体_GB2312" w:hAnsi="仿宋" w:eastAsia="楷体_GB2312"/>
                                <w:b/>
                                <w:sz w:val="21"/>
                                <w:szCs w:val="21"/>
                              </w:rPr>
                              <w:t>：</w:t>
                            </w:r>
                            <w:r>
                              <w:rPr>
                                <w:rFonts w:hint="eastAsia" w:ascii="楷体_GB2312" w:hAnsi="仿宋" w:eastAsia="楷体_GB2312"/>
                                <w:sz w:val="21"/>
                                <w:szCs w:val="21"/>
                              </w:rPr>
                              <w:t>发展煤及煤化工产品，打造煤炭产业循环经济示范园。</w:t>
                            </w:r>
                          </w:p>
                        </w:txbxContent>
                      </wps:txbx>
                      <wps:bodyPr wrap="square" upright="1"/>
                    </wps:wsp>
                  </a:graphicData>
                </a:graphic>
              </wp:anchor>
            </w:drawing>
          </mc:Choice>
          <mc:Fallback>
            <w:pict>
              <v:shape id="文本框 153" o:spid="_x0000_s1026" o:spt="202" type="#_x0000_t202" style="position:absolute;left:0pt;margin-left:0.6pt;margin-top:330.75pt;height:292.65pt;width:435.3pt;mso-position-horizontal-relative:margin;mso-position-vertical-relative:margin;mso-wrap-distance-bottom:0pt;mso-wrap-distance-left:9pt;mso-wrap-distance-right:9pt;mso-wrap-distance-top:0pt;z-index:251707392;mso-width-relative:page;mso-height-relative:page;" fillcolor="#FFFFFF" filled="t" stroked="t" coordsize="21600,21600" o:gfxdata="UEsDBAoAAAAAAIdO4kAAAAAAAAAAAAAAAAAEAAAAZHJzL1BLAwQUAAAACACHTuJA8Iwb0tcAAAAK&#10;AQAADwAAAGRycy9kb3ducmV2LnhtbE2PzU7DMBCE70i8g7VIXBB1UoobQpwekEBwKwXB1Y23SYS9&#10;DrGblrdne4Lj6BvNT7U6eicmHGMfSEM+y0AgNcH21Gp4f3u8LkDEZMgaFwg1/GCEVX1+VpnShgO9&#10;4rRJreAQiqXR0KU0lFLGpkNv4iwMSMx2YfQmsRxbaUdz4HDv5DzLlPSmJ27ozIAPHTZfm73XUCye&#10;p8/4crP+aNTO3aWr5fT0PWp9eZFn9yASHtOfGU7zeTrUvGkb9mSjcKznbNSgVH4LgnmxzPnK9gQW&#10;qgBZV/L/hfoXUEsDBBQAAAAIAIdO4kD0rkUUGQIAAEgEAAAOAAAAZHJzL2Uyb0RvYy54bWytVEuS&#10;0zAQ3VPFHVTaE8cJDoMrzlRBCBsKqBo4gCLLtqr0Q63EzgXgBqzYsJ9z5Ry05EzmA4ss8MJuqVuv&#10;u99reXk9aEX2woO0pqL5ZEqJMNzW0rQV/fpl8+KKEgjM1ExZIyp6EECvV8+fLXtXipntrKqFJwhi&#10;oOxdRbsQXJllwDuhGUysEwadjfWaBVz6Nqs96xFdq2w2nS6y3vraecsFAO6uRyc9IfpLAG3TSC7W&#10;lu+0MGFE9UKxgC1BJx3QVaq2aQQPn5oGRCCqothpSG9MgvY2vrPVkpWtZ66T/FQCu6SEJz1pJg0m&#10;PUOtWWBk5+VfUFpyb8E2YcKtzsZGEiPYRT59ws1Nx5xIvSDV4M6kw/+D5R/3nz2RdUVfou6GaVT8&#10;+PPH8dft8fd3khfzyFDvoMTAG4ehYXhjB5ybu33Azdj40Hgdv9gSQT/yezjzK4ZAOG4WxexqnqOL&#10;o2/+Kl8siiLiZPfHnYfwXlhNolFRjwImXtn+A4Qx9C4kZgOrZL2RSqWFb7dvlSd7hmJv0nNCfxSm&#10;DOkr+rqYFVgIwwlucHLQ1A5ZANOmfI9OwEPgaXr+BRwLWzPoxgISQgxjpZZB+GR1gtXvTE3CwSHR&#10;Bi8YjcVoUVOiBN7HaKXIwKS6JBK5UwYpjBqNWkQrDNsBYaK5tfUBdetxxrG9bzvmMefOedl2SHDS&#10;MR3GAUtKnC5DnOCH65Ti/gew+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jBvS1wAAAAoBAAAP&#10;AAAAAAAAAAEAIAAAACIAAABkcnMvZG93bnJldi54bWxQSwECFAAUAAAACACHTuJA9K5FFBkCAABI&#10;BAAADgAAAAAAAAABACAAAAAmAQAAZHJzL2Uyb0RvYy54bWxQSwUGAAAAAAYABgBZAQAAsQUAAAAA&#10;">
                <v:fill on="t" focussize="0,0"/>
                <v:stroke color="#000000" joinstyle="miter"/>
                <v:imagedata o:title=""/>
                <o:lock v:ext="edit" aspectratio="f"/>
                <v:textbox>
                  <w:txbxContent>
                    <w:p>
                      <w:pPr>
                        <w:spacing w:after="0" w:line="320" w:lineRule="exact"/>
                        <w:rPr>
                          <w:rFonts w:hint="eastAsia" w:ascii="黑体" w:hAnsi="黑体" w:eastAsia="黑体" w:cs="仿宋_GB2312"/>
                          <w:b/>
                          <w:bCs/>
                          <w:sz w:val="21"/>
                          <w:szCs w:val="21"/>
                        </w:rPr>
                      </w:pPr>
                      <w:r>
                        <w:rPr>
                          <w:rFonts w:hint="eastAsia" w:ascii="楷体_GB2312" w:hAnsi="黑体" w:eastAsia="楷体_GB2312" w:cs="仿宋_GB2312"/>
                          <w:b/>
                          <w:bCs/>
                          <w:sz w:val="21"/>
                          <w:szCs w:val="21"/>
                        </w:rPr>
                        <w:t>专栏21</w:t>
                      </w:r>
                    </w:p>
                    <w:p>
                      <w:pPr>
                        <w:spacing w:after="0" w:line="320" w:lineRule="exact"/>
                        <w:jc w:val="center"/>
                        <w:rPr>
                          <w:rFonts w:hint="eastAsia" w:ascii="黑体" w:hAnsi="黑体" w:eastAsia="黑体" w:cs="仿宋_GB2312"/>
                          <w:b/>
                          <w:bCs/>
                          <w:sz w:val="21"/>
                          <w:szCs w:val="21"/>
                        </w:rPr>
                      </w:pPr>
                      <w:r>
                        <w:rPr>
                          <w:rFonts w:hint="eastAsia" w:ascii="黑体" w:hAnsi="黑体" w:eastAsia="黑体" w:cs="仿宋_GB2312"/>
                          <w:b/>
                          <w:bCs/>
                          <w:sz w:val="21"/>
                          <w:szCs w:val="21"/>
                        </w:rPr>
                        <w:t>重点县域工业园区发展方向</w:t>
                      </w:r>
                    </w:p>
                    <w:p>
                      <w:pPr>
                        <w:spacing w:after="0" w:line="320" w:lineRule="exact"/>
                        <w:ind w:firstLine="527" w:firstLineChars="250"/>
                        <w:rPr>
                          <w:rFonts w:ascii="楷体_GB2312" w:hAnsi="仿宋" w:eastAsia="楷体_GB2312"/>
                          <w:szCs w:val="21"/>
                        </w:rPr>
                      </w:pPr>
                      <w:r>
                        <w:rPr>
                          <w:rFonts w:hint="eastAsia" w:ascii="楷体_GB2312" w:hAnsi="仿宋" w:eastAsia="楷体_GB2312"/>
                          <w:b/>
                          <w:sz w:val="21"/>
                          <w:szCs w:val="21"/>
                        </w:rPr>
                        <w:t>金台金河工业园：</w:t>
                      </w:r>
                      <w:r>
                        <w:rPr>
                          <w:rFonts w:hint="eastAsia" w:ascii="楷体_GB2312" w:hAnsi="仿宋" w:eastAsia="楷体_GB2312"/>
                          <w:sz w:val="21"/>
                          <w:szCs w:val="21"/>
                        </w:rPr>
                        <w:t>以机械制造为核心，打造配套大集团、大企业的中小企业工业园。</w:t>
                      </w:r>
                      <w:r>
                        <w:rPr>
                          <w:rFonts w:hint="eastAsia" w:ascii="楷体_GB2312" w:hAnsi="仿宋" w:eastAsia="楷体_GB2312"/>
                          <w:b/>
                          <w:sz w:val="21"/>
                          <w:szCs w:val="21"/>
                        </w:rPr>
                        <w:t>渭滨姜谭工业园：</w:t>
                      </w:r>
                      <w:r>
                        <w:rPr>
                          <w:rFonts w:hint="eastAsia" w:ascii="楷体_GB2312" w:hAnsi="仿宋" w:eastAsia="楷体_GB2312"/>
                          <w:sz w:val="21"/>
                          <w:szCs w:val="21"/>
                        </w:rPr>
                        <w:t>以互联网产业为趋势，以装备制造业为核心，打造一流工业集中区。</w:t>
                      </w:r>
                      <w:r>
                        <w:rPr>
                          <w:rFonts w:hint="eastAsia" w:ascii="楷体_GB2312" w:hAnsi="仿宋" w:eastAsia="楷体_GB2312"/>
                          <w:b/>
                          <w:sz w:val="21"/>
                          <w:szCs w:val="21"/>
                        </w:rPr>
                        <w:t>陈仓科技工业园：</w:t>
                      </w:r>
                      <w:r>
                        <w:rPr>
                          <w:rFonts w:hint="eastAsia" w:ascii="楷体_GB2312" w:hAnsi="仿宋" w:eastAsia="楷体_GB2312"/>
                          <w:sz w:val="21"/>
                          <w:szCs w:val="21"/>
                        </w:rPr>
                        <w:t>以机械加工为基础，打造产城融合发展的新平台。</w:t>
                      </w:r>
                      <w:r>
                        <w:rPr>
                          <w:rFonts w:hint="eastAsia" w:ascii="楷体_GB2312" w:hAnsi="仿宋" w:eastAsia="楷体_GB2312"/>
                          <w:b/>
                          <w:sz w:val="21"/>
                          <w:szCs w:val="21"/>
                        </w:rPr>
                        <w:t>陈仓周原工业园：</w:t>
                      </w:r>
                      <w:r>
                        <w:rPr>
                          <w:rFonts w:hint="eastAsia" w:ascii="楷体_GB2312" w:hAnsi="仿宋" w:eastAsia="楷体_GB2312"/>
                          <w:sz w:val="21"/>
                          <w:szCs w:val="21"/>
                        </w:rPr>
                        <w:t>以玻璃化工为龙头，打造特色县域工业园区</w:t>
                      </w:r>
                      <w:r>
                        <w:rPr>
                          <w:rFonts w:hint="eastAsia" w:ascii="楷体_GB2312" w:hAnsi="仿宋" w:eastAsia="楷体_GB2312"/>
                          <w:color w:val="000000"/>
                          <w:sz w:val="21"/>
                          <w:szCs w:val="21"/>
                        </w:rPr>
                        <w:t>。</w:t>
                      </w:r>
                      <w:r>
                        <w:rPr>
                          <w:rFonts w:hint="eastAsia" w:ascii="楷体_GB2312" w:hAnsi="仿宋" w:eastAsia="楷体_GB2312"/>
                          <w:b/>
                          <w:color w:val="000000"/>
                          <w:sz w:val="21"/>
                          <w:szCs w:val="21"/>
                        </w:rPr>
                        <w:t>陈仓区县功工业园：</w:t>
                      </w:r>
                      <w:r>
                        <w:rPr>
                          <w:rFonts w:hint="eastAsia" w:ascii="楷体_GB2312" w:hAnsi="仿宋" w:eastAsia="楷体_GB2312"/>
                          <w:color w:val="000000"/>
                          <w:sz w:val="21"/>
                          <w:szCs w:val="21"/>
                        </w:rPr>
                        <w:t>打造以建材加工为主的生态循环型工业园区。</w:t>
                      </w:r>
                      <w:r>
                        <w:rPr>
                          <w:rFonts w:hint="eastAsia" w:ascii="楷体_GB2312" w:hAnsi="仿宋" w:eastAsia="楷体_GB2312"/>
                          <w:b/>
                          <w:color w:val="000000"/>
                          <w:sz w:val="21"/>
                          <w:szCs w:val="21"/>
                        </w:rPr>
                        <w:t>岐山建材工业园：</w:t>
                      </w:r>
                      <w:r>
                        <w:rPr>
                          <w:rFonts w:hint="eastAsia" w:ascii="楷体_GB2312" w:hAnsi="仿宋" w:eastAsia="楷体_GB2312"/>
                          <w:color w:val="000000"/>
                          <w:sz w:val="21"/>
                          <w:szCs w:val="21"/>
                        </w:rPr>
                        <w:t>以新型建筑材料为主，打造可持续发展的建材工业园。</w:t>
                      </w:r>
                      <w:r>
                        <w:rPr>
                          <w:rFonts w:hint="eastAsia" w:ascii="楷体_GB2312" w:hAnsi="仿宋" w:eastAsia="楷体_GB2312"/>
                          <w:b/>
                          <w:color w:val="000000"/>
                          <w:sz w:val="21"/>
                          <w:szCs w:val="21"/>
                        </w:rPr>
                        <w:t>扶风机械加工工业园：</w:t>
                      </w:r>
                      <w:r>
                        <w:rPr>
                          <w:rFonts w:hint="eastAsia" w:ascii="楷体_GB2312" w:hAnsi="仿宋" w:eastAsia="楷体_GB2312"/>
                          <w:color w:val="000000"/>
                          <w:sz w:val="21"/>
                          <w:szCs w:val="21"/>
                        </w:rPr>
                        <w:t>围绕机械加工打造独具活力的县域工业园。</w:t>
                      </w:r>
                      <w:r>
                        <w:rPr>
                          <w:rFonts w:hint="eastAsia" w:ascii="楷体_GB2312" w:hAnsi="仿宋" w:eastAsia="楷体_GB2312"/>
                          <w:b/>
                          <w:color w:val="000000"/>
                          <w:sz w:val="21"/>
                          <w:szCs w:val="21"/>
                        </w:rPr>
                        <w:t>扶风绛帐工业园：</w:t>
                      </w:r>
                      <w:r>
                        <w:rPr>
                          <w:rFonts w:hint="eastAsia" w:ascii="楷体_GB2312" w:hAnsi="仿宋" w:eastAsia="楷体_GB2312"/>
                          <w:color w:val="000000"/>
                          <w:sz w:val="21"/>
                          <w:szCs w:val="21"/>
                        </w:rPr>
                        <w:t>以食品加工为主导，打造西北最大的省级农产品加工园区。</w:t>
                      </w:r>
                      <w:r>
                        <w:rPr>
                          <w:rFonts w:hint="eastAsia" w:ascii="楷体_GB2312" w:hAnsi="仿宋" w:eastAsia="楷体_GB2312"/>
                          <w:b/>
                          <w:color w:val="000000"/>
                          <w:sz w:val="21"/>
                          <w:szCs w:val="21"/>
                        </w:rPr>
                        <w:t>眉县科技工业园：</w:t>
                      </w:r>
                      <w:r>
                        <w:rPr>
                          <w:rFonts w:hint="eastAsia" w:ascii="楷体_GB2312" w:hAnsi="仿宋" w:eastAsia="楷体_GB2312"/>
                          <w:color w:val="000000"/>
                          <w:sz w:val="21"/>
                          <w:szCs w:val="21"/>
                        </w:rPr>
                        <w:t>以钛及钛合金、新材料加工为主导产业，延伸产业链条，加快钛谷东区建设，打造宝鸡中国钛谷产业基地。</w:t>
                      </w:r>
                      <w:r>
                        <w:rPr>
                          <w:rFonts w:hint="eastAsia" w:ascii="楷体_GB2312" w:hAnsi="仿宋" w:eastAsia="楷体_GB2312"/>
                          <w:b/>
                          <w:color w:val="000000"/>
                          <w:sz w:val="21"/>
                          <w:szCs w:val="21"/>
                        </w:rPr>
                        <w:t>眉县常兴工业园：</w:t>
                      </w:r>
                      <w:r>
                        <w:rPr>
                          <w:rFonts w:hint="eastAsia" w:ascii="楷体_GB2312" w:hAnsi="仿宋" w:eastAsia="楷体_GB2312"/>
                          <w:color w:val="000000"/>
                          <w:sz w:val="21"/>
                          <w:szCs w:val="21"/>
                        </w:rPr>
                        <w:t>发展和壮大纺织业规模，打造西北纺织第一镇。</w:t>
                      </w:r>
                      <w:r>
                        <w:rPr>
                          <w:rFonts w:hint="eastAsia" w:ascii="楷体_GB2312" w:hAnsi="仿宋" w:eastAsia="楷体_GB2312"/>
                          <w:b/>
                          <w:color w:val="000000"/>
                          <w:sz w:val="21"/>
                          <w:szCs w:val="21"/>
                        </w:rPr>
                        <w:t>千阳环保产业园：</w:t>
                      </w:r>
                      <w:r>
                        <w:rPr>
                          <w:rFonts w:hint="eastAsia" w:ascii="楷体_GB2312" w:hAnsi="仿宋" w:eastAsia="楷体_GB2312"/>
                          <w:color w:val="000000"/>
                          <w:sz w:val="21"/>
                          <w:szCs w:val="21"/>
                        </w:rPr>
                        <w:t>以陶瓷和水泥生产为主体产业，建设西北地区最大的陶瓷产业园区。</w:t>
                      </w:r>
                      <w:r>
                        <w:rPr>
                          <w:rFonts w:hint="eastAsia" w:ascii="楷体_GB2312" w:hAnsi="仿宋" w:eastAsia="楷体_GB2312"/>
                          <w:b/>
                          <w:color w:val="000000"/>
                          <w:sz w:val="21"/>
                          <w:szCs w:val="21"/>
                        </w:rPr>
                        <w:t>陇县工业园：</w:t>
                      </w:r>
                      <w:r>
                        <w:rPr>
                          <w:rFonts w:hint="eastAsia" w:ascii="楷体_GB2312" w:hAnsi="仿宋" w:eastAsia="楷体_GB2312"/>
                          <w:color w:val="000000"/>
                          <w:sz w:val="21"/>
                          <w:szCs w:val="21"/>
                        </w:rPr>
                        <w:t>打造新型工业产业集群区。</w:t>
                      </w:r>
                      <w:r>
                        <w:rPr>
                          <w:rFonts w:hint="eastAsia" w:ascii="楷体_GB2312" w:hAnsi="仿宋" w:eastAsia="楷体_GB2312"/>
                          <w:b/>
                          <w:color w:val="000000"/>
                          <w:sz w:val="21"/>
                          <w:szCs w:val="21"/>
                        </w:rPr>
                        <w:t>陇县新型建材工业园：</w:t>
                      </w:r>
                      <w:r>
                        <w:rPr>
                          <w:rFonts w:hint="eastAsia" w:ascii="楷体_GB2312" w:hAnsi="仿宋" w:eastAsia="楷体_GB2312"/>
                          <w:color w:val="000000"/>
                          <w:sz w:val="21"/>
                          <w:szCs w:val="21"/>
                        </w:rPr>
                        <w:t>打造以建筑装饰石材、木制品加工、新型玻璃制品等绿色环保建材工业为主的新型建材工业园。</w:t>
                      </w:r>
                      <w:r>
                        <w:rPr>
                          <w:rFonts w:hint="eastAsia" w:ascii="楷体_GB2312" w:hAnsi="仿宋" w:eastAsia="楷体_GB2312"/>
                          <w:b/>
                          <w:color w:val="000000"/>
                          <w:sz w:val="21"/>
                          <w:szCs w:val="21"/>
                        </w:rPr>
                        <w:t>凤州现代科技产业园区：</w:t>
                      </w:r>
                      <w:r>
                        <w:rPr>
                          <w:rFonts w:hint="eastAsia" w:ascii="楷体_GB2312" w:hAnsi="仿宋" w:eastAsia="楷体_GB2312"/>
                          <w:color w:val="000000"/>
                          <w:sz w:val="21"/>
                          <w:szCs w:val="21"/>
                        </w:rPr>
                        <w:t>主要以机械加工业、工业物流、新能源、新材料为主导产业。</w:t>
                      </w:r>
                      <w:r>
                        <w:rPr>
                          <w:rFonts w:hint="eastAsia" w:ascii="楷体_GB2312" w:hAnsi="仿宋" w:eastAsia="楷体_GB2312"/>
                          <w:b/>
                          <w:color w:val="000000"/>
                          <w:sz w:val="21"/>
                          <w:szCs w:val="21"/>
                        </w:rPr>
                        <w:t>凤县留凤关循环经济园区：</w:t>
                      </w:r>
                      <w:r>
                        <w:rPr>
                          <w:rFonts w:hint="eastAsia" w:ascii="楷体_GB2312" w:hAnsi="仿宋" w:eastAsia="楷体_GB2312"/>
                          <w:color w:val="000000"/>
                          <w:sz w:val="21"/>
                          <w:szCs w:val="21"/>
                        </w:rPr>
                        <w:t>以有色金属产业开采、加工、销售、循环利用为一体的产业集群。</w:t>
                      </w:r>
                      <w:r>
                        <w:rPr>
                          <w:rFonts w:hint="eastAsia" w:ascii="楷体_GB2312" w:hAnsi="仿宋" w:eastAsia="楷体_GB2312"/>
                          <w:b/>
                          <w:color w:val="000000"/>
                          <w:sz w:val="21"/>
                          <w:szCs w:val="21"/>
                        </w:rPr>
                        <w:t>太白县生态工业园：</w:t>
                      </w:r>
                      <w:r>
                        <w:rPr>
                          <w:rFonts w:hint="eastAsia" w:ascii="楷体_GB2312" w:hAnsi="仿宋" w:eastAsia="楷体_GB2312"/>
                          <w:color w:val="000000"/>
                          <w:sz w:val="21"/>
                          <w:szCs w:val="21"/>
                        </w:rPr>
                        <w:t>以绿色蔬菜深加工、中药材提取加工等为重点的生态工业园区。</w:t>
                      </w:r>
                      <w:r>
                        <w:rPr>
                          <w:rFonts w:hint="eastAsia" w:ascii="楷体_GB2312" w:hAnsi="仿宋" w:eastAsia="楷体_GB2312"/>
                          <w:b/>
                          <w:color w:val="000000"/>
                          <w:sz w:val="21"/>
                          <w:szCs w:val="21"/>
                        </w:rPr>
                        <w:t>麟游县天堂煤炭产业循环经济工业园</w:t>
                      </w:r>
                      <w:r>
                        <w:rPr>
                          <w:rFonts w:hint="eastAsia" w:ascii="楷体_GB2312" w:hAnsi="仿宋" w:eastAsia="楷体_GB2312"/>
                          <w:b/>
                          <w:sz w:val="21"/>
                          <w:szCs w:val="21"/>
                        </w:rPr>
                        <w:t>：</w:t>
                      </w:r>
                      <w:r>
                        <w:rPr>
                          <w:rFonts w:hint="eastAsia" w:ascii="楷体_GB2312" w:hAnsi="仿宋" w:eastAsia="楷体_GB2312"/>
                          <w:sz w:val="21"/>
                          <w:szCs w:val="21"/>
                        </w:rPr>
                        <w:t>发展煤及煤化工产品，打造煤炭产业循环经济示范园。</w:t>
                      </w:r>
                    </w:p>
                  </w:txbxContent>
                </v:textbox>
                <w10:wrap type="square"/>
              </v:shape>
            </w:pict>
          </mc:Fallback>
        </mc:AlternateContent>
      </w:r>
    </w:p>
    <w:p>
      <w:pPr>
        <w:spacing w:after="0" w:line="600" w:lineRule="exact"/>
        <w:jc w:val="both"/>
        <w:rPr>
          <w:rFonts w:hint="eastAsia"/>
        </w:rPr>
      </w:pPr>
    </w:p>
    <w:p>
      <w:pPr>
        <w:spacing w:after="0" w:line="600" w:lineRule="exact"/>
        <w:jc w:val="both"/>
        <w:rPr>
          <w:rFonts w:hint="eastAsia"/>
        </w:rPr>
      </w:pPr>
      <w:r>
        <w:rPr>
          <w:lang/>
        </w:rPr>
        <w:drawing>
          <wp:anchor distT="0" distB="0" distL="114300" distR="114300" simplePos="0" relativeHeight="251734016" behindDoc="0" locked="0" layoutInCell="1" allowOverlap="1">
            <wp:simplePos x="0" y="0"/>
            <wp:positionH relativeFrom="column">
              <wp:posOffset>0</wp:posOffset>
            </wp:positionH>
            <wp:positionV relativeFrom="line">
              <wp:posOffset>99060</wp:posOffset>
            </wp:positionV>
            <wp:extent cx="5543550" cy="5172075"/>
            <wp:effectExtent l="57150" t="57150" r="57150" b="66675"/>
            <wp:wrapTopAndBottom/>
            <wp:docPr id="74" name="图片 18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4" descr="25"/>
                    <pic:cNvPicPr>
                      <a:picLocks noChangeAspect="1"/>
                    </pic:cNvPicPr>
                  </pic:nvPicPr>
                  <pic:blipFill>
                    <a:blip r:embed="rId32"/>
                    <a:stretch>
                      <a:fillRect/>
                    </a:stretch>
                  </pic:blipFill>
                  <pic:spPr>
                    <a:xfrm>
                      <a:off x="0" y="0"/>
                      <a:ext cx="5543550" cy="5172075"/>
                    </a:xfrm>
                    <a:prstGeom prst="rect">
                      <a:avLst/>
                    </a:prstGeom>
                    <a:noFill/>
                    <a:ln w="57150" cap="flat" cmpd="thickThin">
                      <a:solidFill>
                        <a:srgbClr val="808080"/>
                      </a:solidFill>
                      <a:prstDash val="solid"/>
                      <a:miter/>
                      <a:headEnd type="none" w="med" len="med"/>
                      <a:tailEnd type="none" w="med" len="med"/>
                    </a:ln>
                  </pic:spPr>
                </pic:pic>
              </a:graphicData>
            </a:graphic>
          </wp:anchor>
        </w:drawing>
      </w:r>
    </w:p>
    <w:p>
      <w:pPr>
        <w:spacing w:after="0" w:line="560" w:lineRule="exact"/>
        <w:jc w:val="center"/>
        <w:rPr>
          <w:rFonts w:hint="eastAsia" w:ascii="华文中宋" w:hAnsi="华文中宋" w:eastAsia="华文中宋"/>
          <w:b/>
          <w:sz w:val="36"/>
          <w:szCs w:val="36"/>
        </w:rPr>
      </w:pPr>
      <w:r>
        <w:rPr>
          <w:rFonts w:hint="eastAsia" w:ascii="华文中宋" w:hAnsi="华文中宋" w:eastAsia="华文中宋"/>
          <w:b/>
          <w:sz w:val="36"/>
          <w:szCs w:val="36"/>
        </w:rPr>
        <w:t>第四篇  加快推进新型城镇化</w:t>
      </w:r>
    </w:p>
    <w:p>
      <w:pPr>
        <w:spacing w:after="0" w:line="560" w:lineRule="exact"/>
        <w:ind w:firstLine="640" w:firstLineChars="200"/>
        <w:jc w:val="both"/>
        <w:rPr>
          <w:rFonts w:hint="eastAsia" w:ascii="仿宋_GB2312" w:hAnsi="华文中宋" w:eastAsia="仿宋_GB2312"/>
          <w:sz w:val="32"/>
          <w:szCs w:val="32"/>
        </w:rPr>
      </w:pPr>
    </w:p>
    <w:p>
      <w:pPr>
        <w:spacing w:after="0" w:line="560" w:lineRule="exact"/>
        <w:ind w:firstLine="640" w:firstLineChars="200"/>
        <w:jc w:val="both"/>
        <w:rPr>
          <w:rFonts w:hint="eastAsia" w:ascii="仿宋_GB2312" w:hAnsi="华文中宋" w:eastAsia="仿宋_GB2312"/>
          <w:sz w:val="32"/>
          <w:szCs w:val="32"/>
        </w:rPr>
      </w:pPr>
      <w:r>
        <w:rPr>
          <w:rFonts w:hint="eastAsia" w:ascii="仿宋_GB2312" w:hAnsi="??" w:eastAsia="仿宋_GB2312" w:cs="宋体"/>
          <w:sz w:val="32"/>
          <w:szCs w:val="32"/>
        </w:rPr>
        <w:t>尊重城市发展规律，</w:t>
      </w:r>
      <w:r>
        <w:rPr>
          <w:rFonts w:hint="eastAsia" w:ascii="仿宋_GB2312" w:hAnsi="华文中宋" w:eastAsia="仿宋_GB2312"/>
          <w:sz w:val="32"/>
          <w:szCs w:val="32"/>
        </w:rPr>
        <w:t>转变城市发展方式，完善城市治理体系，提高城市治理能力，着力解决城市病等突出问题，不断提升城市环境质量、人民生活质量、城市竞争力，建设和谐宜居、富有活力、具有特色的现代化城市；坚持走城乡统筹、质量并重、重点突破的新型城镇化道路，以做美城市、做强县城、做大集镇、做优社区为着力点，建设关中西部城镇群，推动中心城区、县城、重点镇和一般镇的协调互动发展；坚持城乡政策一致、规划建设一体、公共服务均等、收入水平相当的原则，推进农业转移人口市民化；开展城乡统筹试点工作，以重构居民点体系为主要途径，探索城乡一体化发展经验，全面提升城镇化质量和水平。</w:t>
      </w:r>
      <w:r>
        <w:rPr>
          <w:rFonts w:ascii="仿宋_GB2312" w:hAnsi="华文中宋" w:eastAsia="仿宋_GB2312"/>
          <w:sz w:val="32"/>
          <w:szCs w:val="32"/>
        </w:rPr>
        <w:t>2020</w:t>
      </w:r>
      <w:r>
        <w:rPr>
          <w:rFonts w:hint="eastAsia" w:ascii="仿宋_GB2312" w:hAnsi="华文中宋" w:eastAsia="仿宋_GB2312"/>
          <w:sz w:val="32"/>
          <w:szCs w:val="32"/>
        </w:rPr>
        <w:t>年，全市常住人口城镇化率达到</w:t>
      </w:r>
      <w:r>
        <w:rPr>
          <w:rFonts w:ascii="仿宋_GB2312" w:hAnsi="华文中宋" w:eastAsia="仿宋_GB2312"/>
          <w:sz w:val="32"/>
          <w:szCs w:val="32"/>
        </w:rPr>
        <w:t>60%</w:t>
      </w:r>
      <w:r>
        <w:rPr>
          <w:rFonts w:hint="eastAsia" w:ascii="仿宋_GB2312" w:hAnsi="华文中宋" w:eastAsia="仿宋_GB2312"/>
          <w:sz w:val="32"/>
          <w:szCs w:val="32"/>
        </w:rPr>
        <w:t>，户籍人口城镇化率达到</w:t>
      </w:r>
      <w:r>
        <w:rPr>
          <w:rFonts w:ascii="仿宋_GB2312" w:hAnsi="华文中宋" w:eastAsia="仿宋_GB2312"/>
          <w:sz w:val="32"/>
          <w:szCs w:val="32"/>
        </w:rPr>
        <w:t>40</w:t>
      </w:r>
      <w:r>
        <w:rPr>
          <w:rFonts w:hint="eastAsia" w:ascii="仿宋_GB2312" w:hAnsi="华文中宋" w:eastAsia="仿宋_GB2312"/>
          <w:sz w:val="32"/>
          <w:szCs w:val="32"/>
        </w:rPr>
        <w:t>%。</w:t>
      </w:r>
    </w:p>
    <w:p>
      <w:pPr>
        <w:spacing w:after="0" w:line="560" w:lineRule="exact"/>
        <w:ind w:firstLine="640" w:firstLineChars="200"/>
        <w:jc w:val="both"/>
        <w:rPr>
          <w:rFonts w:hint="eastAsia" w:ascii="仿宋_GB2312" w:hAnsi="华文中宋" w:eastAsia="仿宋_GB2312"/>
          <w:sz w:val="32"/>
          <w:szCs w:val="32"/>
          <w:u w:val="single"/>
          <w:shd w:val="pct10" w:color="auto" w:fill="FFFFFF"/>
        </w:rPr>
      </w:pPr>
    </w:p>
    <w:p>
      <w:pPr>
        <w:spacing w:after="0" w:line="560" w:lineRule="exact"/>
        <w:jc w:val="center"/>
        <w:rPr>
          <w:rFonts w:hint="eastAsia" w:ascii="黑体" w:hAnsi="黑体" w:eastAsia="黑体"/>
          <w:sz w:val="32"/>
          <w:szCs w:val="32"/>
        </w:rPr>
      </w:pPr>
      <w:r>
        <w:rPr>
          <w:rFonts w:hint="eastAsia" w:ascii="黑体" w:hAnsi="黑体" w:eastAsia="黑体"/>
          <w:sz w:val="32"/>
          <w:szCs w:val="32"/>
        </w:rPr>
        <w:t>第十四章  加快中心城区建设</w:t>
      </w:r>
    </w:p>
    <w:p>
      <w:pPr>
        <w:spacing w:after="0" w:line="560" w:lineRule="exact"/>
        <w:jc w:val="center"/>
        <w:rPr>
          <w:rFonts w:hint="eastAsia" w:ascii="黑体" w:hAnsi="黑体" w:eastAsia="黑体"/>
          <w:sz w:val="32"/>
          <w:szCs w:val="32"/>
        </w:rPr>
      </w:pPr>
    </w:p>
    <w:p>
      <w:pPr>
        <w:spacing w:after="0" w:line="560" w:lineRule="exact"/>
        <w:jc w:val="center"/>
        <w:rPr>
          <w:rFonts w:ascii="楷体_GB2312" w:hAnsi="华文中宋" w:eastAsia="楷体_GB2312"/>
          <w:b/>
          <w:sz w:val="32"/>
          <w:szCs w:val="32"/>
        </w:rPr>
      </w:pPr>
      <w:r>
        <w:rPr>
          <w:rFonts w:hint="eastAsia" w:ascii="楷体_GB2312" w:hAnsi="华文中宋" w:eastAsia="楷体_GB2312"/>
          <w:b/>
          <w:sz w:val="32"/>
          <w:szCs w:val="32"/>
        </w:rPr>
        <w:t>第一节</w:t>
      </w:r>
      <w:r>
        <w:rPr>
          <w:rFonts w:ascii="楷体_GB2312" w:hAnsi="华文中宋" w:eastAsia="楷体_GB2312"/>
          <w:b/>
          <w:sz w:val="32"/>
          <w:szCs w:val="32"/>
        </w:rPr>
        <w:tab/>
      </w:r>
      <w:r>
        <w:rPr>
          <w:rFonts w:hint="eastAsia" w:ascii="楷体_GB2312" w:hAnsi="华文中宋" w:eastAsia="楷体_GB2312"/>
          <w:b/>
          <w:sz w:val="32"/>
          <w:szCs w:val="32"/>
        </w:rPr>
        <w:t>加强城市基础设施建设</w:t>
      </w:r>
    </w:p>
    <w:p>
      <w:pPr>
        <w:spacing w:after="0" w:line="560" w:lineRule="exact"/>
        <w:ind w:firstLine="643" w:firstLineChars="200"/>
        <w:jc w:val="both"/>
        <w:rPr>
          <w:rFonts w:hint="eastAsia" w:ascii="仿宋_GB2312" w:hAnsi="华文中宋" w:eastAsia="仿宋_GB2312"/>
          <w:sz w:val="32"/>
          <w:szCs w:val="32"/>
        </w:rPr>
      </w:pPr>
      <w:r>
        <w:rPr>
          <w:rFonts w:hint="eastAsia" w:ascii="仿宋_GB2312" w:hAnsi="华文中宋" w:eastAsia="仿宋_GB2312"/>
          <w:b/>
          <w:sz w:val="32"/>
          <w:szCs w:val="32"/>
        </w:rPr>
        <w:t>提升市政设施管护水平</w:t>
      </w:r>
      <w:r>
        <w:rPr>
          <w:rFonts w:hint="eastAsia" w:ascii="仿宋_GB2312" w:hAnsi="华文中宋" w:eastAsia="仿宋_GB2312"/>
          <w:sz w:val="32"/>
          <w:szCs w:val="32"/>
        </w:rPr>
        <w:t>。推进地下综合管廊建设，按照国家规范及我市地下综合管廊建设规划逐渐实施市政管线（供水、排水、电力、电信、热力）入廊改造建设工程，提升城市地下智能化网络运行管控水平。加强城镇供水设施改造与建设，加强城市电网改造，推进气化宝鸡工程，发展热电联产，增强供热保障能力。加快城镇污水垃圾处理设施建设，实现污水垃圾处理城镇全覆盖，确保设施正常运行。加大防洪、抗震、消防、人防设施建设，加大地震应急避难场所公共设施建设，构建安全可靠的城市防灾减灾体系。</w:t>
      </w:r>
    </w:p>
    <w:p>
      <w:pPr>
        <w:spacing w:after="0" w:line="560" w:lineRule="exact"/>
        <w:ind w:firstLine="643" w:firstLineChars="200"/>
        <w:jc w:val="both"/>
        <w:rPr>
          <w:rFonts w:hint="eastAsia" w:ascii="仿宋_GB2312" w:hAnsi="华文中宋" w:eastAsia="仿宋_GB2312"/>
          <w:sz w:val="32"/>
          <w:szCs w:val="32"/>
        </w:rPr>
      </w:pPr>
      <w:r>
        <w:rPr>
          <w:rFonts w:hint="eastAsia" w:ascii="仿宋_GB2312" w:hAnsi="华文中宋" w:eastAsia="仿宋_GB2312"/>
          <w:b/>
          <w:sz w:val="32"/>
          <w:szCs w:val="32"/>
        </w:rPr>
        <w:t>提升城市交通通行能力。</w:t>
      </w:r>
      <w:r>
        <w:rPr>
          <w:rFonts w:hint="eastAsia" w:ascii="仿宋_GB2312" w:hAnsi="华文中宋" w:eastAsia="仿宋_GB2312"/>
          <w:sz w:val="32"/>
          <w:szCs w:val="32"/>
        </w:rPr>
        <w:t>加大城市道路综合治理和停车设施规划建设力度，缓解城市交通拥堵和停车难等问题。大力实施城市畅通工程，科学合理规划建设市区跨河桥梁，依托连霍过境线，配套建设城市快速干线，</w:t>
      </w:r>
      <w:r>
        <w:rPr>
          <w:rFonts w:ascii="仿宋_GB2312" w:hAnsi="华文中宋" w:eastAsia="仿宋_GB2312"/>
          <w:sz w:val="32"/>
          <w:szCs w:val="32"/>
        </w:rPr>
        <w:t>快速疏解城市中组团间</w:t>
      </w:r>
      <w:r>
        <w:rPr>
          <w:rFonts w:hint="eastAsia" w:ascii="仿宋_GB2312" w:hAnsi="华文中宋" w:eastAsia="仿宋_GB2312"/>
          <w:sz w:val="32"/>
          <w:szCs w:val="32"/>
        </w:rPr>
        <w:t>及</w:t>
      </w:r>
      <w:r>
        <w:rPr>
          <w:rFonts w:ascii="仿宋_GB2312" w:hAnsi="华文中宋" w:eastAsia="仿宋_GB2312"/>
          <w:sz w:val="32"/>
          <w:szCs w:val="32"/>
        </w:rPr>
        <w:t>大片区间长距离、大流量机动车流或者穿越城市的过境车流</w:t>
      </w:r>
      <w:r>
        <w:rPr>
          <w:rFonts w:hint="eastAsia" w:ascii="仿宋_GB2312" w:hAnsi="华文中宋" w:eastAsia="仿宋_GB2312"/>
          <w:sz w:val="32"/>
          <w:szCs w:val="32"/>
        </w:rPr>
        <w:t>。谋划建设中心城市立交及</w:t>
      </w:r>
      <w:r>
        <w:rPr>
          <w:rFonts w:ascii="仿宋_GB2312" w:hAnsi="华文中宋" w:eastAsia="仿宋_GB2312"/>
          <w:sz w:val="32"/>
          <w:szCs w:val="32"/>
        </w:rPr>
        <w:t>主干</w:t>
      </w:r>
      <w:r>
        <w:rPr>
          <w:rFonts w:hint="eastAsia" w:ascii="仿宋_GB2312" w:hAnsi="华文中宋" w:eastAsia="仿宋_GB2312"/>
          <w:sz w:val="32"/>
          <w:szCs w:val="32"/>
        </w:rPr>
        <w:t>道</w:t>
      </w:r>
      <w:r>
        <w:rPr>
          <w:rFonts w:ascii="仿宋_GB2312" w:hAnsi="华文中宋" w:eastAsia="仿宋_GB2312"/>
          <w:sz w:val="32"/>
          <w:szCs w:val="32"/>
        </w:rPr>
        <w:t>路</w:t>
      </w:r>
      <w:r>
        <w:rPr>
          <w:rFonts w:hint="eastAsia" w:ascii="仿宋_GB2312" w:hAnsi="华文中宋" w:eastAsia="仿宋_GB2312"/>
          <w:sz w:val="32"/>
          <w:szCs w:val="32"/>
        </w:rPr>
        <w:t>，</w:t>
      </w:r>
      <w:r>
        <w:rPr>
          <w:rFonts w:ascii="仿宋_GB2312" w:hAnsi="华文中宋" w:eastAsia="仿宋_GB2312"/>
          <w:sz w:val="32"/>
          <w:szCs w:val="32"/>
        </w:rPr>
        <w:t>连接城市的各个功能分区，</w:t>
      </w:r>
      <w:r>
        <w:rPr>
          <w:rFonts w:hint="eastAsia" w:ascii="仿宋_GB2312" w:hAnsi="华文中宋" w:eastAsia="仿宋_GB2312"/>
          <w:sz w:val="32"/>
          <w:szCs w:val="32"/>
        </w:rPr>
        <w:t>提升城市通行能力。增加公共交通线路，提升公交运力。</w:t>
      </w:r>
    </w:p>
    <w:p>
      <w:pPr>
        <w:spacing w:after="0" w:line="560" w:lineRule="exact"/>
        <w:jc w:val="center"/>
        <w:rPr>
          <w:rFonts w:ascii="楷体_GB2312" w:hAnsi="楷体" w:eastAsia="楷体_GB2312"/>
          <w:b/>
          <w:sz w:val="32"/>
          <w:szCs w:val="32"/>
        </w:rPr>
      </w:pPr>
    </w:p>
    <w:p>
      <w:pPr>
        <w:spacing w:after="0" w:line="560" w:lineRule="exact"/>
        <w:jc w:val="center"/>
        <w:rPr>
          <w:rFonts w:hint="eastAsia" w:ascii="楷体_GB2312" w:hAnsi="楷体" w:eastAsia="楷体_GB2312"/>
          <w:b/>
          <w:sz w:val="32"/>
          <w:szCs w:val="32"/>
        </w:rPr>
      </w:pPr>
      <w:r>
        <w:rPr>
          <w:rFonts w:hint="eastAsia" w:ascii="楷体_GB2312" w:hAnsi="楷体" w:eastAsia="楷体_GB2312"/>
          <w:b/>
          <w:sz w:val="32"/>
          <w:szCs w:val="32"/>
        </w:rPr>
        <w:t>第二节  聚力中心城区重点板块</w:t>
      </w:r>
    </w:p>
    <w:p>
      <w:pPr>
        <w:spacing w:after="0" w:line="560" w:lineRule="exact"/>
        <w:ind w:firstLine="640" w:firstLineChars="200"/>
        <w:jc w:val="both"/>
        <w:rPr>
          <w:rFonts w:hint="eastAsia" w:ascii="仿宋_GB2312" w:eastAsia="仿宋_GB2312"/>
          <w:color w:val="000000"/>
          <w:sz w:val="32"/>
          <w:szCs w:val="32"/>
        </w:rPr>
      </w:pPr>
      <w:r>
        <w:rPr>
          <w:rFonts w:hint="eastAsia" w:ascii="仿宋_GB2312" w:eastAsia="仿宋_GB2312"/>
          <w:sz w:val="32"/>
          <w:szCs w:val="32"/>
        </w:rPr>
        <w:t>金台区、渭滨区、陈仓区及高新区作为宝鸡中心城市的发展核心区域，要根据国家《关中-天水经济区发展规划》，以“一中心四基地”战略定位为统领，以建成关天经济区副中心城市为目标，聚</w:t>
      </w:r>
      <w:r>
        <w:rPr>
          <w:rFonts w:hint="eastAsia" w:ascii="仿宋_GB2312" w:eastAsia="仿宋_GB2312"/>
          <w:color w:val="000000"/>
          <w:sz w:val="32"/>
          <w:szCs w:val="32"/>
        </w:rPr>
        <w:t>力高新区</w:t>
      </w:r>
      <w:r>
        <w:rPr>
          <w:rFonts w:ascii="仿宋_GB2312" w:eastAsia="仿宋_GB2312"/>
          <w:color w:val="000000"/>
          <w:sz w:val="32"/>
          <w:szCs w:val="32"/>
        </w:rPr>
        <w:t>科技新城、</w:t>
      </w:r>
      <w:r>
        <w:rPr>
          <w:rFonts w:hint="eastAsia" w:ascii="仿宋_GB2312" w:eastAsia="仿宋_GB2312"/>
          <w:color w:val="000000"/>
          <w:sz w:val="32"/>
          <w:szCs w:val="32"/>
        </w:rPr>
        <w:t>蟠龙新</w:t>
      </w:r>
      <w:r>
        <w:rPr>
          <w:rFonts w:hint="eastAsia" w:ascii="仿宋_GB2312" w:eastAsia="仿宋_GB2312"/>
          <w:sz w:val="32"/>
          <w:szCs w:val="32"/>
        </w:rPr>
        <w:t>区开发和陆港新城建设，推进阳平铁路物流中心项目，加快综合保税区建设，谋划建设连接阳平铁路物流中心和综合保税区的渭河大桥，陆港新区与连霍高速、宝鸡机场相连的快速干线，连接综合保税区的铁路专线以及区域内路网建设，形成方便快捷的内外交通体系，推进高端产业项目入区，推进配套能力建设，加快产业聚集，全力打造市区经济发展新的增长极。大手笔整体开发建设天台山风景区，对天台山区域内的炎帝陵、鸡峰山、茵香河、嘉陵江源头、大散关等景区进行打包包装，</w:t>
      </w:r>
      <w:r>
        <w:rPr>
          <w:rFonts w:hint="eastAsia" w:ascii="仿宋_GB2312" w:eastAsia="仿宋_GB2312"/>
          <w:color w:val="000000"/>
          <w:sz w:val="32"/>
          <w:szCs w:val="32"/>
        </w:rPr>
        <w:t>综合开发秦岭北麓旅游，建成城市中央休闲区，聚集市区旅游人气，打造市区旅游新亮点。以重点区域、重点板块的突破引领城市规模扩张，2020年中心城区建设面积达到</w:t>
      </w:r>
      <w:r>
        <w:rPr>
          <w:rFonts w:ascii="仿宋_GB2312" w:eastAsia="仿宋_GB2312"/>
          <w:color w:val="000000"/>
          <w:sz w:val="32"/>
          <w:szCs w:val="32"/>
        </w:rPr>
        <w:t>1</w:t>
      </w:r>
      <w:r>
        <w:rPr>
          <w:rFonts w:hint="eastAsia" w:ascii="仿宋_GB2312" w:eastAsia="仿宋_GB2312"/>
          <w:color w:val="000000"/>
          <w:sz w:val="32"/>
          <w:szCs w:val="32"/>
        </w:rPr>
        <w:t>4</w:t>
      </w:r>
      <w:r>
        <w:rPr>
          <w:rFonts w:ascii="仿宋_GB2312" w:eastAsia="仿宋_GB2312"/>
          <w:color w:val="000000"/>
          <w:sz w:val="32"/>
          <w:szCs w:val="32"/>
        </w:rPr>
        <w:t>3</w:t>
      </w:r>
      <w:r>
        <w:rPr>
          <w:rFonts w:hint="eastAsia" w:ascii="仿宋_GB2312" w:eastAsia="仿宋_GB2312"/>
          <w:color w:val="000000"/>
          <w:sz w:val="32"/>
          <w:szCs w:val="32"/>
        </w:rPr>
        <w:t>平方公里，人口达到130万人，力争远期中心城区管控面积达到153平方公里。</w:t>
      </w:r>
    </w:p>
    <w:p>
      <w:pPr>
        <w:spacing w:after="0" w:line="560" w:lineRule="exact"/>
        <w:jc w:val="center"/>
        <w:rPr>
          <w:rFonts w:hint="eastAsia" w:ascii="楷体_GB2312" w:hAnsi="楷体" w:eastAsia="楷体_GB2312"/>
          <w:b/>
          <w:color w:val="000000"/>
          <w:sz w:val="32"/>
          <w:szCs w:val="32"/>
        </w:rPr>
      </w:pPr>
    </w:p>
    <w:p>
      <w:pPr>
        <w:spacing w:after="0" w:line="560" w:lineRule="exact"/>
        <w:jc w:val="center"/>
        <w:rPr>
          <w:rFonts w:hint="eastAsia" w:ascii="楷体_GB2312" w:hAnsi="楷体" w:eastAsia="楷体_GB2312"/>
          <w:b/>
          <w:sz w:val="32"/>
          <w:szCs w:val="32"/>
        </w:rPr>
      </w:pPr>
      <w:r>
        <w:rPr>
          <w:rFonts w:hint="eastAsia" w:ascii="楷体_GB2312" w:hAnsi="楷体" w:eastAsia="楷体_GB2312"/>
          <w:b/>
          <w:sz w:val="32"/>
          <w:szCs w:val="32"/>
        </w:rPr>
        <w:t>第三节  全面提升城市形象</w:t>
      </w:r>
    </w:p>
    <w:p>
      <w:pPr>
        <w:spacing w:after="0" w:line="560" w:lineRule="exact"/>
        <w:ind w:firstLine="640" w:firstLineChars="200"/>
        <w:jc w:val="both"/>
        <w:rPr>
          <w:rFonts w:hint="eastAsia" w:ascii="仿宋_GB2312" w:eastAsia="仿宋_GB2312"/>
          <w:sz w:val="32"/>
          <w:szCs w:val="32"/>
        </w:rPr>
      </w:pPr>
      <w:r>
        <w:rPr>
          <w:rFonts w:hint="eastAsia" w:ascii="仿宋_GB2312" w:eastAsia="仿宋_GB2312"/>
          <w:sz w:val="32"/>
          <w:szCs w:val="32"/>
        </w:rPr>
        <w:t>着眼于完善城市功能，做好“畅交通、治污染”等重点工作的规划服务保障，坚持塑造城市特色，全面提升城市形象和品位，建设“宝鸡城市规划馆”，全面展示宝鸡形象。搞好精细化城市设计，打造城市鲜明特色。围绕周秦文化内涵和外延，开展建筑风格、城市色彩和城市功能完善的规划研究，传承历史文脉，挖掘文化内涵，塑造城市特色；突出主要出入口、主要街区、重要设施、重点景观带等城市设计，使城市特色更加鲜明，提升城市形象和品位。做好旧城改造工作，全面完成东岭综合体建设等一批棚户区改造项目，打造城市新地标，集约使用资源，一站式的完成消费者购物、休闲、娱乐、居住等需求，引领城市生活的发展趋势。建设以网格化为支撑的智慧城市管理服务系统，通过实施城市精细化管理，完善管理细节，建立城市良性运行管理体系和信息平台，实现由粗放管理向精细管理的转变，进一步提高城市</w:t>
      </w:r>
      <w:r>
        <w:rPr>
          <w:rFonts w:hint="eastAsia" w:eastAsia="仿宋_GB2312"/>
          <w:sz w:val="32"/>
          <w:szCs w:val="32"/>
        </w:rPr>
        <w:t> </w:t>
      </w:r>
      <w:r>
        <w:rPr>
          <w:rFonts w:hint="eastAsia" w:ascii="仿宋_GB2312" w:eastAsia="仿宋_GB2312"/>
          <w:sz w:val="32"/>
          <w:szCs w:val="32"/>
        </w:rPr>
        <w:t>管理效能，实现城市可持续发展。</w:t>
      </w:r>
    </w:p>
    <w:p>
      <w:pPr>
        <w:pStyle w:val="9"/>
        <w:adjustRightInd w:val="0"/>
        <w:snapToGrid w:val="0"/>
        <w:spacing w:line="560" w:lineRule="exact"/>
        <w:jc w:val="center"/>
        <w:rPr>
          <w:rFonts w:hint="eastAsia" w:ascii="黑体" w:hAnsi="黑体" w:eastAsia="黑体"/>
          <w:sz w:val="32"/>
          <w:szCs w:val="32"/>
        </w:rPr>
      </w:pPr>
    </w:p>
    <w:p>
      <w:pPr>
        <w:spacing w:after="0" w:line="560" w:lineRule="exact"/>
        <w:jc w:val="center"/>
        <w:rPr>
          <w:rFonts w:ascii="黑体" w:hAnsi="黑体" w:eastAsia="黑体"/>
          <w:sz w:val="32"/>
          <w:szCs w:val="32"/>
        </w:rPr>
      </w:pPr>
      <w:r>
        <w:rPr>
          <w:rFonts w:hint="eastAsia" w:ascii="黑体" w:hAnsi="黑体" w:eastAsia="黑体"/>
          <w:sz w:val="32"/>
          <w:szCs w:val="32"/>
        </w:rPr>
        <w:t>第十五章  推进县域城镇突破发展</w:t>
      </w:r>
    </w:p>
    <w:p>
      <w:pPr>
        <w:spacing w:after="0" w:line="560" w:lineRule="exact"/>
        <w:ind w:firstLine="640" w:firstLineChars="200"/>
        <w:rPr>
          <w:rFonts w:hint="eastAsia" w:ascii="仿宋_GB2312" w:eastAsia="仿宋_GB2312"/>
          <w:sz w:val="32"/>
          <w:szCs w:val="32"/>
        </w:rPr>
      </w:pPr>
      <w:r>
        <w:rPr>
          <w:rFonts w:hint="eastAsia" w:ascii="仿宋_GB2312" w:eastAsia="仿宋_GB2312"/>
          <w:sz w:val="32"/>
          <w:szCs w:val="32"/>
        </w:rPr>
        <w:t>按照现代城市规划建设标准，加强县城和重点镇的基础设施和公共服务设施建设，积极实施县城道路建设、旧城拆迁改造、背街小巷改造、过境公路改线，绿化、亮化、环境卫生综合整治等项目，进一步合理配置城镇资源，合理布局教育、卫生、文化等公共服务设施，充分发挥县城的产业优势、区位优势和产业优势，有序引导人口、产业及各类要素合理集聚，提升县城吸纳农业转移人口能力，打造布局合理、功能齐全、环境优美、特色鲜明的产城融合示范区和县域经济发展中心。增强眉县县城聚集辐射功能，充分发挥产业优势、区位优势和产业优势，打造产城融合示范区；大力发挥优美自然风光的经济效益，将千阳县城、凤县县城、太白县城建设成生态宜居旅游县城；加快麟游县城产业配套基础设施建设和提升公共服务水平，打造新型能源产业基地，提高人口聚集能力；推进岐山县城产业升级，发挥聚集效应；依托优质文化资源和工业基础，增强扶风县城吸纳农业转移人口水平，成为承接大西安产业转移的桥头堡。鼓励重点镇因地制宜、优化环境，集聚人口，提升城镇可持续发展水平，打造一批特色鲜明、宜居宜游的特色小镇和县域经济副中心。在产业基础较好，基础设施较完善，综合服务体系完备的县城和重点镇，加快培育步伐，力争成为新生中小城市。</w:t>
      </w:r>
    </w:p>
    <w:p>
      <w:pPr>
        <w:pStyle w:val="9"/>
        <w:adjustRightInd w:val="0"/>
        <w:snapToGrid w:val="0"/>
        <w:spacing w:line="600" w:lineRule="exact"/>
        <w:jc w:val="center"/>
        <w:rPr>
          <w:rFonts w:hint="eastAsia" w:ascii="黑体" w:hAnsi="黑体" w:eastAsia="黑体"/>
          <w:sz w:val="32"/>
          <w:szCs w:val="32"/>
        </w:rPr>
      </w:pPr>
      <w:r>
        <w:rPr>
          <w:rFonts w:hint="eastAsia" w:ascii="黑体" w:hAnsi="黑体" w:eastAsia="黑体"/>
          <w:sz w:val="32"/>
          <w:szCs w:val="32"/>
          <w:lang/>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144780</wp:posOffset>
                </wp:positionV>
                <wp:extent cx="5600700" cy="1545590"/>
                <wp:effectExtent l="4445" t="4445" r="14605" b="12065"/>
                <wp:wrapSquare wrapText="bothSides"/>
                <wp:docPr id="21" name="文本框 63"/>
                <wp:cNvGraphicFramePr/>
                <a:graphic xmlns:a="http://schemas.openxmlformats.org/drawingml/2006/main">
                  <a:graphicData uri="http://schemas.microsoft.com/office/word/2010/wordprocessingShape">
                    <wps:wsp>
                      <wps:cNvSpPr txBox="1"/>
                      <wps:spPr>
                        <a:xfrm>
                          <a:off x="0" y="0"/>
                          <a:ext cx="5600700" cy="1545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cs="仿宋_GB2312"/>
                                <w:bCs/>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2</w:t>
                            </w:r>
                          </w:p>
                          <w:p>
                            <w:pPr>
                              <w:spacing w:after="0" w:line="300" w:lineRule="exact"/>
                              <w:jc w:val="center"/>
                              <w:rPr>
                                <w:rFonts w:ascii="黑体" w:hAnsi="黑体" w:eastAsia="黑体" w:cs="仿宋_GB2312"/>
                                <w:b/>
                                <w:bCs/>
                                <w:sz w:val="21"/>
                                <w:szCs w:val="21"/>
                              </w:rPr>
                            </w:pPr>
                            <w:r>
                              <w:rPr>
                                <w:rFonts w:hint="eastAsia" w:ascii="黑体" w:hAnsi="黑体" w:eastAsia="黑体" w:cs="仿宋_GB2312"/>
                                <w:b/>
                                <w:bCs/>
                                <w:sz w:val="21"/>
                                <w:szCs w:val="21"/>
                              </w:rPr>
                              <w:t>市级以上命名的重点镇及省级文化旅游街区</w:t>
                            </w:r>
                          </w:p>
                          <w:p>
                            <w:pPr>
                              <w:spacing w:after="0" w:line="300" w:lineRule="exact"/>
                              <w:ind w:firstLine="527" w:firstLineChars="250"/>
                              <w:rPr>
                                <w:rFonts w:hint="eastAsia" w:ascii="楷体_GB2312" w:hAnsi="仿宋" w:eastAsia="楷体_GB2312"/>
                                <w:sz w:val="21"/>
                                <w:szCs w:val="21"/>
                              </w:rPr>
                            </w:pPr>
                            <w:r>
                              <w:rPr>
                                <w:rFonts w:hint="eastAsia" w:ascii="楷体_GB2312" w:hAnsi="仿宋" w:eastAsia="楷体_GB2312"/>
                                <w:b/>
                                <w:sz w:val="21"/>
                                <w:szCs w:val="21"/>
                              </w:rPr>
                              <w:t>重点镇：</w:t>
                            </w:r>
                            <w:r>
                              <w:rPr>
                                <w:rFonts w:hint="eastAsia" w:ascii="楷体_GB2312" w:hAnsi="仿宋" w:eastAsia="楷体_GB2312"/>
                                <w:sz w:val="21"/>
                                <w:szCs w:val="21"/>
                              </w:rPr>
                              <w:t>陈仓区阳平镇、周原镇、县功镇、坪头镇；凤翔县柳林镇；岐山县凤鸣镇、蔡家坡镇；扶风县城关镇、绛帐镇、法门镇；眉县常兴镇、汤峪镇；陇县东南镇；麟游县招贤镇；凤县凤州镇；太白县咀头镇。</w:t>
                            </w:r>
                          </w:p>
                          <w:p>
                            <w:pPr>
                              <w:spacing w:after="0" w:line="300" w:lineRule="exact"/>
                              <w:ind w:firstLine="527" w:firstLineChars="250"/>
                              <w:rPr>
                                <w:rFonts w:hint="eastAsia" w:ascii="楷体_GB2312" w:hAnsi="仿宋" w:eastAsia="楷体_GB2312"/>
                                <w:sz w:val="21"/>
                                <w:szCs w:val="21"/>
                              </w:rPr>
                            </w:pPr>
                            <w:r>
                              <w:rPr>
                                <w:rFonts w:hint="eastAsia" w:ascii="楷体_GB2312" w:hAnsi="仿宋" w:eastAsia="楷体_GB2312"/>
                                <w:b/>
                                <w:sz w:val="21"/>
                                <w:szCs w:val="21"/>
                              </w:rPr>
                              <w:t>省级文化旅游街区：</w:t>
                            </w:r>
                            <w:r>
                              <w:rPr>
                                <w:rFonts w:hint="eastAsia" w:ascii="楷体_GB2312" w:hAnsi="仿宋" w:eastAsia="楷体_GB2312"/>
                                <w:sz w:val="21"/>
                                <w:szCs w:val="21"/>
                              </w:rPr>
                              <w:t>麟游县九成宫文化旅游街区、凤翔县城关文化旅游街区、凤县双石铺文化旅游街区、岐山县凤鸣文化旅游街区。</w:t>
                            </w:r>
                          </w:p>
                        </w:txbxContent>
                      </wps:txbx>
                      <wps:bodyPr wrap="square" upright="1"/>
                    </wps:wsp>
                  </a:graphicData>
                </a:graphic>
              </wp:anchor>
            </w:drawing>
          </mc:Choice>
          <mc:Fallback>
            <w:pict>
              <v:shape id="文本框 63" o:spid="_x0000_s1026" o:spt="202" type="#_x0000_t202" style="position:absolute;left:0pt;margin-left:0pt;margin-top:11.4pt;height:121.7pt;width:441pt;mso-wrap-distance-bottom:0pt;mso-wrap-distance-left:9pt;mso-wrap-distance-right:9pt;mso-wrap-distance-top:0pt;z-index:251679744;mso-width-relative:page;mso-height-relative:page;" fillcolor="#FFFFFF" filled="t" stroked="t" coordsize="21600,21600" o:gfxdata="UEsDBAoAAAAAAIdO4kAAAAAAAAAAAAAAAAAEAAAAZHJzL1BLAwQUAAAACACHTuJAoKMdu9UAAAAH&#10;AQAADwAAAGRycy9kb3ducmV2LnhtbE2PwU7DMBBE70j8g7VIXBB1alAIIU4PSCC40YLg6sbbJMJe&#10;B9tNy9+znOA4M6uZt83q6J2YMaYxkIblogCB1AU7Uq/h7fXhsgKRsiFrXCDU8I0JVu3pSWNqGw60&#10;xnmTe8EllGqjYch5qqVM3YDepEWYkDjbhehNZhl7aaM5cLl3UhVFKb0ZiRcGM+H9gN3nZu81VNdP&#10;80d6vnp578qdu80XN/PjV9T6/GxZ3IHIeMx/x/CLz+jQMtM27Mkm4TTwI1mDUszPaVUpNrZslKUC&#10;2TbyP3/7A1BLAwQUAAAACACHTuJAdZKjcBkCAABHBAAADgAAAGRycy9lMm9Eb2MueG1srVNNrtMw&#10;EN4jcQfLe5q0kMKLmj4JStkgQHpwANd2Ekv+w+M26QXgBqzYsOdcPQdjt6/vBxZdkIUz9oy/me+b&#10;8eJ6NJrsZADlbEOnk5ISabkTynYN/fJ5/ewVJRCZFUw7Kxu6l0Cvl0+fLAZfy5nrnRYyEASxUA++&#10;oX2Mvi4K4L00DCbOS4vO1gXDIm5DV4jABkQ3upiV5bwYXBA+OC4B8HR1dNITYrgE0LWt4nLl+NZI&#10;G4+oQWoWkRL0ygNd5mrbVvL4sW1BRqIbikxjXjEJ2pu0FssFq7vAfK/4qQR2SQmPOBmmLCY9Q61Y&#10;ZGQb1F9QRvHgwLVxwp0pjkSyIshiWj7S5qZnXmYuKDX4s+jw/2D5h92nQJRo6GxKiWUGO3748f3w&#10;8/fh1zcyf54EGjzUGHfjMTKOr92IY3N7DniYeI9tMOmPjAj6Ud79WV45RsLxsJqX5csSXRx90+pF&#10;VV3lBhR3132A+E46Q5LR0ID9y7Ky3XuIWAqG3oakbOC0Emuldd6EbvNGB7Jj2Ot1/lKVeOVBmLZk&#10;aOhVNauwEIYD3OLgoGk8igC2y/ke3ID7wGX+/gWcClsx6I8FZIQUxmqjogzZ6iUTb60gce9RZ4vv&#10;i6ZijBSUaInPMVk5MjKlL4lEdtoiydSjYy+SFcfNiDDJ3Dixx74NOOJI7+uWBcy59UF1PQqc+5gv&#10;43xlrU5vIQ3w/X1Ocff+l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KMdu9UAAAAHAQAADwAA&#10;AAAAAAABACAAAAAiAAAAZHJzL2Rvd25yZXYueG1sUEsBAhQAFAAAAAgAh07iQHWSo3AZAgAARwQA&#10;AA4AAAAAAAAAAQAgAAAAJAEAAGRycy9lMm9Eb2MueG1sUEsFBgAAAAAGAAYAWQEAAK8FAAAAAA==&#10;">
                <v:fill on="t" focussize="0,0"/>
                <v:stroke color="#000000" joinstyle="miter"/>
                <v:imagedata o:title=""/>
                <o:lock v:ext="edit" aspectratio="f"/>
                <v:textbox>
                  <w:txbxContent>
                    <w:p>
                      <w:pPr>
                        <w:spacing w:after="0" w:line="300" w:lineRule="exact"/>
                        <w:rPr>
                          <w:rFonts w:hint="eastAsia" w:ascii="黑体" w:hAnsi="黑体" w:eastAsia="黑体" w:cs="仿宋_GB2312"/>
                          <w:bCs/>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2</w:t>
                      </w:r>
                    </w:p>
                    <w:p>
                      <w:pPr>
                        <w:spacing w:after="0" w:line="300" w:lineRule="exact"/>
                        <w:jc w:val="center"/>
                        <w:rPr>
                          <w:rFonts w:ascii="黑体" w:hAnsi="黑体" w:eastAsia="黑体" w:cs="仿宋_GB2312"/>
                          <w:b/>
                          <w:bCs/>
                          <w:sz w:val="21"/>
                          <w:szCs w:val="21"/>
                        </w:rPr>
                      </w:pPr>
                      <w:r>
                        <w:rPr>
                          <w:rFonts w:hint="eastAsia" w:ascii="黑体" w:hAnsi="黑体" w:eastAsia="黑体" w:cs="仿宋_GB2312"/>
                          <w:b/>
                          <w:bCs/>
                          <w:sz w:val="21"/>
                          <w:szCs w:val="21"/>
                        </w:rPr>
                        <w:t>市级以上命名的重点镇及省级文化旅游街区</w:t>
                      </w:r>
                    </w:p>
                    <w:p>
                      <w:pPr>
                        <w:spacing w:after="0" w:line="300" w:lineRule="exact"/>
                        <w:ind w:firstLine="527" w:firstLineChars="250"/>
                        <w:rPr>
                          <w:rFonts w:hint="eastAsia" w:ascii="楷体_GB2312" w:hAnsi="仿宋" w:eastAsia="楷体_GB2312"/>
                          <w:sz w:val="21"/>
                          <w:szCs w:val="21"/>
                        </w:rPr>
                      </w:pPr>
                      <w:r>
                        <w:rPr>
                          <w:rFonts w:hint="eastAsia" w:ascii="楷体_GB2312" w:hAnsi="仿宋" w:eastAsia="楷体_GB2312"/>
                          <w:b/>
                          <w:sz w:val="21"/>
                          <w:szCs w:val="21"/>
                        </w:rPr>
                        <w:t>重点镇：</w:t>
                      </w:r>
                      <w:r>
                        <w:rPr>
                          <w:rFonts w:hint="eastAsia" w:ascii="楷体_GB2312" w:hAnsi="仿宋" w:eastAsia="楷体_GB2312"/>
                          <w:sz w:val="21"/>
                          <w:szCs w:val="21"/>
                        </w:rPr>
                        <w:t>陈仓区阳平镇、周原镇、县功镇、坪头镇；凤翔县柳林镇；岐山县凤鸣镇、蔡家坡镇；扶风县城关镇、绛帐镇、法门镇；眉县常兴镇、汤峪镇；陇县东南镇；麟游县招贤镇；凤县凤州镇；太白县咀头镇。</w:t>
                      </w:r>
                    </w:p>
                    <w:p>
                      <w:pPr>
                        <w:spacing w:after="0" w:line="300" w:lineRule="exact"/>
                        <w:ind w:firstLine="527" w:firstLineChars="250"/>
                        <w:rPr>
                          <w:rFonts w:hint="eastAsia" w:ascii="楷体_GB2312" w:hAnsi="仿宋" w:eastAsia="楷体_GB2312"/>
                          <w:sz w:val="21"/>
                          <w:szCs w:val="21"/>
                        </w:rPr>
                      </w:pPr>
                      <w:r>
                        <w:rPr>
                          <w:rFonts w:hint="eastAsia" w:ascii="楷体_GB2312" w:hAnsi="仿宋" w:eastAsia="楷体_GB2312"/>
                          <w:b/>
                          <w:sz w:val="21"/>
                          <w:szCs w:val="21"/>
                        </w:rPr>
                        <w:t>省级文化旅游街区：</w:t>
                      </w:r>
                      <w:r>
                        <w:rPr>
                          <w:rFonts w:hint="eastAsia" w:ascii="楷体_GB2312" w:hAnsi="仿宋" w:eastAsia="楷体_GB2312"/>
                          <w:sz w:val="21"/>
                          <w:szCs w:val="21"/>
                        </w:rPr>
                        <w:t>麟游县九成宫文化旅游街区、凤翔县城关文化旅游街区、凤县双石铺文化旅游街区、岐山县凤鸣文化旅游街区。</w:t>
                      </w:r>
                    </w:p>
                  </w:txbxContent>
                </v:textbox>
                <w10:wrap type="square"/>
              </v:shape>
            </w:pict>
          </mc:Fallback>
        </mc:AlternateContent>
      </w:r>
    </w:p>
    <w:p>
      <w:pPr>
        <w:pStyle w:val="9"/>
        <w:adjustRightInd w:val="0"/>
        <w:snapToGrid w:val="0"/>
        <w:spacing w:line="560" w:lineRule="exact"/>
        <w:jc w:val="center"/>
        <w:rPr>
          <w:rFonts w:hint="eastAsia" w:ascii="黑体" w:hAnsi="黑体" w:eastAsia="黑体"/>
          <w:sz w:val="32"/>
          <w:szCs w:val="32"/>
        </w:rPr>
      </w:pPr>
      <w:r>
        <w:rPr>
          <w:rFonts w:hint="eastAsia" w:ascii="黑体" w:hAnsi="黑体" w:eastAsia="黑体"/>
          <w:sz w:val="32"/>
          <w:szCs w:val="32"/>
        </w:rPr>
        <w:t>第十六章  加快农业转移人口市民化</w:t>
      </w:r>
    </w:p>
    <w:p>
      <w:pPr>
        <w:pStyle w:val="9"/>
        <w:adjustRightInd w:val="0"/>
        <w:snapToGrid w:val="0"/>
        <w:spacing w:line="560" w:lineRule="exact"/>
        <w:jc w:val="center"/>
        <w:rPr>
          <w:rFonts w:hint="eastAsia" w:ascii="仿宋_GB2312" w:eastAsia="仿宋_GB2312"/>
          <w:b/>
          <w:sz w:val="32"/>
          <w:szCs w:val="32"/>
        </w:rPr>
      </w:pPr>
    </w:p>
    <w:p>
      <w:pPr>
        <w:pStyle w:val="9"/>
        <w:adjustRightInd w:val="0"/>
        <w:snapToGrid w:val="0"/>
        <w:spacing w:line="560" w:lineRule="exact"/>
        <w:jc w:val="center"/>
        <w:rPr>
          <w:rFonts w:hint="eastAsia" w:ascii="楷体_GB2312" w:eastAsia="楷体_GB2312"/>
          <w:b/>
          <w:sz w:val="32"/>
          <w:szCs w:val="32"/>
        </w:rPr>
      </w:pPr>
      <w:r>
        <w:rPr>
          <w:rFonts w:hint="eastAsia" w:ascii="楷体_GB2312" w:eastAsia="楷体_GB2312"/>
          <w:b/>
          <w:sz w:val="32"/>
          <w:szCs w:val="32"/>
        </w:rPr>
        <w:t>第一节  推进户籍制度改革</w:t>
      </w:r>
    </w:p>
    <w:p>
      <w:pPr>
        <w:spacing w:after="0" w:line="560" w:lineRule="exact"/>
        <w:ind w:firstLine="640" w:firstLineChars="200"/>
        <w:rPr>
          <w:rFonts w:hint="eastAsia" w:ascii="仿宋_GB2312" w:eastAsia="仿宋_GB2312"/>
          <w:sz w:val="32"/>
          <w:szCs w:val="32"/>
        </w:rPr>
      </w:pPr>
      <w:r>
        <w:rPr>
          <w:rFonts w:hint="eastAsia" w:ascii="仿宋_GB2312" w:eastAsia="仿宋_GB2312"/>
          <w:sz w:val="32"/>
          <w:szCs w:val="32"/>
        </w:rPr>
        <w:t>健全人口信息管理制度，创新和完善人口服务制度，为实现城镇基本公共服务常住人口全覆盖创造条件。健全与统一城乡户口登记制度相适应的教育、卫生计生、就业、社保、住房、土地及人口统计制度。逐步消除城乡间户籍壁垒，促进人口有序流动，合理分布和融合。全面放开县城和建制镇落户限制，推动县城和小城镇成为农业人口就近转移转化的主阵地。放宽市辖区落户条件，只要满足工作、居住或养老保险缴纳等落户条件者，本人及其共同居住生活的家庭成员，可在当地申请登记常住户口。</w:t>
      </w:r>
    </w:p>
    <w:p>
      <w:pPr>
        <w:spacing w:after="0" w:line="560" w:lineRule="exact"/>
        <w:jc w:val="center"/>
        <w:rPr>
          <w:rFonts w:hint="eastAsia" w:ascii="仿宋_GB2312" w:eastAsia="仿宋_GB2312"/>
          <w:sz w:val="32"/>
          <w:szCs w:val="32"/>
        </w:rPr>
      </w:pPr>
    </w:p>
    <w:p>
      <w:pPr>
        <w:spacing w:after="0" w:line="560" w:lineRule="exact"/>
        <w:jc w:val="center"/>
        <w:rPr>
          <w:rFonts w:ascii="楷体_GB2312" w:hAnsi="华文中宋" w:eastAsia="楷体_GB2312"/>
          <w:b/>
          <w:sz w:val="32"/>
          <w:szCs w:val="32"/>
        </w:rPr>
      </w:pPr>
      <w:r>
        <w:rPr>
          <w:rFonts w:hint="eastAsia" w:ascii="楷体_GB2312" w:hAnsi="华文中宋" w:eastAsia="楷体_GB2312"/>
          <w:b/>
          <w:sz w:val="32"/>
          <w:szCs w:val="32"/>
        </w:rPr>
        <w:t>第二节</w:t>
      </w:r>
      <w:r>
        <w:rPr>
          <w:rFonts w:ascii="楷体_GB2312" w:hAnsi="华文中宋" w:eastAsia="楷体_GB2312"/>
          <w:b/>
          <w:sz w:val="32"/>
          <w:szCs w:val="32"/>
        </w:rPr>
        <w:t xml:space="preserve">  </w:t>
      </w:r>
      <w:r>
        <w:rPr>
          <w:rFonts w:hint="eastAsia" w:ascii="楷体_GB2312" w:hAnsi="华文中宋" w:eastAsia="楷体_GB2312"/>
          <w:b/>
          <w:sz w:val="32"/>
          <w:szCs w:val="32"/>
        </w:rPr>
        <w:t>完善城镇基本公共服务</w:t>
      </w:r>
    </w:p>
    <w:p>
      <w:pPr>
        <w:spacing w:after="0" w:line="560" w:lineRule="exact"/>
        <w:ind w:firstLine="640" w:firstLineChars="200"/>
        <w:jc w:val="both"/>
        <w:rPr>
          <w:rFonts w:ascii="仿宋_GB2312" w:hAnsi="华文中宋" w:eastAsia="仿宋_GB2312"/>
          <w:sz w:val="32"/>
          <w:szCs w:val="32"/>
        </w:rPr>
      </w:pPr>
      <w:r>
        <w:rPr>
          <w:rFonts w:hint="eastAsia" w:ascii="仿宋_GB2312" w:hAnsi="华文中宋" w:eastAsia="仿宋_GB2312"/>
          <w:sz w:val="32"/>
          <w:szCs w:val="32"/>
        </w:rPr>
        <w:t>稳步推进城镇基本公共服务常住人口全覆盖，把进城落户农民完全纳入城镇住房和社会保障体系，在农村参加的养老保险和医疗保险规范介入城镇社保体系，建立财政转移支付同农业转移人口市民化挂钩机制。将农业转移人口随迁子女义务教育纳入城镇教育发展规划，保障农业转移人口随迁子女平等享有受教育权利。完善就业创业登记管理制度，全面落实农业转移人口职业技能培训补贴政策，加大创业扶持力度，促进农业转移人口就业。加快推进农业转移人口参加城镇社会保险，实现城乡居民平等参与保险并享受相应待遇。改善农民工基本医疗卫生条件，将农民工及其随迁家属纳入社区医疗卫生服务体系。将进城落户农民工完全纳入城镇住房保障体系，拓宽保障渠道，有效扩大保障房供给规模。</w:t>
      </w:r>
    </w:p>
    <w:p>
      <w:pPr>
        <w:spacing w:after="0" w:line="560" w:lineRule="exact"/>
        <w:ind w:firstLine="640" w:firstLineChars="200"/>
        <w:jc w:val="both"/>
        <w:rPr>
          <w:rFonts w:hint="eastAsia" w:ascii="仿宋_GB2312" w:hAnsi="华文中宋" w:eastAsia="仿宋_GB2312"/>
          <w:sz w:val="32"/>
          <w:szCs w:val="32"/>
        </w:rPr>
      </w:pPr>
    </w:p>
    <w:p>
      <w:pPr>
        <w:spacing w:after="0" w:line="560" w:lineRule="exact"/>
        <w:jc w:val="center"/>
        <w:rPr>
          <w:rFonts w:ascii="黑体" w:hAnsi="黑体" w:eastAsia="黑体"/>
          <w:sz w:val="32"/>
          <w:szCs w:val="32"/>
        </w:rPr>
      </w:pPr>
      <w:r>
        <w:rPr>
          <w:rFonts w:hint="eastAsia" w:ascii="黑体" w:hAnsi="黑体" w:eastAsia="黑体"/>
          <w:sz w:val="32"/>
          <w:szCs w:val="32"/>
        </w:rPr>
        <w:t>第十七章</w:t>
      </w:r>
      <w:r>
        <w:rPr>
          <w:rFonts w:ascii="黑体" w:hAnsi="黑体" w:eastAsia="黑体"/>
          <w:sz w:val="32"/>
          <w:szCs w:val="32"/>
        </w:rPr>
        <w:t xml:space="preserve">  </w:t>
      </w:r>
      <w:r>
        <w:rPr>
          <w:rFonts w:hint="eastAsia" w:ascii="黑体" w:hAnsi="黑体" w:eastAsia="黑体"/>
          <w:sz w:val="32"/>
          <w:szCs w:val="32"/>
        </w:rPr>
        <w:t>推进城乡一体化发展</w:t>
      </w:r>
    </w:p>
    <w:p>
      <w:pPr>
        <w:spacing w:after="0" w:line="560" w:lineRule="exact"/>
        <w:jc w:val="center"/>
        <w:rPr>
          <w:rFonts w:ascii="黑体" w:hAnsi="黑体" w:eastAsia="黑体"/>
          <w:sz w:val="32"/>
          <w:szCs w:val="32"/>
        </w:rPr>
      </w:pPr>
    </w:p>
    <w:p>
      <w:pPr>
        <w:spacing w:after="0" w:line="560" w:lineRule="exact"/>
        <w:jc w:val="center"/>
        <w:rPr>
          <w:rFonts w:ascii="楷体_GB2312" w:hAnsi="华文中宋" w:eastAsia="楷体_GB2312"/>
          <w:b/>
          <w:sz w:val="32"/>
          <w:szCs w:val="32"/>
        </w:rPr>
      </w:pPr>
      <w:r>
        <w:rPr>
          <w:rFonts w:hint="eastAsia" w:ascii="楷体_GB2312" w:hAnsi="华文中宋" w:eastAsia="楷体_GB2312"/>
          <w:b/>
          <w:sz w:val="32"/>
          <w:szCs w:val="32"/>
        </w:rPr>
        <w:t>第一节</w:t>
      </w:r>
      <w:r>
        <w:rPr>
          <w:rFonts w:ascii="楷体_GB2312" w:hAnsi="华文中宋" w:eastAsia="楷体_GB2312"/>
          <w:b/>
          <w:sz w:val="32"/>
          <w:szCs w:val="32"/>
        </w:rPr>
        <w:t xml:space="preserve">  </w:t>
      </w:r>
      <w:r>
        <w:rPr>
          <w:rFonts w:hint="eastAsia" w:ascii="楷体_GB2312" w:hAnsi="华文中宋" w:eastAsia="楷体_GB2312"/>
          <w:b/>
          <w:sz w:val="32"/>
          <w:szCs w:val="32"/>
        </w:rPr>
        <w:t>建立城乡一体发展机制</w:t>
      </w:r>
    </w:p>
    <w:p>
      <w:pPr>
        <w:spacing w:after="0" w:line="560" w:lineRule="exact"/>
        <w:ind w:firstLine="640" w:firstLineChars="200"/>
        <w:jc w:val="both"/>
        <w:rPr>
          <w:rFonts w:ascii="仿宋_GB2312" w:hAnsi="华文中宋" w:eastAsia="仿宋_GB2312"/>
          <w:sz w:val="32"/>
          <w:szCs w:val="32"/>
        </w:rPr>
      </w:pPr>
      <w:r>
        <w:rPr>
          <w:rFonts w:hint="eastAsia" w:ascii="仿宋_GB2312" w:hAnsi="华文中宋" w:eastAsia="仿宋_GB2312"/>
          <w:sz w:val="32"/>
          <w:szCs w:val="32"/>
        </w:rPr>
        <w:t>坚持以工促农、以城带乡、工农互惠、城乡一体的方针，加大统筹城乡发展力度，增强农村发展活力，逐步缩小城乡差距，促进城乡共同繁荣。以体制机制创新为动力，以城乡基本公共服务均等化为目标，以城乡统筹示范区建设为抓手，加快构建城乡统筹发展要素保障体系、产业对接体系、公共服务保障体系，构建新型工农城乡关系和一体化发展新格局。以破除城乡二元结构为核心，深入推进城乡一体化发展综合配套改革试点，高水平推进城乡一体化。完善城乡规划体系，促进城镇规划、镇村布局、村庄建设、农业发展、工业园区等规划紧密衔接。</w:t>
      </w:r>
    </w:p>
    <w:p>
      <w:pPr>
        <w:spacing w:after="0" w:line="560" w:lineRule="exact"/>
        <w:jc w:val="both"/>
        <w:rPr>
          <w:rFonts w:ascii="仿宋_GB2312" w:hAnsi="华文中宋" w:eastAsia="仿宋_GB2312"/>
          <w:sz w:val="32"/>
          <w:szCs w:val="32"/>
        </w:rPr>
      </w:pPr>
    </w:p>
    <w:p>
      <w:pPr>
        <w:spacing w:after="0" w:line="560" w:lineRule="exact"/>
        <w:jc w:val="center"/>
        <w:rPr>
          <w:rFonts w:ascii="楷体_GB2312" w:hAnsi="华文中宋" w:eastAsia="楷体_GB2312"/>
          <w:b/>
          <w:sz w:val="32"/>
          <w:szCs w:val="32"/>
        </w:rPr>
      </w:pPr>
      <w:r>
        <w:rPr>
          <w:rFonts w:hint="eastAsia" w:ascii="楷体_GB2312" w:hAnsi="华文中宋" w:eastAsia="楷体_GB2312"/>
          <w:b/>
          <w:sz w:val="32"/>
          <w:szCs w:val="32"/>
        </w:rPr>
        <w:t>第二节</w:t>
      </w:r>
      <w:r>
        <w:rPr>
          <w:rFonts w:ascii="楷体_GB2312" w:hAnsi="华文中宋" w:eastAsia="楷体_GB2312"/>
          <w:b/>
          <w:sz w:val="32"/>
          <w:szCs w:val="32"/>
        </w:rPr>
        <w:t xml:space="preserve">  </w:t>
      </w:r>
      <w:r>
        <w:rPr>
          <w:rFonts w:hint="eastAsia" w:ascii="楷体_GB2312" w:hAnsi="华文中宋" w:eastAsia="楷体_GB2312"/>
          <w:b/>
          <w:sz w:val="32"/>
          <w:szCs w:val="32"/>
        </w:rPr>
        <w:t>打造农民幸福家园</w:t>
      </w:r>
    </w:p>
    <w:p>
      <w:pPr>
        <w:spacing w:after="0" w:line="560" w:lineRule="exact"/>
        <w:ind w:firstLine="640" w:firstLineChars="200"/>
        <w:jc w:val="both"/>
        <w:rPr>
          <w:rFonts w:hint="eastAsia" w:ascii="仿宋_GB2312" w:hAnsi="华文中宋" w:eastAsia="仿宋_GB2312"/>
          <w:sz w:val="32"/>
          <w:szCs w:val="32"/>
        </w:rPr>
      </w:pPr>
      <w:r>
        <w:rPr>
          <w:rFonts w:hint="eastAsia" w:ascii="仿宋_GB2312" w:hAnsi="华文中宋" w:eastAsia="仿宋_GB2312"/>
          <w:sz w:val="32"/>
          <w:szCs w:val="32"/>
        </w:rPr>
        <w:t>积极推进“美丽乡村·文明家园”建设，加强农村水、电、路、气、房、厕、网等基础设施建设，实施改善农村人居环境工程，提升农村公共服务设施工程，推进山水农田路河塘综合治理和农村环境连片整治，打造农民幸福家园。巩固完善富民强村机制。落实农民减负增收的各种政策，就业、创业、产业并举，拓宽农民就业渠道，改善农村创业环境。充分发挥明星村的示范作用，加大富民强村载体建设力度，壮大农村新型集体经济。鼓励发展信用贷款和联保贷款，探索扩大农村有效担保物范围，完善农村金融组织体系。</w:t>
      </w:r>
    </w:p>
    <w:p>
      <w:pPr>
        <w:spacing w:after="0" w:line="560" w:lineRule="exact"/>
        <w:jc w:val="both"/>
        <w:rPr>
          <w:rFonts w:hint="eastAsia"/>
        </w:rPr>
      </w:pPr>
    </w:p>
    <w:p>
      <w:pPr>
        <w:spacing w:after="0" w:line="560" w:lineRule="exact"/>
        <w:jc w:val="center"/>
        <w:rPr>
          <w:rFonts w:hint="eastAsia" w:ascii="华文中宋" w:hAnsi="华文中宋" w:eastAsia="华文中宋"/>
          <w:b/>
          <w:sz w:val="36"/>
          <w:szCs w:val="36"/>
        </w:rPr>
      </w:pPr>
      <w:r>
        <w:rPr>
          <w:rFonts w:hint="eastAsia" w:ascii="华文中宋" w:hAnsi="华文中宋" w:eastAsia="华文中宋"/>
          <w:b/>
          <w:sz w:val="36"/>
          <w:szCs w:val="36"/>
        </w:rPr>
        <w:t>第五篇   完善现代基础设施体系</w:t>
      </w:r>
    </w:p>
    <w:p>
      <w:pPr>
        <w:spacing w:after="0" w:line="560" w:lineRule="exact"/>
        <w:ind w:firstLine="640" w:firstLineChars="200"/>
        <w:jc w:val="both"/>
        <w:rPr>
          <w:rFonts w:ascii="仿宋_GB2312" w:hAnsi="华文中宋" w:eastAsia="仿宋_GB2312"/>
          <w:sz w:val="32"/>
          <w:szCs w:val="32"/>
        </w:rPr>
      </w:pPr>
    </w:p>
    <w:p>
      <w:pPr>
        <w:spacing w:after="0" w:line="560" w:lineRule="exact"/>
        <w:ind w:firstLine="640" w:firstLineChars="200"/>
        <w:jc w:val="both"/>
        <w:rPr>
          <w:rFonts w:ascii="仿宋_GB2312" w:hAnsi="华文中宋" w:eastAsia="仿宋_GB2312"/>
          <w:sz w:val="32"/>
          <w:szCs w:val="32"/>
        </w:rPr>
      </w:pPr>
      <w:r>
        <w:rPr>
          <w:rFonts w:hint="eastAsia" w:ascii="仿宋_GB2312" w:hAnsi="华文中宋" w:eastAsia="仿宋_GB2312"/>
          <w:sz w:val="32"/>
          <w:szCs w:val="32"/>
        </w:rPr>
        <w:t>统筹公路、铁路、航空、轨道等交通设施建设；推进重大水利工程、现代智能电网、气化宝鸡、高速信息网络建设，构建安全、高效、智慧、绿色的现代基础设施体系，全面提升基础设施支撑能力。</w:t>
      </w:r>
    </w:p>
    <w:p>
      <w:pPr>
        <w:spacing w:after="0" w:line="560" w:lineRule="exact"/>
        <w:ind w:firstLine="640" w:firstLineChars="200"/>
        <w:jc w:val="both"/>
        <w:rPr>
          <w:rFonts w:ascii="仿宋_GB2312" w:hAnsi="华文中宋" w:eastAsia="仿宋_GB2312"/>
          <w:sz w:val="32"/>
          <w:szCs w:val="32"/>
        </w:rPr>
      </w:pPr>
    </w:p>
    <w:p>
      <w:pPr>
        <w:spacing w:after="0" w:line="560" w:lineRule="exact"/>
        <w:ind w:firstLine="640" w:firstLineChars="200"/>
        <w:jc w:val="both"/>
        <w:rPr>
          <w:rFonts w:hint="eastAsia" w:ascii="仿宋_GB2312" w:hAnsi="华文中宋" w:eastAsia="仿宋_GB2312"/>
          <w:sz w:val="32"/>
          <w:szCs w:val="32"/>
        </w:rPr>
      </w:pPr>
    </w:p>
    <w:p>
      <w:pPr>
        <w:spacing w:after="0" w:line="560" w:lineRule="exact"/>
        <w:jc w:val="center"/>
        <w:rPr>
          <w:rFonts w:ascii="黑体" w:hAnsi="黑体" w:eastAsia="黑体"/>
          <w:sz w:val="32"/>
          <w:szCs w:val="32"/>
        </w:rPr>
      </w:pPr>
      <w:r>
        <w:rPr>
          <w:rFonts w:hint="eastAsia" w:ascii="黑体" w:hAnsi="黑体" w:eastAsia="黑体"/>
          <w:sz w:val="32"/>
          <w:szCs w:val="32"/>
        </w:rPr>
        <w:t>第十八章</w:t>
      </w:r>
      <w:r>
        <w:rPr>
          <w:rFonts w:ascii="黑体" w:hAnsi="黑体" w:eastAsia="黑体"/>
          <w:sz w:val="32"/>
          <w:szCs w:val="32"/>
        </w:rPr>
        <w:t xml:space="preserve">  </w:t>
      </w:r>
      <w:r>
        <w:rPr>
          <w:rFonts w:hint="eastAsia" w:ascii="黑体" w:hAnsi="黑体" w:eastAsia="黑体"/>
          <w:sz w:val="32"/>
          <w:szCs w:val="32"/>
        </w:rPr>
        <w:t>完善交通基础设施</w:t>
      </w:r>
    </w:p>
    <w:p>
      <w:pPr>
        <w:spacing w:after="0" w:line="560" w:lineRule="exact"/>
        <w:jc w:val="center"/>
        <w:rPr>
          <w:rFonts w:hint="eastAsia" w:ascii="黑体" w:hAnsi="黑体" w:eastAsia="黑体"/>
          <w:sz w:val="32"/>
          <w:szCs w:val="32"/>
        </w:rPr>
      </w:pPr>
    </w:p>
    <w:p>
      <w:pPr>
        <w:spacing w:after="0" w:line="560" w:lineRule="exact"/>
        <w:jc w:val="center"/>
        <w:rPr>
          <w:rFonts w:ascii="楷体_GB2312" w:hAnsi="黑体" w:eastAsia="楷体_GB2312"/>
          <w:b/>
          <w:sz w:val="32"/>
          <w:szCs w:val="32"/>
        </w:rPr>
      </w:pPr>
      <w:r>
        <w:rPr>
          <w:rFonts w:hint="eastAsia" w:ascii="楷体_GB2312" w:hAnsi="黑体" w:eastAsia="楷体_GB2312"/>
          <w:b/>
          <w:sz w:val="32"/>
          <w:szCs w:val="32"/>
        </w:rPr>
        <w:t>第一节</w:t>
      </w:r>
      <w:r>
        <w:rPr>
          <w:rFonts w:ascii="楷体_GB2312" w:hAnsi="黑体" w:eastAsia="楷体_GB2312"/>
          <w:b/>
          <w:sz w:val="32"/>
          <w:szCs w:val="32"/>
        </w:rPr>
        <w:t xml:space="preserve"> </w:t>
      </w:r>
      <w:r>
        <w:rPr>
          <w:rFonts w:hint="eastAsia" w:ascii="楷体_GB2312" w:hAnsi="黑体" w:eastAsia="楷体_GB2312"/>
          <w:b/>
          <w:sz w:val="32"/>
          <w:szCs w:val="32"/>
        </w:rPr>
        <w:t>构建综合交通网络</w:t>
      </w:r>
    </w:p>
    <w:p>
      <w:pPr>
        <w:spacing w:after="0" w:line="560" w:lineRule="exact"/>
        <w:ind w:firstLine="440" w:firstLineChars="200"/>
        <w:jc w:val="both"/>
        <w:rPr>
          <w:rFonts w:ascii="仿宋_GB2312" w:hAnsi="华文中宋" w:eastAsia="仿宋_GB2312"/>
          <w:sz w:val="32"/>
          <w:szCs w:val="32"/>
        </w:rPr>
        <w:sectPr>
          <w:pgSz w:w="11906" w:h="16838"/>
          <w:pgMar w:top="1418" w:right="1588" w:bottom="1418" w:left="1588" w:header="851" w:footer="397" w:gutter="0"/>
          <w:cols w:space="425" w:num="1"/>
          <w:docGrid w:type="lines" w:linePitch="312" w:charSpace="0"/>
        </w:sectPr>
      </w:pPr>
      <w:r>
        <w:rPr>
          <w:lang/>
        </w:rPr>
        <mc:AlternateContent>
          <mc:Choice Requires="wps">
            <w:drawing>
              <wp:anchor distT="45720" distB="45720" distL="114300" distR="114300" simplePos="0" relativeHeight="251698176" behindDoc="0" locked="0" layoutInCell="1" allowOverlap="1">
                <wp:simplePos x="0" y="0"/>
                <wp:positionH relativeFrom="column">
                  <wp:posOffset>8255</wp:posOffset>
                </wp:positionH>
                <wp:positionV relativeFrom="paragraph">
                  <wp:posOffset>4408170</wp:posOffset>
                </wp:positionV>
                <wp:extent cx="5530215" cy="3165475"/>
                <wp:effectExtent l="4445" t="4445" r="8890" b="11430"/>
                <wp:wrapSquare wrapText="bothSides"/>
                <wp:docPr id="39" name="文本框 2"/>
                <wp:cNvGraphicFramePr/>
                <a:graphic xmlns:a="http://schemas.openxmlformats.org/drawingml/2006/main">
                  <a:graphicData uri="http://schemas.microsoft.com/office/word/2010/wordprocessingShape">
                    <wps:wsp>
                      <wps:cNvSpPr txBox="1"/>
                      <wps:spPr>
                        <a:xfrm>
                          <a:off x="0" y="0"/>
                          <a:ext cx="5530215" cy="3165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3</w:t>
                            </w:r>
                          </w:p>
                          <w:p>
                            <w:pPr>
                              <w:spacing w:after="0" w:line="300" w:lineRule="exact"/>
                              <w:jc w:val="center"/>
                              <w:rPr>
                                <w:rFonts w:ascii="黑体" w:hAnsi="黑体" w:eastAsia="黑体"/>
                                <w:b/>
                                <w:sz w:val="21"/>
                                <w:szCs w:val="21"/>
                              </w:rPr>
                            </w:pPr>
                            <w:r>
                              <w:rPr>
                                <w:rFonts w:hint="eastAsia" w:ascii="黑体" w:hAnsi="黑体" w:eastAsia="黑体"/>
                                <w:b/>
                                <w:sz w:val="21"/>
                                <w:szCs w:val="21"/>
                              </w:rPr>
                              <w:t>综合交通网络体系</w:t>
                            </w:r>
                          </w:p>
                          <w:p>
                            <w:pPr>
                              <w:adjustRightInd/>
                              <w:snapToGrid/>
                              <w:spacing w:after="0" w:line="300" w:lineRule="exact"/>
                              <w:ind w:firstLine="211" w:firstLineChars="100"/>
                              <w:rPr>
                                <w:rFonts w:ascii="楷体_GB2312" w:hAnsi="华文中宋" w:eastAsia="楷体_GB2312"/>
                                <w:sz w:val="21"/>
                                <w:szCs w:val="21"/>
                              </w:rPr>
                            </w:pPr>
                            <w:r>
                              <w:rPr>
                                <w:rFonts w:hint="eastAsia" w:ascii="楷体_GB2312" w:hAnsi="华文中宋" w:eastAsia="楷体_GB2312"/>
                                <w:b/>
                                <w:sz w:val="21"/>
                                <w:szCs w:val="21"/>
                              </w:rPr>
                              <w:t>“两横三纵七辐射”的铁路网：</w:t>
                            </w:r>
                            <w:r>
                              <w:rPr>
                                <w:rFonts w:hint="eastAsia" w:ascii="楷体_GB2312" w:hAnsi="华文中宋" w:eastAsia="楷体_GB2312"/>
                                <w:sz w:val="21"/>
                                <w:szCs w:val="21"/>
                              </w:rPr>
                              <w:t>陇海铁路、徐兰客运专线组成“两横”、</w:t>
                            </w:r>
                            <w:r>
                              <w:rPr>
                                <w:rFonts w:ascii="楷体_GB2312" w:hAnsi="华文中宋" w:eastAsia="楷体_GB2312"/>
                                <w:sz w:val="21"/>
                                <w:szCs w:val="21"/>
                              </w:rPr>
                              <w:t xml:space="preserve">宝中铁路、宝成铁路、麟游运煤铁路专线构成“三纵”，陇海线东西两个方向、西宝高铁东西两个方向、宝成铁路向南、宝麟铁路向东北、宝中铁路向北形成七个方向的辐射 </w:t>
                            </w:r>
                            <w:r>
                              <w:rPr>
                                <w:rFonts w:hint="eastAsia" w:ascii="楷体_GB2312" w:hAnsi="华文中宋" w:eastAsia="楷体_GB2312"/>
                                <w:sz w:val="21"/>
                                <w:szCs w:val="21"/>
                              </w:rPr>
                              <w:t>。</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“十字加外环”的高速公路网：</w:t>
                            </w:r>
                            <w:r>
                              <w:rPr>
                                <w:rFonts w:hint="eastAsia" w:ascii="楷体_GB2312" w:hAnsi="华文中宋" w:eastAsia="楷体_GB2312"/>
                                <w:sz w:val="21"/>
                                <w:szCs w:val="21"/>
                              </w:rPr>
                              <w:t>连霍高速与定汉高速（宝平高速和宝汉高速）在宝鸡市区交叉，形成“十字”，连霍高速市区过境段构成南外环，谋划建设经过蟠龙新区的北绕城高速。</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“两横两纵一环”的干线公路网：两横：</w:t>
                            </w:r>
                            <w:r>
                              <w:rPr>
                                <w:rFonts w:ascii="楷体_GB2312" w:hAnsi="华文中宋" w:eastAsia="楷体_GB2312"/>
                                <w:sz w:val="21"/>
                                <w:szCs w:val="21"/>
                              </w:rPr>
                              <w:t xml:space="preserve"> G30</w:t>
                            </w:r>
                            <w:r>
                              <w:rPr>
                                <w:rFonts w:hint="eastAsia" w:ascii="楷体_GB2312" w:hAnsi="华文中宋" w:eastAsia="楷体_GB2312"/>
                                <w:sz w:val="21"/>
                                <w:szCs w:val="21"/>
                              </w:rPr>
                              <w:t>（连云港</w:t>
                            </w:r>
                            <w:r>
                              <w:rPr>
                                <w:rFonts w:ascii="楷体_GB2312" w:hAnsi="华文中宋" w:eastAsia="楷体_GB2312"/>
                                <w:sz w:val="21"/>
                                <w:szCs w:val="21"/>
                              </w:rPr>
                              <w:t>-</w:t>
                            </w:r>
                            <w:r>
                              <w:rPr>
                                <w:rFonts w:hint="eastAsia" w:ascii="楷体_GB2312" w:hAnsi="华文中宋" w:eastAsia="楷体_GB2312"/>
                                <w:sz w:val="21"/>
                                <w:szCs w:val="21"/>
                              </w:rPr>
                              <w:t>霍尔果斯）西宝南线（东起眉县横渠镇、西至凤阁岭镇牛背陕甘界）、</w:t>
                            </w:r>
                            <w:r>
                              <w:rPr>
                                <w:rFonts w:ascii="楷体_GB2312" w:hAnsi="华文中宋" w:eastAsia="楷体_GB2312"/>
                                <w:sz w:val="21"/>
                                <w:szCs w:val="21"/>
                              </w:rPr>
                              <w:t xml:space="preserve"> G344</w:t>
                            </w:r>
                            <w:r>
                              <w:rPr>
                                <w:rFonts w:hint="eastAsia" w:ascii="楷体_GB2312" w:hAnsi="华文中宋" w:eastAsia="楷体_GB2312"/>
                                <w:sz w:val="21"/>
                                <w:szCs w:val="21"/>
                              </w:rPr>
                              <w:t>（东台</w:t>
                            </w:r>
                            <w:r>
                              <w:rPr>
                                <w:rFonts w:ascii="楷体_GB2312" w:hAnsi="华文中宋" w:eastAsia="楷体_GB2312"/>
                                <w:sz w:val="21"/>
                                <w:szCs w:val="21"/>
                              </w:rPr>
                              <w:t>-</w:t>
                            </w:r>
                            <w:r>
                              <w:rPr>
                                <w:rFonts w:hint="eastAsia" w:ascii="楷体_GB2312" w:hAnsi="华文中宋" w:eastAsia="楷体_GB2312"/>
                                <w:sz w:val="21"/>
                                <w:szCs w:val="21"/>
                              </w:rPr>
                              <w:t>灵武）新增国道（西宝北线）；东起扶风武功界，西至火烧寨镇、陕甘界。</w:t>
                            </w:r>
                            <w:r>
                              <w:rPr>
                                <w:rFonts w:hint="eastAsia" w:ascii="楷体_GB2312" w:hAnsi="华文中宋" w:eastAsia="楷体_GB2312"/>
                                <w:b/>
                                <w:sz w:val="21"/>
                                <w:szCs w:val="21"/>
                              </w:rPr>
                              <w:t>两纵：</w:t>
                            </w:r>
                            <w:r>
                              <w:rPr>
                                <w:rFonts w:ascii="楷体_GB2312" w:hAnsi="华文中宋" w:eastAsia="楷体_GB2312"/>
                                <w:sz w:val="21"/>
                                <w:szCs w:val="21"/>
                              </w:rPr>
                              <w:t xml:space="preserve"> G244</w:t>
                            </w:r>
                            <w:r>
                              <w:rPr>
                                <w:rFonts w:hint="eastAsia" w:ascii="楷体_GB2312" w:hAnsi="华文中宋" w:eastAsia="楷体_GB2312"/>
                                <w:sz w:val="21"/>
                                <w:szCs w:val="21"/>
                              </w:rPr>
                              <w:t>（乌海</w:t>
                            </w:r>
                            <w:r>
                              <w:rPr>
                                <w:rFonts w:ascii="楷体_GB2312" w:hAnsi="华文中宋" w:eastAsia="楷体_GB2312"/>
                                <w:sz w:val="21"/>
                                <w:szCs w:val="21"/>
                              </w:rPr>
                              <w:t>-</w:t>
                            </w:r>
                            <w:r>
                              <w:rPr>
                                <w:rFonts w:hint="eastAsia" w:ascii="楷体_GB2312" w:hAnsi="华文中宋" w:eastAsia="楷体_GB2312"/>
                                <w:sz w:val="21"/>
                                <w:szCs w:val="21"/>
                              </w:rPr>
                              <w:t>江津）新增国道，北起麟游县天堂（陕甘界）南至太白王家</w:t>
                            </w:r>
                            <w:r>
                              <w:rPr>
                                <w:rFonts w:hint="eastAsia" w:ascii="楷体_GB2312" w:hAnsi="华文中宋" w:eastAsia="华文中宋"/>
                                <w:sz w:val="21"/>
                                <w:szCs w:val="21"/>
                              </w:rPr>
                              <w:t>堎</w:t>
                            </w:r>
                            <w:r>
                              <w:rPr>
                                <w:rFonts w:hint="eastAsia" w:ascii="楷体_GB2312" w:hAnsi="华文中宋" w:eastAsia="楷体_GB2312"/>
                                <w:sz w:val="21"/>
                                <w:szCs w:val="21"/>
                              </w:rPr>
                              <w:t>镇，留坝界。</w:t>
                            </w:r>
                            <w:r>
                              <w:rPr>
                                <w:rFonts w:ascii="楷体_GB2312" w:hAnsi="华文中宋" w:eastAsia="楷体_GB2312"/>
                                <w:sz w:val="21"/>
                                <w:szCs w:val="21"/>
                              </w:rPr>
                              <w:t>G342</w:t>
                            </w:r>
                            <w:r>
                              <w:rPr>
                                <w:rFonts w:hint="eastAsia" w:ascii="楷体_GB2312" w:hAnsi="华文中宋" w:eastAsia="楷体_GB2312"/>
                                <w:sz w:val="21"/>
                                <w:szCs w:val="21"/>
                              </w:rPr>
                              <w:t>（日照</w:t>
                            </w:r>
                            <w:r>
                              <w:rPr>
                                <w:rFonts w:ascii="楷体_GB2312" w:hAnsi="华文中宋" w:eastAsia="楷体_GB2312"/>
                                <w:sz w:val="21"/>
                                <w:szCs w:val="21"/>
                              </w:rPr>
                              <w:t>-</w:t>
                            </w:r>
                            <w:r>
                              <w:rPr>
                                <w:rFonts w:hint="eastAsia" w:ascii="楷体_GB2312" w:hAnsi="华文中宋" w:eastAsia="楷体_GB2312"/>
                                <w:sz w:val="21"/>
                                <w:szCs w:val="21"/>
                              </w:rPr>
                              <w:t>凤县）新增国道，北起麟游县崔木镇彬麟界、南至凤县县城。</w:t>
                            </w:r>
                            <w:r>
                              <w:rPr>
                                <w:rFonts w:hint="eastAsia" w:ascii="楷体_GB2312" w:hAnsi="华文中宋" w:eastAsia="楷体_GB2312"/>
                                <w:b/>
                                <w:sz w:val="21"/>
                                <w:szCs w:val="21"/>
                              </w:rPr>
                              <w:t>一环：</w:t>
                            </w:r>
                            <w:r>
                              <w:rPr>
                                <w:rFonts w:hint="eastAsia" w:ascii="楷体_GB2312" w:hAnsi="华文中宋" w:eastAsia="楷体_GB2312"/>
                                <w:sz w:val="21"/>
                                <w:szCs w:val="21"/>
                              </w:rPr>
                              <w:t>关中环线。</w:t>
                            </w:r>
                          </w:p>
                          <w:p>
                            <w:pPr>
                              <w:spacing w:after="0" w:line="300" w:lineRule="exact"/>
                              <w:ind w:firstLine="422" w:firstLineChars="200"/>
                              <w:jc w:val="both"/>
                            </w:pPr>
                            <w:r>
                              <w:rPr>
                                <w:rFonts w:hint="eastAsia" w:ascii="楷体_GB2312" w:eastAsia="楷体_GB2312"/>
                                <w:b/>
                                <w:sz w:val="21"/>
                                <w:szCs w:val="21"/>
                              </w:rPr>
                              <w:t>“空港两用五辐射”的航空网：</w:t>
                            </w:r>
                            <w:r>
                              <w:rPr>
                                <w:rFonts w:hint="eastAsia" w:ascii="楷体_GB2312" w:eastAsia="楷体_GB2312"/>
                                <w:sz w:val="21"/>
                                <w:szCs w:val="21"/>
                              </w:rPr>
                              <w:t>空港：宝鸡机场军民两用。五辐射：东北（北京、天津）方向，正南（广州、深圳）方向，西南（成都、重庆、昆明）方向，东南（上海、南京）方向，西北（兰州、乌鲁木齐、西宁）方向。</w:t>
                            </w:r>
                          </w:p>
                        </w:txbxContent>
                      </wps:txbx>
                      <wps:bodyPr wrap="square" upright="1"/>
                    </wps:wsp>
                  </a:graphicData>
                </a:graphic>
              </wp:anchor>
            </w:drawing>
          </mc:Choice>
          <mc:Fallback>
            <w:pict>
              <v:shape id="文本框 2" o:spid="_x0000_s1026" o:spt="202" type="#_x0000_t202" style="position:absolute;left:0pt;margin-left:0.65pt;margin-top:347.1pt;height:249.25pt;width:435.45pt;mso-wrap-distance-bottom:3.6pt;mso-wrap-distance-left:9pt;mso-wrap-distance-right:9pt;mso-wrap-distance-top:3.6pt;z-index:251698176;mso-width-relative:margin;mso-height-relative:margin;" fillcolor="#FFFFFF" filled="t" stroked="t" coordsize="21600,21600" o:gfxdata="UEsDBAoAAAAAAIdO4kAAAAAAAAAAAAAAAAAEAAAAZHJzL1BLAwQUAAAACACHTuJAKycBMtgAAAAK&#10;AQAADwAAAGRycy9kb3ducmV2LnhtbE2PS0/DMBCE70j8B2uRuCDqJK3yIk4PSCC40YLaqxtvkwg/&#10;gu2m5d+znOC2o280O9OsL0azGX0YnRWQLhJgaDunRtsL+Hh/ui+BhSitktpZFPCNAdbt9VUja+XO&#10;doPzNvaMQmyopYAhxqnmPHQDGhkWbkJL7Oi8kZGk77ny8kzhRvMsSXJu5GjpwyAnfByw+9yejIBy&#10;9TLvw+vybdflR13Fu2J+/vJC3N6kyQOwiJf4Z4bf+lQdWup0cCerAtOkl2QUkFerDBjxssjoOBBI&#10;q6wA3jb8/4T2B1BLAwQUAAAACACHTuJATrhyrBcCAABGBAAADgAAAGRycy9lMm9Eb2MueG1srVNL&#10;ktMwEN1TxR1U2hM7CR4YV5ypghA2FFA1zAEUWbZVpR9qJXYuADdgxYb9nCvnoCVnMj8WWeCF3JJa&#10;r/u97l5cDVqRnfAgranodJJTIgy3tTRtRW++rV+9pQQCMzVT1oiK7gXQq+XLF4velWJmO6tq4QmC&#10;GCh7V9EuBFdmGfBOaAYT64TBy8Z6zQJufZvVnvWIrlU2y/OLrLe+dt5yAYCnq/GSHhH9OYC2aSQX&#10;K8u3WpgwonqhWEBK0EkHdJmybRrBw5emARGIqigyDWnFIGhv4potF6xsPXOd5McU2DkpPOGkmTQY&#10;9AS1YoGRrZfPoLTk3oJtwoRbnY1EkiLIYpo/0ea6Y04kLig1uJPo8P9g+efdV09kXdH5JSWGaaz4&#10;4dfPw+/bw58fZBb16R2U6Hbt0DEM7+yAXXN3DngYaQ+N1/GPhAjeo7r7k7piCITjYVHM89m0oITj&#10;3Xx6Ubx+U0Sc7P658xA+CqtJNCrqsXxJVbb7BGF0vXOJ0cAqWa+lUmnj28175cmOYanX6TuiP3JT&#10;hvQVvSxmMRGG/dtg36CpHWoApk3xHr2Ah8B5+v4FHBNbMejGBBJCdGOllkH4ZHWC1R9MTcLeocwG&#10;x4vGZLSoKVECpzFayTMwqc7xRO2UQQljjcZaRCsMmwFhormx9R7r1mOHI73vW+Yx5tZ52XYocKpj&#10;eoztlSpxHIXYvw/3KcT9+C//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snATLYAAAACgEAAA8A&#10;AAAAAAAAAQAgAAAAIgAAAGRycy9kb3ducmV2LnhtbFBLAQIUABQAAAAIAIdO4kBOuHKsFwIAAEYE&#10;AAAOAAAAAAAAAAEAIAAAACcBAABkcnMvZTJvRG9jLnhtbFBLBQYAAAAABgAGAFkBAACwBQAAAAA=&#10;">
                <v:fill on="t" focussize="0,0"/>
                <v:stroke color="#000000" joinstyle="miter"/>
                <v:imagedata o:title=""/>
                <o:lock v:ext="edit" aspectratio="f"/>
                <v:textbo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3</w:t>
                      </w:r>
                    </w:p>
                    <w:p>
                      <w:pPr>
                        <w:spacing w:after="0" w:line="300" w:lineRule="exact"/>
                        <w:jc w:val="center"/>
                        <w:rPr>
                          <w:rFonts w:ascii="黑体" w:hAnsi="黑体" w:eastAsia="黑体"/>
                          <w:b/>
                          <w:sz w:val="21"/>
                          <w:szCs w:val="21"/>
                        </w:rPr>
                      </w:pPr>
                      <w:r>
                        <w:rPr>
                          <w:rFonts w:hint="eastAsia" w:ascii="黑体" w:hAnsi="黑体" w:eastAsia="黑体"/>
                          <w:b/>
                          <w:sz w:val="21"/>
                          <w:szCs w:val="21"/>
                        </w:rPr>
                        <w:t>综合交通网络体系</w:t>
                      </w:r>
                    </w:p>
                    <w:p>
                      <w:pPr>
                        <w:adjustRightInd/>
                        <w:snapToGrid/>
                        <w:spacing w:after="0" w:line="300" w:lineRule="exact"/>
                        <w:ind w:firstLine="211" w:firstLineChars="100"/>
                        <w:rPr>
                          <w:rFonts w:ascii="楷体_GB2312" w:hAnsi="华文中宋" w:eastAsia="楷体_GB2312"/>
                          <w:sz w:val="21"/>
                          <w:szCs w:val="21"/>
                        </w:rPr>
                      </w:pPr>
                      <w:r>
                        <w:rPr>
                          <w:rFonts w:hint="eastAsia" w:ascii="楷体_GB2312" w:hAnsi="华文中宋" w:eastAsia="楷体_GB2312"/>
                          <w:b/>
                          <w:sz w:val="21"/>
                          <w:szCs w:val="21"/>
                        </w:rPr>
                        <w:t>“两横三纵七辐射”的铁路网：</w:t>
                      </w:r>
                      <w:r>
                        <w:rPr>
                          <w:rFonts w:hint="eastAsia" w:ascii="楷体_GB2312" w:hAnsi="华文中宋" w:eastAsia="楷体_GB2312"/>
                          <w:sz w:val="21"/>
                          <w:szCs w:val="21"/>
                        </w:rPr>
                        <w:t>陇海铁路、徐兰客运专线组成“两横”、</w:t>
                      </w:r>
                      <w:r>
                        <w:rPr>
                          <w:rFonts w:ascii="楷体_GB2312" w:hAnsi="华文中宋" w:eastAsia="楷体_GB2312"/>
                          <w:sz w:val="21"/>
                          <w:szCs w:val="21"/>
                        </w:rPr>
                        <w:t xml:space="preserve">宝中铁路、宝成铁路、麟游运煤铁路专线构成“三纵”，陇海线东西两个方向、西宝高铁东西两个方向、宝成铁路向南、宝麟铁路向东北、宝中铁路向北形成七个方向的辐射 </w:t>
                      </w:r>
                      <w:r>
                        <w:rPr>
                          <w:rFonts w:hint="eastAsia" w:ascii="楷体_GB2312" w:hAnsi="华文中宋" w:eastAsia="楷体_GB2312"/>
                          <w:sz w:val="21"/>
                          <w:szCs w:val="21"/>
                        </w:rPr>
                        <w:t>。</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“十字加外环”的高速公路网：</w:t>
                      </w:r>
                      <w:r>
                        <w:rPr>
                          <w:rFonts w:hint="eastAsia" w:ascii="楷体_GB2312" w:hAnsi="华文中宋" w:eastAsia="楷体_GB2312"/>
                          <w:sz w:val="21"/>
                          <w:szCs w:val="21"/>
                        </w:rPr>
                        <w:t>连霍高速与定汉高速（宝平高速和宝汉高速）在宝鸡市区交叉，形成“十字”，连霍高速市区过境段构成南外环，谋划建设经过蟠龙新区的北绕城高速。</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“两横两纵一环”的干线公路网：两横：</w:t>
                      </w:r>
                      <w:r>
                        <w:rPr>
                          <w:rFonts w:ascii="楷体_GB2312" w:hAnsi="华文中宋" w:eastAsia="楷体_GB2312"/>
                          <w:sz w:val="21"/>
                          <w:szCs w:val="21"/>
                        </w:rPr>
                        <w:t xml:space="preserve"> G30</w:t>
                      </w:r>
                      <w:r>
                        <w:rPr>
                          <w:rFonts w:hint="eastAsia" w:ascii="楷体_GB2312" w:hAnsi="华文中宋" w:eastAsia="楷体_GB2312"/>
                          <w:sz w:val="21"/>
                          <w:szCs w:val="21"/>
                        </w:rPr>
                        <w:t>（连云港</w:t>
                      </w:r>
                      <w:r>
                        <w:rPr>
                          <w:rFonts w:ascii="楷体_GB2312" w:hAnsi="华文中宋" w:eastAsia="楷体_GB2312"/>
                          <w:sz w:val="21"/>
                          <w:szCs w:val="21"/>
                        </w:rPr>
                        <w:t>-</w:t>
                      </w:r>
                      <w:r>
                        <w:rPr>
                          <w:rFonts w:hint="eastAsia" w:ascii="楷体_GB2312" w:hAnsi="华文中宋" w:eastAsia="楷体_GB2312"/>
                          <w:sz w:val="21"/>
                          <w:szCs w:val="21"/>
                        </w:rPr>
                        <w:t>霍尔果斯）西宝南线（东起眉县横渠镇、西至凤阁岭镇牛背陕甘界）、</w:t>
                      </w:r>
                      <w:r>
                        <w:rPr>
                          <w:rFonts w:ascii="楷体_GB2312" w:hAnsi="华文中宋" w:eastAsia="楷体_GB2312"/>
                          <w:sz w:val="21"/>
                          <w:szCs w:val="21"/>
                        </w:rPr>
                        <w:t xml:space="preserve"> G344</w:t>
                      </w:r>
                      <w:r>
                        <w:rPr>
                          <w:rFonts w:hint="eastAsia" w:ascii="楷体_GB2312" w:hAnsi="华文中宋" w:eastAsia="楷体_GB2312"/>
                          <w:sz w:val="21"/>
                          <w:szCs w:val="21"/>
                        </w:rPr>
                        <w:t>（东台</w:t>
                      </w:r>
                      <w:r>
                        <w:rPr>
                          <w:rFonts w:ascii="楷体_GB2312" w:hAnsi="华文中宋" w:eastAsia="楷体_GB2312"/>
                          <w:sz w:val="21"/>
                          <w:szCs w:val="21"/>
                        </w:rPr>
                        <w:t>-</w:t>
                      </w:r>
                      <w:r>
                        <w:rPr>
                          <w:rFonts w:hint="eastAsia" w:ascii="楷体_GB2312" w:hAnsi="华文中宋" w:eastAsia="楷体_GB2312"/>
                          <w:sz w:val="21"/>
                          <w:szCs w:val="21"/>
                        </w:rPr>
                        <w:t>灵武）新增国道（西宝北线）；东起扶风武功界，西至火烧寨镇、陕甘界。</w:t>
                      </w:r>
                      <w:r>
                        <w:rPr>
                          <w:rFonts w:hint="eastAsia" w:ascii="楷体_GB2312" w:hAnsi="华文中宋" w:eastAsia="楷体_GB2312"/>
                          <w:b/>
                          <w:sz w:val="21"/>
                          <w:szCs w:val="21"/>
                        </w:rPr>
                        <w:t>两纵：</w:t>
                      </w:r>
                      <w:r>
                        <w:rPr>
                          <w:rFonts w:ascii="楷体_GB2312" w:hAnsi="华文中宋" w:eastAsia="楷体_GB2312"/>
                          <w:sz w:val="21"/>
                          <w:szCs w:val="21"/>
                        </w:rPr>
                        <w:t xml:space="preserve"> G244</w:t>
                      </w:r>
                      <w:r>
                        <w:rPr>
                          <w:rFonts w:hint="eastAsia" w:ascii="楷体_GB2312" w:hAnsi="华文中宋" w:eastAsia="楷体_GB2312"/>
                          <w:sz w:val="21"/>
                          <w:szCs w:val="21"/>
                        </w:rPr>
                        <w:t>（乌海</w:t>
                      </w:r>
                      <w:r>
                        <w:rPr>
                          <w:rFonts w:ascii="楷体_GB2312" w:hAnsi="华文中宋" w:eastAsia="楷体_GB2312"/>
                          <w:sz w:val="21"/>
                          <w:szCs w:val="21"/>
                        </w:rPr>
                        <w:t>-</w:t>
                      </w:r>
                      <w:r>
                        <w:rPr>
                          <w:rFonts w:hint="eastAsia" w:ascii="楷体_GB2312" w:hAnsi="华文中宋" w:eastAsia="楷体_GB2312"/>
                          <w:sz w:val="21"/>
                          <w:szCs w:val="21"/>
                        </w:rPr>
                        <w:t>江津）新增国道，北起麟游县天堂（陕甘界）南至太白王家</w:t>
                      </w:r>
                      <w:r>
                        <w:rPr>
                          <w:rFonts w:hint="eastAsia" w:ascii="楷体_GB2312" w:hAnsi="华文中宋" w:eastAsia="华文中宋"/>
                          <w:sz w:val="21"/>
                          <w:szCs w:val="21"/>
                        </w:rPr>
                        <w:t>堎</w:t>
                      </w:r>
                      <w:r>
                        <w:rPr>
                          <w:rFonts w:hint="eastAsia" w:ascii="楷体_GB2312" w:hAnsi="华文中宋" w:eastAsia="楷体_GB2312"/>
                          <w:sz w:val="21"/>
                          <w:szCs w:val="21"/>
                        </w:rPr>
                        <w:t>镇，留坝界。</w:t>
                      </w:r>
                      <w:r>
                        <w:rPr>
                          <w:rFonts w:ascii="楷体_GB2312" w:hAnsi="华文中宋" w:eastAsia="楷体_GB2312"/>
                          <w:sz w:val="21"/>
                          <w:szCs w:val="21"/>
                        </w:rPr>
                        <w:t>G342</w:t>
                      </w:r>
                      <w:r>
                        <w:rPr>
                          <w:rFonts w:hint="eastAsia" w:ascii="楷体_GB2312" w:hAnsi="华文中宋" w:eastAsia="楷体_GB2312"/>
                          <w:sz w:val="21"/>
                          <w:szCs w:val="21"/>
                        </w:rPr>
                        <w:t>（日照</w:t>
                      </w:r>
                      <w:r>
                        <w:rPr>
                          <w:rFonts w:ascii="楷体_GB2312" w:hAnsi="华文中宋" w:eastAsia="楷体_GB2312"/>
                          <w:sz w:val="21"/>
                          <w:szCs w:val="21"/>
                        </w:rPr>
                        <w:t>-</w:t>
                      </w:r>
                      <w:r>
                        <w:rPr>
                          <w:rFonts w:hint="eastAsia" w:ascii="楷体_GB2312" w:hAnsi="华文中宋" w:eastAsia="楷体_GB2312"/>
                          <w:sz w:val="21"/>
                          <w:szCs w:val="21"/>
                        </w:rPr>
                        <w:t>凤县）新增国道，北起麟游县崔木镇彬麟界、南至凤县县城。</w:t>
                      </w:r>
                      <w:r>
                        <w:rPr>
                          <w:rFonts w:hint="eastAsia" w:ascii="楷体_GB2312" w:hAnsi="华文中宋" w:eastAsia="楷体_GB2312"/>
                          <w:b/>
                          <w:sz w:val="21"/>
                          <w:szCs w:val="21"/>
                        </w:rPr>
                        <w:t>一环：</w:t>
                      </w:r>
                      <w:r>
                        <w:rPr>
                          <w:rFonts w:hint="eastAsia" w:ascii="楷体_GB2312" w:hAnsi="华文中宋" w:eastAsia="楷体_GB2312"/>
                          <w:sz w:val="21"/>
                          <w:szCs w:val="21"/>
                        </w:rPr>
                        <w:t>关中环线。</w:t>
                      </w:r>
                    </w:p>
                    <w:p>
                      <w:pPr>
                        <w:spacing w:after="0" w:line="300" w:lineRule="exact"/>
                        <w:ind w:firstLine="422" w:firstLineChars="200"/>
                        <w:jc w:val="both"/>
                      </w:pPr>
                      <w:r>
                        <w:rPr>
                          <w:rFonts w:hint="eastAsia" w:ascii="楷体_GB2312" w:eastAsia="楷体_GB2312"/>
                          <w:b/>
                          <w:sz w:val="21"/>
                          <w:szCs w:val="21"/>
                        </w:rPr>
                        <w:t>“空港两用五辐射”的航空网：</w:t>
                      </w:r>
                      <w:r>
                        <w:rPr>
                          <w:rFonts w:hint="eastAsia" w:ascii="楷体_GB2312" w:eastAsia="楷体_GB2312"/>
                          <w:sz w:val="21"/>
                          <w:szCs w:val="21"/>
                        </w:rPr>
                        <w:t>空港：宝鸡机场军民两用。五辐射：东北（北京、天津）方向，正南（广州、深圳）方向，西南（成都、重庆、昆明）方向，东南（上海、南京）方向，西北（兰州、乌鲁木齐、西宁）方向。</w:t>
                      </w:r>
                    </w:p>
                  </w:txbxContent>
                </v:textbox>
                <w10:wrap type="square"/>
              </v:shape>
            </w:pict>
          </mc:Fallback>
        </mc:AlternateContent>
      </w:r>
      <w:r>
        <w:rPr>
          <w:rFonts w:hint="eastAsia" w:ascii="仿宋_GB2312" w:hAnsi="华文中宋" w:eastAsia="仿宋_GB2312"/>
          <w:sz w:val="32"/>
          <w:szCs w:val="32"/>
        </w:rPr>
        <w:t>以巩固和提升交通枢纽地位，增强宝鸡交通枢纽功能为目标，加快构建铁路、公路、航空综合运输体系。实现航空、铁路、公路运输与客运、公交等交通方式有机衔接、换乘便利的立体综合交通网络服务体系，基本实现县县通高速公路，二级以上干线公路通达县城。县城建成二级以上客运站，乡镇建成五级以上客运站，行政村建有招呼站。全面推进铁路和高速公路“双十字”骨架，形成“两横三纵七辐射”的铁路网、“十字加外环”的高速公路网、“两横两纵一环”的干线公路网、“空港两用五辐射”的航空网。实现以市区为中心</w:t>
      </w:r>
      <w:r>
        <w:rPr>
          <w:rFonts w:ascii="仿宋_GB2312" w:hAnsi="华文中宋" w:eastAsia="仿宋_GB2312"/>
          <w:sz w:val="32"/>
          <w:szCs w:val="32"/>
        </w:rPr>
        <w:t>3</w:t>
      </w:r>
      <w:r>
        <w:rPr>
          <w:rFonts w:hint="eastAsia" w:ascii="仿宋_GB2312" w:hAnsi="华文中宋" w:eastAsia="仿宋_GB2312"/>
          <w:sz w:val="32"/>
          <w:szCs w:val="32"/>
        </w:rPr>
        <w:t>小时内到达周边城市，</w:t>
      </w:r>
      <w:r>
        <w:rPr>
          <w:rFonts w:ascii="仿宋_GB2312" w:hAnsi="华文中宋" w:eastAsia="仿宋_GB2312"/>
          <w:sz w:val="32"/>
          <w:szCs w:val="32"/>
        </w:rPr>
        <w:t>3</w:t>
      </w:r>
      <w:r>
        <w:rPr>
          <w:rFonts w:hint="eastAsia" w:ascii="仿宋_GB2312" w:hAnsi="华文中宋" w:eastAsia="仿宋_GB2312"/>
          <w:sz w:val="32"/>
          <w:szCs w:val="32"/>
        </w:rPr>
        <w:t>－</w:t>
      </w:r>
      <w:r>
        <w:rPr>
          <w:rFonts w:ascii="仿宋_GB2312" w:hAnsi="华文中宋" w:eastAsia="仿宋_GB2312"/>
          <w:sz w:val="32"/>
          <w:szCs w:val="32"/>
        </w:rPr>
        <w:t>6</w:t>
      </w:r>
      <w:r>
        <w:rPr>
          <w:rFonts w:hint="eastAsia" w:ascii="仿宋_GB2312" w:hAnsi="华文中宋" w:eastAsia="仿宋_GB2312"/>
          <w:sz w:val="32"/>
          <w:szCs w:val="32"/>
        </w:rPr>
        <w:t>小时到达周边省会城市，</w:t>
      </w:r>
      <w:r>
        <w:rPr>
          <w:rFonts w:ascii="仿宋_GB2312" w:hAnsi="华文中宋" w:eastAsia="仿宋_GB2312"/>
          <w:sz w:val="32"/>
          <w:szCs w:val="32"/>
        </w:rPr>
        <w:t>6</w:t>
      </w:r>
      <w:r>
        <w:rPr>
          <w:rFonts w:hint="eastAsia" w:ascii="仿宋_GB2312" w:hAnsi="华文中宋" w:eastAsia="仿宋_GB2312"/>
          <w:sz w:val="32"/>
          <w:szCs w:val="32"/>
        </w:rPr>
        <w:t>－</w:t>
      </w:r>
      <w:r>
        <w:rPr>
          <w:rFonts w:ascii="仿宋_GB2312" w:hAnsi="华文中宋" w:eastAsia="仿宋_GB2312"/>
          <w:sz w:val="32"/>
          <w:szCs w:val="32"/>
        </w:rPr>
        <w:t>8</w:t>
      </w:r>
      <w:r>
        <w:rPr>
          <w:rFonts w:hint="eastAsia" w:ascii="仿宋_GB2312" w:hAnsi="华文中宋" w:eastAsia="仿宋_GB2312"/>
          <w:sz w:val="32"/>
          <w:szCs w:val="32"/>
        </w:rPr>
        <w:t xml:space="preserve">小时到达东南沿海城市的快速交通圈。加快邮政转型、快递突破发展，打造覆盖城乡、布局合理、普民惠民的现代寄递网络。 </w:t>
      </w:r>
    </w:p>
    <w:p>
      <w:r>
        <w:drawing>
          <wp:anchor distT="0" distB="0" distL="114300" distR="114300" simplePos="0" relativeHeight="251721728" behindDoc="0" locked="0" layoutInCell="1" allowOverlap="1">
            <wp:simplePos x="0" y="0"/>
            <wp:positionH relativeFrom="column">
              <wp:posOffset>0</wp:posOffset>
            </wp:positionH>
            <wp:positionV relativeFrom="paragraph">
              <wp:posOffset>5080</wp:posOffset>
            </wp:positionV>
            <wp:extent cx="5490210" cy="8816340"/>
            <wp:effectExtent l="0" t="0" r="15240" b="3810"/>
            <wp:wrapSquare wrapText="bothSides"/>
            <wp:docPr id="62" name="图片 12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6" descr="10"/>
                    <pic:cNvPicPr>
                      <a:picLocks noChangeAspect="1"/>
                    </pic:cNvPicPr>
                  </pic:nvPicPr>
                  <pic:blipFill>
                    <a:blip r:embed="rId33"/>
                    <a:stretch>
                      <a:fillRect/>
                    </a:stretch>
                  </pic:blipFill>
                  <pic:spPr>
                    <a:xfrm>
                      <a:off x="0" y="0"/>
                      <a:ext cx="5490210" cy="8816340"/>
                    </a:xfrm>
                    <a:prstGeom prst="rect">
                      <a:avLst/>
                    </a:prstGeom>
                    <a:noFill/>
                    <a:ln>
                      <a:noFill/>
                    </a:ln>
                  </pic:spPr>
                </pic:pic>
              </a:graphicData>
            </a:graphic>
          </wp:anchor>
        </w:drawing>
      </w:r>
    </w:p>
    <w:p>
      <w:pPr>
        <w:rPr>
          <w:rFonts w:ascii="仿宋_GB2312" w:hAnsi="华文中宋" w:eastAsia="仿宋_GB2312"/>
          <w:sz w:val="32"/>
          <w:szCs w:val="32"/>
        </w:rPr>
        <w:sectPr>
          <w:pgSz w:w="11906" w:h="16838"/>
          <w:pgMar w:top="1418" w:right="1588" w:bottom="1418" w:left="1588" w:header="851" w:footer="397" w:gutter="0"/>
          <w:cols w:space="425" w:num="1"/>
          <w:docGrid w:type="lines" w:linePitch="312" w:charSpace="0"/>
        </w:sectPr>
      </w:pPr>
    </w:p>
    <w:p>
      <w:pPr>
        <w:tabs>
          <w:tab w:val="left" w:pos="451"/>
        </w:tabs>
        <w:rPr>
          <w:rFonts w:ascii="仿宋_GB2312" w:hAnsi="华文中宋" w:eastAsia="仿宋_GB2312"/>
          <w:sz w:val="32"/>
          <w:szCs w:val="32"/>
        </w:rPr>
        <w:sectPr>
          <w:pgSz w:w="11906" w:h="16838"/>
          <w:pgMar w:top="1418" w:right="1588" w:bottom="1418" w:left="1588" w:header="851" w:footer="397" w:gutter="0"/>
          <w:cols w:space="425" w:num="1"/>
          <w:docGrid w:type="lines" w:linePitch="312" w:charSpace="0"/>
        </w:sectPr>
      </w:pPr>
      <w:r>
        <w:rPr>
          <w:lang/>
        </w:rPr>
        <w:drawing>
          <wp:anchor distT="0" distB="0" distL="114300" distR="114300" simplePos="0" relativeHeight="251722752" behindDoc="0" locked="0" layoutInCell="1" allowOverlap="1">
            <wp:simplePos x="0" y="0"/>
            <wp:positionH relativeFrom="column">
              <wp:posOffset>0</wp:posOffset>
            </wp:positionH>
            <wp:positionV relativeFrom="paragraph">
              <wp:posOffset>-6985</wp:posOffset>
            </wp:positionV>
            <wp:extent cx="5546725" cy="8892540"/>
            <wp:effectExtent l="0" t="0" r="15875" b="3810"/>
            <wp:wrapSquare wrapText="bothSides"/>
            <wp:docPr id="63" name="图片 16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3" descr="3"/>
                    <pic:cNvPicPr>
                      <a:picLocks noChangeAspect="1"/>
                    </pic:cNvPicPr>
                  </pic:nvPicPr>
                  <pic:blipFill>
                    <a:blip r:embed="rId34"/>
                    <a:stretch>
                      <a:fillRect/>
                    </a:stretch>
                  </pic:blipFill>
                  <pic:spPr>
                    <a:xfrm>
                      <a:off x="0" y="0"/>
                      <a:ext cx="5546725" cy="8892540"/>
                    </a:xfrm>
                    <a:prstGeom prst="rect">
                      <a:avLst/>
                    </a:prstGeom>
                    <a:noFill/>
                    <a:ln>
                      <a:noFill/>
                    </a:ln>
                  </pic:spPr>
                </pic:pic>
              </a:graphicData>
            </a:graphic>
          </wp:anchor>
        </w:drawing>
      </w:r>
      <w:r>
        <w:rPr>
          <w:rFonts w:ascii="仿宋_GB2312" w:hAnsi="华文中宋" w:eastAsia="仿宋_GB2312"/>
          <w:sz w:val="32"/>
          <w:szCs w:val="32"/>
        </w:rPr>
        <w:tab/>
      </w:r>
    </w:p>
    <w:p>
      <w:pPr>
        <w:spacing w:after="0" w:line="620" w:lineRule="exact"/>
        <w:jc w:val="center"/>
        <w:rPr>
          <w:rFonts w:ascii="楷体_GB2312" w:hAnsi="华文中宋" w:eastAsia="楷体_GB2312"/>
          <w:b/>
          <w:sz w:val="32"/>
          <w:szCs w:val="32"/>
        </w:rPr>
      </w:pPr>
    </w:p>
    <w:p>
      <w:pPr>
        <w:spacing w:after="0" w:line="620" w:lineRule="exact"/>
        <w:jc w:val="center"/>
        <w:rPr>
          <w:rFonts w:ascii="楷体_GB2312" w:hAnsi="华文中宋" w:eastAsia="楷体_GB2312"/>
          <w:b/>
          <w:sz w:val="32"/>
          <w:szCs w:val="32"/>
        </w:rPr>
      </w:pPr>
      <w:r>
        <w:rPr>
          <w:rFonts w:hint="eastAsia" w:ascii="楷体_GB2312" w:hAnsi="华文中宋" w:eastAsia="楷体_GB2312"/>
          <w:b/>
          <w:sz w:val="32"/>
          <w:szCs w:val="32"/>
        </w:rPr>
        <w:t>第二节</w:t>
      </w:r>
      <w:r>
        <w:rPr>
          <w:rFonts w:ascii="楷体_GB2312" w:hAnsi="华文中宋" w:eastAsia="楷体_GB2312"/>
          <w:b/>
          <w:sz w:val="32"/>
          <w:szCs w:val="32"/>
        </w:rPr>
        <w:t xml:space="preserve">  </w:t>
      </w:r>
      <w:r>
        <w:rPr>
          <w:rFonts w:hint="eastAsia" w:ascii="楷体_GB2312" w:hAnsi="华文中宋" w:eastAsia="楷体_GB2312"/>
          <w:b/>
          <w:sz w:val="32"/>
          <w:szCs w:val="32"/>
        </w:rPr>
        <w:t>加强铁路及轨道交通建设</w:t>
      </w:r>
    </w:p>
    <w:p>
      <w:pPr>
        <w:spacing w:after="0" w:line="620" w:lineRule="exact"/>
        <w:ind w:firstLine="550" w:firstLineChars="250"/>
        <w:jc w:val="both"/>
        <w:rPr>
          <w:rFonts w:ascii="仿宋_GB2312" w:hAnsi="华文中宋" w:eastAsia="仿宋_GB2312"/>
          <w:color w:val="000000"/>
          <w:sz w:val="32"/>
          <w:szCs w:val="32"/>
        </w:rPr>
      </w:pPr>
      <w:r>
        <w:rPr>
          <w:lang/>
        </w:rPr>
        <mc:AlternateContent>
          <mc:Choice Requires="wps">
            <w:drawing>
              <wp:anchor distT="45720" distB="45720" distL="114300" distR="114300" simplePos="0" relativeHeight="251682816" behindDoc="0" locked="0" layoutInCell="1" allowOverlap="1">
                <wp:simplePos x="0" y="0"/>
                <wp:positionH relativeFrom="column">
                  <wp:posOffset>5715</wp:posOffset>
                </wp:positionH>
                <wp:positionV relativeFrom="paragraph">
                  <wp:posOffset>4426585</wp:posOffset>
                </wp:positionV>
                <wp:extent cx="5532120" cy="2826385"/>
                <wp:effectExtent l="4445" t="4445" r="6985" b="7620"/>
                <wp:wrapSquare wrapText="bothSides"/>
                <wp:docPr id="24" name="文本框 2"/>
                <wp:cNvGraphicFramePr/>
                <a:graphic xmlns:a="http://schemas.openxmlformats.org/drawingml/2006/main">
                  <a:graphicData uri="http://schemas.microsoft.com/office/word/2010/wordprocessingShape">
                    <wps:wsp>
                      <wps:cNvSpPr txBox="1"/>
                      <wps:spPr>
                        <a:xfrm>
                          <a:off x="0" y="0"/>
                          <a:ext cx="5532120" cy="282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4</w:t>
                            </w:r>
                          </w:p>
                          <w:p>
                            <w:pPr>
                              <w:spacing w:after="0" w:line="300" w:lineRule="exact"/>
                              <w:jc w:val="center"/>
                              <w:rPr>
                                <w:rFonts w:ascii="黑体" w:hAnsi="黑体" w:eastAsia="黑体"/>
                                <w:b/>
                                <w:sz w:val="21"/>
                                <w:szCs w:val="21"/>
                              </w:rPr>
                            </w:pPr>
                            <w:r>
                              <w:rPr>
                                <w:rFonts w:hint="eastAsia" w:ascii="黑体" w:hAnsi="黑体" w:eastAsia="黑体"/>
                                <w:b/>
                                <w:sz w:val="21"/>
                                <w:szCs w:val="21"/>
                              </w:rPr>
                              <w:t>铁路及轨道交通建设工程</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快速铁路：</w:t>
                            </w:r>
                            <w:r>
                              <w:rPr>
                                <w:rFonts w:hint="eastAsia" w:ascii="楷体_GB2312" w:hAnsi="华文中宋" w:eastAsia="楷体_GB2312"/>
                                <w:sz w:val="21"/>
                                <w:szCs w:val="21"/>
                              </w:rPr>
                              <w:t>建成营运宝鸡—兰州客运专线。</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复线铁路：</w:t>
                            </w:r>
                            <w:r>
                              <w:rPr>
                                <w:rFonts w:hint="eastAsia" w:ascii="楷体_GB2312" w:hAnsi="华文中宋" w:eastAsia="楷体_GB2312"/>
                                <w:sz w:val="21"/>
                                <w:szCs w:val="21"/>
                              </w:rPr>
                              <w:t>争取开工建设宝鸡—中卫复线。</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枢纽建设：</w:t>
                            </w:r>
                            <w:r>
                              <w:rPr>
                                <w:rFonts w:hint="eastAsia" w:ascii="楷体_GB2312" w:hAnsi="华文中宋" w:eastAsia="楷体_GB2312"/>
                                <w:sz w:val="21"/>
                                <w:szCs w:val="21"/>
                              </w:rPr>
                              <w:t>开工建设宝鸡铁路枢纽货运设施、阳平铁路物流中心项目，包括铁路货场、集装箱货区、快运货区、特货区等配套基础设施。</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地方铁路：</w:t>
                            </w:r>
                            <w:r>
                              <w:rPr>
                                <w:rFonts w:hint="eastAsia" w:ascii="楷体_GB2312" w:hAnsi="华文中宋" w:eastAsia="楷体_GB2312"/>
                                <w:sz w:val="21"/>
                                <w:szCs w:val="21"/>
                              </w:rPr>
                              <w:t>建成营运宝鸡—麟游运煤专线。开工建设长青工业园区铁路专用线等地方专用支线铁路。</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前期铁路及轨道交通项目：</w:t>
                            </w:r>
                            <w:r>
                              <w:rPr>
                                <w:rFonts w:hint="eastAsia" w:ascii="楷体_GB2312" w:hAnsi="华文中宋" w:eastAsia="楷体_GB2312"/>
                                <w:sz w:val="21"/>
                                <w:szCs w:val="21"/>
                              </w:rPr>
                              <w:t>宝鸡铁路枢纽货运南环线、宝麟铁路向北延伸连接西平线、宝鸡</w:t>
                            </w:r>
                            <w:r>
                              <w:rPr>
                                <w:rFonts w:ascii="楷体_GB2312" w:hAnsi="华文中宋" w:eastAsia="楷体_GB2312"/>
                                <w:sz w:val="21"/>
                                <w:szCs w:val="21"/>
                              </w:rPr>
                              <w:t>-</w:t>
                            </w:r>
                            <w:r>
                              <w:rPr>
                                <w:rFonts w:hint="eastAsia" w:ascii="楷体_GB2312" w:hAnsi="华文中宋" w:eastAsia="楷体_GB2312"/>
                                <w:sz w:val="21"/>
                                <w:szCs w:val="21"/>
                              </w:rPr>
                              <w:t>汉中</w:t>
                            </w:r>
                            <w:r>
                              <w:rPr>
                                <w:rFonts w:ascii="楷体_GB2312" w:hAnsi="华文中宋" w:eastAsia="楷体_GB2312"/>
                                <w:sz w:val="21"/>
                                <w:szCs w:val="21"/>
                              </w:rPr>
                              <w:t>-</w:t>
                            </w:r>
                            <w:r>
                              <w:rPr>
                                <w:rFonts w:hint="eastAsia" w:ascii="楷体_GB2312" w:hAnsi="华文中宋" w:eastAsia="楷体_GB2312"/>
                                <w:sz w:val="21"/>
                                <w:szCs w:val="21"/>
                              </w:rPr>
                              <w:t>巴中</w:t>
                            </w:r>
                            <w:r>
                              <w:rPr>
                                <w:rFonts w:ascii="楷体_GB2312" w:hAnsi="华文中宋" w:eastAsia="楷体_GB2312"/>
                                <w:sz w:val="21"/>
                                <w:szCs w:val="21"/>
                              </w:rPr>
                              <w:t>-</w:t>
                            </w:r>
                            <w:r>
                              <w:rPr>
                                <w:rFonts w:hint="eastAsia" w:ascii="楷体_GB2312" w:hAnsi="华文中宋" w:eastAsia="楷体_GB2312"/>
                                <w:sz w:val="21"/>
                                <w:szCs w:val="21"/>
                              </w:rPr>
                              <w:t>南充铁路、关中城际铁路咸阳机场</w:t>
                            </w:r>
                            <w:r>
                              <w:rPr>
                                <w:rFonts w:ascii="楷体_GB2312" w:hAnsi="华文中宋" w:eastAsia="楷体_GB2312"/>
                                <w:sz w:val="21"/>
                                <w:szCs w:val="21"/>
                              </w:rPr>
                              <w:t>—</w:t>
                            </w:r>
                            <w:r>
                              <w:rPr>
                                <w:rFonts w:hint="eastAsia" w:ascii="楷体_GB2312" w:hAnsi="华文中宋" w:eastAsia="楷体_GB2312"/>
                                <w:sz w:val="21"/>
                                <w:szCs w:val="21"/>
                              </w:rPr>
                              <w:t>法门寺</w:t>
                            </w:r>
                            <w:r>
                              <w:rPr>
                                <w:rFonts w:ascii="楷体_GB2312" w:hAnsi="华文中宋" w:eastAsia="楷体_GB2312"/>
                                <w:sz w:val="21"/>
                                <w:szCs w:val="21"/>
                              </w:rPr>
                              <w:t>—</w:t>
                            </w:r>
                            <w:r>
                              <w:rPr>
                                <w:rFonts w:hint="eastAsia" w:ascii="楷体_GB2312" w:hAnsi="华文中宋" w:eastAsia="楷体_GB2312"/>
                                <w:sz w:val="21"/>
                                <w:szCs w:val="21"/>
                              </w:rPr>
                              <w:t>凤翔、蔡家坡</w:t>
                            </w:r>
                            <w:r>
                              <w:rPr>
                                <w:rFonts w:ascii="楷体_GB2312" w:hAnsi="华文中宋" w:eastAsia="楷体_GB2312"/>
                                <w:sz w:val="21"/>
                                <w:szCs w:val="21"/>
                              </w:rPr>
                              <w:t>—</w:t>
                            </w:r>
                            <w:r>
                              <w:rPr>
                                <w:rFonts w:hint="eastAsia" w:ascii="楷体_GB2312" w:hAnsi="华文中宋" w:eastAsia="楷体_GB2312"/>
                                <w:sz w:val="21"/>
                                <w:szCs w:val="21"/>
                              </w:rPr>
                              <w:t>市区城际铁路前期研究。</w:t>
                            </w:r>
                          </w:p>
                          <w:p>
                            <w:pPr>
                              <w:spacing w:after="0" w:line="300" w:lineRule="exact"/>
                              <w:ind w:firstLine="422" w:firstLineChars="200"/>
                              <w:jc w:val="both"/>
                              <w:rPr>
                                <w:rFonts w:hint="eastAsia" w:ascii="楷体_GB2312" w:hAnsi="华文中宋" w:eastAsia="楷体_GB2312"/>
                                <w:b/>
                                <w:sz w:val="21"/>
                                <w:szCs w:val="21"/>
                              </w:rPr>
                            </w:pPr>
                            <w:r>
                              <w:rPr>
                                <w:rFonts w:hint="eastAsia" w:ascii="楷体_GB2312" w:hAnsi="华文中宋" w:eastAsia="楷体_GB2312"/>
                                <w:b/>
                                <w:sz w:val="21"/>
                                <w:szCs w:val="21"/>
                              </w:rPr>
                              <w:t>城市轻轨：</w:t>
                            </w:r>
                            <w:r>
                              <w:rPr>
                                <w:rFonts w:hint="eastAsia" w:ascii="楷体_GB2312" w:hAnsi="华文中宋" w:eastAsia="楷体_GB2312"/>
                                <w:sz w:val="21"/>
                                <w:szCs w:val="21"/>
                              </w:rPr>
                              <w:t>谋划建设城市轻轨交通线网，规划合理的城市交通线路，分期实施，“十三五”期间力争建成轨道交通一期工程。</w:t>
                            </w:r>
                          </w:p>
                        </w:txbxContent>
                      </wps:txbx>
                      <wps:bodyPr wrap="square" upright="1"/>
                    </wps:wsp>
                  </a:graphicData>
                </a:graphic>
              </wp:anchor>
            </w:drawing>
          </mc:Choice>
          <mc:Fallback>
            <w:pict>
              <v:shape id="文本框 2" o:spid="_x0000_s1026" o:spt="202" type="#_x0000_t202" style="position:absolute;left:0pt;margin-left:0.45pt;margin-top:348.55pt;height:222.55pt;width:435.6pt;mso-wrap-distance-bottom:3.6pt;mso-wrap-distance-left:9pt;mso-wrap-distance-right:9pt;mso-wrap-distance-top:3.6pt;z-index:251682816;mso-width-relative:margin;mso-height-relative:margin;" fillcolor="#FFFFFF" filled="t" stroked="t" coordsize="21600,21600" o:gfxdata="UEsDBAoAAAAAAIdO4kAAAAAAAAAAAAAAAAAEAAAAZHJzL1BLAwQUAAAACACHTuJAVrIvvdgAAAAJ&#10;AQAADwAAAGRycy9kb3ducmV2LnhtbE2PTU/DMAyG70j8h8hIXBBLW6Z+0XQHJBDcYCC4Zo3XViRO&#10;abJu/HvMCW623kevHzebk7NiwTmMnhSkqwQEUufNSL2Ct9f76xJEiJqMtp5QwTcG2LTnZ42ujT/S&#10;Cy7b2AsuoVBrBUOMUy1l6AZ0Oqz8hMTZ3s9OR17nXppZH7ncWZklSS6dHokvDHrCuwG7z+3BKSjX&#10;j8tHeLp5fu/yva3iVbE8fM1KXV6kyS2IiKf4B8OvPqtDy047fyAThFVQMacgr4oUBMdlkfGwYy5d&#10;ZxnItpH/P2h/AFBLAwQUAAAACACHTuJAiWpV0BYCAABGBAAADgAAAGRycy9lMm9Eb2MueG1srVNN&#10;rtMwEN4jcQfLe5o2jz6VqOmToJQNAqQHB5jaTmLJf9huk14AbsCKDXvO1XMwdvr6fmDRBVk4Y8/4&#10;m/m+GS9vBq3IXvggranpbDKlRBhmuTRtTb983rxYUBIiGA7KGlHTgwj0ZvX82bJ3lShtZxUXniCI&#10;CVXvatrF6KqiCKwTGsLEOmHQ2VivIeLWtwX30CO6VkU5nV4XvfXcectECHi6Hp30hOgvAbRNI5lY&#10;W7bTwsQR1QsFESmFTrpAV7naphEsfmyaICJRNUWmMa+YBO1tWovVEqrWg+skO5UAl5TwhJMGaTDp&#10;GWoNEcjOy7+gtGTeBtvECbO6GIlkRZDFbPpEm9sOnMhcUOrgzqKH/wfLPuw/eSJ5TcuXlBjQ2PHj&#10;j+/Hn7+Pv76RMunTu1Bh2K3DwDi8tgNOzd15wMNEe2i8Tn8kRNCP6h7O6oohEoaH8/lVOSvRxdBX&#10;Lsrrq8U84RT3150P8Z2wmiSjph7bl1WF/fsQx9C7kJQtWCX5RiqVN77dvlGe7AFbvcnfCf1RmDKk&#10;r+mreTnHQgDnt8G5QVM71CCYNud7dCM8BJ7m71/AqbA1hG4sICOkMKi0jMJnqxPA3xpO4sGhzAaf&#10;F03FaMEpUQJfY7JyZASpLolE7ZRBCVOPxl4kKw7bAWGSubX8gH3rccKR3tcdeMy5c162HQqc+5gv&#10;43jlTpyeQprfh/uc4v75r/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rIvvdgAAAAJAQAADwAA&#10;AAAAAAABACAAAAAiAAAAZHJzL2Rvd25yZXYueG1sUEsBAhQAFAAAAAgAh07iQIlqVdAWAgAARgQA&#10;AA4AAAAAAAAAAQAgAAAAJwEAAGRycy9lMm9Eb2MueG1sUEsFBgAAAAAGAAYAWQEAAK8FAAAAAA==&#10;">
                <v:fill on="t" focussize="0,0"/>
                <v:stroke color="#000000" joinstyle="miter"/>
                <v:imagedata o:title=""/>
                <o:lock v:ext="edit" aspectratio="f"/>
                <v:textbo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4</w:t>
                      </w:r>
                    </w:p>
                    <w:p>
                      <w:pPr>
                        <w:spacing w:after="0" w:line="300" w:lineRule="exact"/>
                        <w:jc w:val="center"/>
                        <w:rPr>
                          <w:rFonts w:ascii="黑体" w:hAnsi="黑体" w:eastAsia="黑体"/>
                          <w:b/>
                          <w:sz w:val="21"/>
                          <w:szCs w:val="21"/>
                        </w:rPr>
                      </w:pPr>
                      <w:r>
                        <w:rPr>
                          <w:rFonts w:hint="eastAsia" w:ascii="黑体" w:hAnsi="黑体" w:eastAsia="黑体"/>
                          <w:b/>
                          <w:sz w:val="21"/>
                          <w:szCs w:val="21"/>
                        </w:rPr>
                        <w:t>铁路及轨道交通建设工程</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快速铁路：</w:t>
                      </w:r>
                      <w:r>
                        <w:rPr>
                          <w:rFonts w:hint="eastAsia" w:ascii="楷体_GB2312" w:hAnsi="华文中宋" w:eastAsia="楷体_GB2312"/>
                          <w:sz w:val="21"/>
                          <w:szCs w:val="21"/>
                        </w:rPr>
                        <w:t>建成营运宝鸡—兰州客运专线。</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复线铁路：</w:t>
                      </w:r>
                      <w:r>
                        <w:rPr>
                          <w:rFonts w:hint="eastAsia" w:ascii="楷体_GB2312" w:hAnsi="华文中宋" w:eastAsia="楷体_GB2312"/>
                          <w:sz w:val="21"/>
                          <w:szCs w:val="21"/>
                        </w:rPr>
                        <w:t>争取开工建设宝鸡—中卫复线。</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枢纽建设：</w:t>
                      </w:r>
                      <w:r>
                        <w:rPr>
                          <w:rFonts w:hint="eastAsia" w:ascii="楷体_GB2312" w:hAnsi="华文中宋" w:eastAsia="楷体_GB2312"/>
                          <w:sz w:val="21"/>
                          <w:szCs w:val="21"/>
                        </w:rPr>
                        <w:t>开工建设宝鸡铁路枢纽货运设施、阳平铁路物流中心项目，包括铁路货场、集装箱货区、快运货区、特货区等配套基础设施。</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地方铁路：</w:t>
                      </w:r>
                      <w:r>
                        <w:rPr>
                          <w:rFonts w:hint="eastAsia" w:ascii="楷体_GB2312" w:hAnsi="华文中宋" w:eastAsia="楷体_GB2312"/>
                          <w:sz w:val="21"/>
                          <w:szCs w:val="21"/>
                        </w:rPr>
                        <w:t>建成营运宝鸡—麟游运煤专线。开工建设长青工业园区铁路专用线等地方专用支线铁路。</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前期铁路及轨道交通项目：</w:t>
                      </w:r>
                      <w:r>
                        <w:rPr>
                          <w:rFonts w:hint="eastAsia" w:ascii="楷体_GB2312" w:hAnsi="华文中宋" w:eastAsia="楷体_GB2312"/>
                          <w:sz w:val="21"/>
                          <w:szCs w:val="21"/>
                        </w:rPr>
                        <w:t>宝鸡铁路枢纽货运南环线、宝麟铁路向北延伸连接西平线、宝鸡</w:t>
                      </w:r>
                      <w:r>
                        <w:rPr>
                          <w:rFonts w:ascii="楷体_GB2312" w:hAnsi="华文中宋" w:eastAsia="楷体_GB2312"/>
                          <w:sz w:val="21"/>
                          <w:szCs w:val="21"/>
                        </w:rPr>
                        <w:t>-</w:t>
                      </w:r>
                      <w:r>
                        <w:rPr>
                          <w:rFonts w:hint="eastAsia" w:ascii="楷体_GB2312" w:hAnsi="华文中宋" w:eastAsia="楷体_GB2312"/>
                          <w:sz w:val="21"/>
                          <w:szCs w:val="21"/>
                        </w:rPr>
                        <w:t>汉中</w:t>
                      </w:r>
                      <w:r>
                        <w:rPr>
                          <w:rFonts w:ascii="楷体_GB2312" w:hAnsi="华文中宋" w:eastAsia="楷体_GB2312"/>
                          <w:sz w:val="21"/>
                          <w:szCs w:val="21"/>
                        </w:rPr>
                        <w:t>-</w:t>
                      </w:r>
                      <w:r>
                        <w:rPr>
                          <w:rFonts w:hint="eastAsia" w:ascii="楷体_GB2312" w:hAnsi="华文中宋" w:eastAsia="楷体_GB2312"/>
                          <w:sz w:val="21"/>
                          <w:szCs w:val="21"/>
                        </w:rPr>
                        <w:t>巴中</w:t>
                      </w:r>
                      <w:r>
                        <w:rPr>
                          <w:rFonts w:ascii="楷体_GB2312" w:hAnsi="华文中宋" w:eastAsia="楷体_GB2312"/>
                          <w:sz w:val="21"/>
                          <w:szCs w:val="21"/>
                        </w:rPr>
                        <w:t>-</w:t>
                      </w:r>
                      <w:r>
                        <w:rPr>
                          <w:rFonts w:hint="eastAsia" w:ascii="楷体_GB2312" w:hAnsi="华文中宋" w:eastAsia="楷体_GB2312"/>
                          <w:sz w:val="21"/>
                          <w:szCs w:val="21"/>
                        </w:rPr>
                        <w:t>南充铁路、关中城际铁路咸阳机场</w:t>
                      </w:r>
                      <w:r>
                        <w:rPr>
                          <w:rFonts w:ascii="楷体_GB2312" w:hAnsi="华文中宋" w:eastAsia="楷体_GB2312"/>
                          <w:sz w:val="21"/>
                          <w:szCs w:val="21"/>
                        </w:rPr>
                        <w:t>—</w:t>
                      </w:r>
                      <w:r>
                        <w:rPr>
                          <w:rFonts w:hint="eastAsia" w:ascii="楷体_GB2312" w:hAnsi="华文中宋" w:eastAsia="楷体_GB2312"/>
                          <w:sz w:val="21"/>
                          <w:szCs w:val="21"/>
                        </w:rPr>
                        <w:t>法门寺</w:t>
                      </w:r>
                      <w:r>
                        <w:rPr>
                          <w:rFonts w:ascii="楷体_GB2312" w:hAnsi="华文中宋" w:eastAsia="楷体_GB2312"/>
                          <w:sz w:val="21"/>
                          <w:szCs w:val="21"/>
                        </w:rPr>
                        <w:t>—</w:t>
                      </w:r>
                      <w:r>
                        <w:rPr>
                          <w:rFonts w:hint="eastAsia" w:ascii="楷体_GB2312" w:hAnsi="华文中宋" w:eastAsia="楷体_GB2312"/>
                          <w:sz w:val="21"/>
                          <w:szCs w:val="21"/>
                        </w:rPr>
                        <w:t>凤翔、蔡家坡</w:t>
                      </w:r>
                      <w:r>
                        <w:rPr>
                          <w:rFonts w:ascii="楷体_GB2312" w:hAnsi="华文中宋" w:eastAsia="楷体_GB2312"/>
                          <w:sz w:val="21"/>
                          <w:szCs w:val="21"/>
                        </w:rPr>
                        <w:t>—</w:t>
                      </w:r>
                      <w:r>
                        <w:rPr>
                          <w:rFonts w:hint="eastAsia" w:ascii="楷体_GB2312" w:hAnsi="华文中宋" w:eastAsia="楷体_GB2312"/>
                          <w:sz w:val="21"/>
                          <w:szCs w:val="21"/>
                        </w:rPr>
                        <w:t>市区城际铁路前期研究。</w:t>
                      </w:r>
                    </w:p>
                    <w:p>
                      <w:pPr>
                        <w:spacing w:after="0" w:line="300" w:lineRule="exact"/>
                        <w:ind w:firstLine="422" w:firstLineChars="200"/>
                        <w:jc w:val="both"/>
                        <w:rPr>
                          <w:rFonts w:hint="eastAsia" w:ascii="楷体_GB2312" w:hAnsi="华文中宋" w:eastAsia="楷体_GB2312"/>
                          <w:b/>
                          <w:sz w:val="21"/>
                          <w:szCs w:val="21"/>
                        </w:rPr>
                      </w:pPr>
                      <w:r>
                        <w:rPr>
                          <w:rFonts w:hint="eastAsia" w:ascii="楷体_GB2312" w:hAnsi="华文中宋" w:eastAsia="楷体_GB2312"/>
                          <w:b/>
                          <w:sz w:val="21"/>
                          <w:szCs w:val="21"/>
                        </w:rPr>
                        <w:t>城市轻轨：</w:t>
                      </w:r>
                      <w:r>
                        <w:rPr>
                          <w:rFonts w:hint="eastAsia" w:ascii="楷体_GB2312" w:hAnsi="华文中宋" w:eastAsia="楷体_GB2312"/>
                          <w:sz w:val="21"/>
                          <w:szCs w:val="21"/>
                        </w:rPr>
                        <w:t>谋划建设城市轻轨交通线网，规划合理的城市交通线路，分期实施，“十三五”期间力争建成轨道交通一期工程。</w:t>
                      </w:r>
                    </w:p>
                  </w:txbxContent>
                </v:textbox>
                <w10:wrap type="square"/>
              </v:shape>
            </w:pict>
          </mc:Fallback>
        </mc:AlternateContent>
      </w:r>
      <w:r>
        <w:rPr>
          <w:rFonts w:hint="eastAsia" w:ascii="仿宋_GB2312" w:hAnsi="华文中宋" w:eastAsia="仿宋_GB2312"/>
          <w:sz w:val="32"/>
          <w:szCs w:val="32"/>
        </w:rPr>
        <w:t>围绕增密路网、扩大运能、强化枢纽，在“两横三纵一十字”主骨架网的基础上构建“两横三纵七辐射”的铁路网络。加快建设宝兰客运专线，建成通疆达海的客运专线；开工建设宝鸡</w:t>
      </w:r>
      <w:r>
        <w:rPr>
          <w:rFonts w:ascii="仿宋_GB2312" w:hAnsi="华文中宋" w:eastAsia="仿宋_GB2312"/>
          <w:sz w:val="32"/>
          <w:szCs w:val="32"/>
        </w:rPr>
        <w:t>-</w:t>
      </w:r>
      <w:r>
        <w:rPr>
          <w:rFonts w:hint="eastAsia" w:ascii="仿宋_GB2312" w:hAnsi="华文中宋" w:eastAsia="仿宋_GB2312"/>
          <w:sz w:val="32"/>
          <w:szCs w:val="32"/>
        </w:rPr>
        <w:t>中卫复线、建成宝鸡</w:t>
      </w:r>
      <w:r>
        <w:rPr>
          <w:rFonts w:ascii="仿宋_GB2312" w:hAnsi="华文中宋" w:eastAsia="仿宋_GB2312"/>
          <w:sz w:val="32"/>
          <w:szCs w:val="32"/>
        </w:rPr>
        <w:t>-</w:t>
      </w:r>
      <w:r>
        <w:rPr>
          <w:rFonts w:hint="eastAsia" w:ascii="仿宋_GB2312" w:hAnsi="华文中宋" w:eastAsia="仿宋_GB2312"/>
          <w:sz w:val="32"/>
          <w:szCs w:val="32"/>
        </w:rPr>
        <w:t>麟游运煤专线，增密成网的铁路干线和扩容增量的能源通道；开工建设全国性铁路物流节点之一的宝鸡铁路枢纽货运设施阳平铁路物流中心，配套建设地方专支线，强化宝鸡枢纽扩能工程。五年投资约</w:t>
      </w:r>
      <w:r>
        <w:rPr>
          <w:rFonts w:ascii="仿宋_GB2312" w:hAnsi="华文中宋" w:eastAsia="仿宋_GB2312"/>
          <w:sz w:val="32"/>
          <w:szCs w:val="32"/>
        </w:rPr>
        <w:t>65</w:t>
      </w:r>
      <w:r>
        <w:rPr>
          <w:rFonts w:hint="eastAsia" w:ascii="仿宋_GB2312" w:hAnsi="华文中宋" w:eastAsia="仿宋_GB2312"/>
          <w:sz w:val="32"/>
          <w:szCs w:val="32"/>
        </w:rPr>
        <w:t>亿元，新增铁路</w:t>
      </w:r>
      <w:r>
        <w:rPr>
          <w:rFonts w:ascii="仿宋_GB2312" w:hAnsi="华文中宋" w:eastAsia="仿宋_GB2312"/>
          <w:sz w:val="32"/>
          <w:szCs w:val="32"/>
        </w:rPr>
        <w:t>133</w:t>
      </w:r>
      <w:r>
        <w:rPr>
          <w:rFonts w:hint="eastAsia" w:ascii="仿宋_GB2312" w:hAnsi="华文中宋" w:eastAsia="仿宋_GB2312"/>
          <w:sz w:val="32"/>
          <w:szCs w:val="32"/>
        </w:rPr>
        <w:t>公里，全市铁路营业里程达到</w:t>
      </w:r>
      <w:r>
        <w:rPr>
          <w:rFonts w:ascii="仿宋_GB2312" w:hAnsi="华文中宋" w:eastAsia="仿宋_GB2312"/>
          <w:sz w:val="32"/>
          <w:szCs w:val="32"/>
        </w:rPr>
        <w:t>623</w:t>
      </w:r>
      <w:r>
        <w:rPr>
          <w:rFonts w:hint="eastAsia" w:ascii="仿宋_GB2312" w:hAnsi="华文中宋" w:eastAsia="仿宋_GB2312"/>
          <w:sz w:val="32"/>
          <w:szCs w:val="32"/>
        </w:rPr>
        <w:t>公里，铁路网密度</w:t>
      </w:r>
      <w:r>
        <w:rPr>
          <w:rFonts w:ascii="仿宋_GB2312" w:hAnsi="华文中宋" w:eastAsia="仿宋_GB2312"/>
          <w:sz w:val="32"/>
          <w:szCs w:val="32"/>
        </w:rPr>
        <w:t>3.44</w:t>
      </w:r>
      <w:r>
        <w:rPr>
          <w:rFonts w:hint="eastAsia" w:ascii="仿宋_GB2312" w:hAnsi="华文中宋" w:eastAsia="仿宋_GB2312"/>
          <w:sz w:val="32"/>
          <w:szCs w:val="32"/>
        </w:rPr>
        <w:t>公里</w:t>
      </w:r>
      <w:r>
        <w:rPr>
          <w:rFonts w:ascii="仿宋_GB2312" w:hAnsi="华文中宋" w:eastAsia="仿宋_GB2312"/>
          <w:sz w:val="32"/>
          <w:szCs w:val="32"/>
        </w:rPr>
        <w:t>/</w:t>
      </w:r>
      <w:r>
        <w:rPr>
          <w:rFonts w:hint="eastAsia" w:ascii="仿宋_GB2312" w:hAnsi="华文中宋" w:eastAsia="仿宋_GB2312"/>
          <w:sz w:val="32"/>
          <w:szCs w:val="32"/>
        </w:rPr>
        <w:t>百平方公里，复线率、电气化率分别提高到</w:t>
      </w:r>
      <w:r>
        <w:rPr>
          <w:rFonts w:ascii="仿宋_GB2312" w:hAnsi="华文中宋" w:eastAsia="仿宋_GB2312"/>
          <w:sz w:val="32"/>
          <w:szCs w:val="32"/>
        </w:rPr>
        <w:t>48%</w:t>
      </w:r>
      <w:r>
        <w:rPr>
          <w:rFonts w:hint="eastAsia" w:ascii="仿宋_GB2312" w:hAnsi="华文中宋" w:eastAsia="仿宋_GB2312"/>
          <w:sz w:val="32"/>
          <w:szCs w:val="32"/>
        </w:rPr>
        <w:t>、</w:t>
      </w:r>
      <w:r>
        <w:rPr>
          <w:rFonts w:ascii="仿宋_GB2312" w:hAnsi="华文中宋" w:eastAsia="仿宋_GB2312"/>
          <w:sz w:val="32"/>
          <w:szCs w:val="32"/>
        </w:rPr>
        <w:t>100%</w:t>
      </w:r>
      <w:r>
        <w:rPr>
          <w:rFonts w:hint="eastAsia" w:ascii="仿宋_GB2312" w:hAnsi="华文中宋" w:eastAsia="仿宋_GB2312"/>
          <w:sz w:val="32"/>
          <w:szCs w:val="32"/>
        </w:rPr>
        <w:t>。加速城市轨道交通惠民工程建设，</w:t>
      </w:r>
      <w:r>
        <w:rPr>
          <w:rFonts w:hint="eastAsia" w:ascii="仿宋_GB2312" w:hAnsi="华文中宋" w:eastAsia="仿宋_GB2312"/>
          <w:color w:val="000000"/>
          <w:sz w:val="32"/>
          <w:szCs w:val="32"/>
        </w:rPr>
        <w:t>力争</w:t>
      </w:r>
      <w:r>
        <w:rPr>
          <w:rFonts w:ascii="仿宋_GB2312" w:hAnsi="华文中宋" w:eastAsia="仿宋_GB2312"/>
          <w:color w:val="000000"/>
          <w:sz w:val="32"/>
          <w:szCs w:val="32"/>
        </w:rPr>
        <w:t>2020</w:t>
      </w:r>
      <w:r>
        <w:rPr>
          <w:rFonts w:hint="eastAsia" w:ascii="仿宋_GB2312" w:hAnsi="华文中宋" w:eastAsia="仿宋_GB2312"/>
          <w:color w:val="000000"/>
          <w:sz w:val="32"/>
          <w:szCs w:val="32"/>
        </w:rPr>
        <w:t>年底建成轨道交通一期工程。</w:t>
      </w:r>
    </w:p>
    <w:p>
      <w:pPr>
        <w:rPr>
          <w:rFonts w:ascii="仿宋_GB2312" w:hAnsi="华文中宋" w:eastAsia="仿宋_GB2312"/>
          <w:sz w:val="32"/>
          <w:szCs w:val="32"/>
        </w:rPr>
      </w:pPr>
    </w:p>
    <w:p>
      <w:pPr>
        <w:tabs>
          <w:tab w:val="left" w:pos="879"/>
        </w:tabs>
        <w:rPr>
          <w:rFonts w:ascii="仿宋_GB2312" w:hAnsi="华文中宋" w:eastAsia="仿宋_GB2312"/>
          <w:sz w:val="32"/>
          <w:szCs w:val="32"/>
        </w:rPr>
        <w:sectPr>
          <w:pgSz w:w="11906" w:h="16838"/>
          <w:pgMar w:top="1418" w:right="1588" w:bottom="1418" w:left="1588" w:header="851" w:footer="397" w:gutter="0"/>
          <w:cols w:space="425" w:num="1"/>
          <w:docGrid w:type="lines" w:linePitch="312" w:charSpace="0"/>
        </w:sectPr>
      </w:pPr>
      <w:r>
        <w:rPr>
          <w:rFonts w:ascii="仿宋_GB2312" w:hAnsi="华文中宋" w:eastAsia="仿宋_GB2312"/>
          <w:sz w:val="32"/>
          <w:szCs w:val="32"/>
        </w:rPr>
        <w:tab/>
      </w:r>
    </w:p>
    <w:p>
      <w:pPr>
        <w:rPr>
          <w:rFonts w:ascii="仿宋_GB2312" w:hAnsi="华文中宋" w:eastAsia="仿宋_GB2312"/>
          <w:sz w:val="32"/>
          <w:szCs w:val="32"/>
        </w:rPr>
      </w:pPr>
      <w:r>
        <w:rPr>
          <w:rFonts w:ascii="仿宋_GB2312" w:hAnsi="华文中宋" w:eastAsia="仿宋_GB2312"/>
          <w:sz w:val="32"/>
          <w:szCs w:val="32"/>
        </w:rPr>
        <w:drawing>
          <wp:inline distT="0" distB="0" distL="114300" distR="114300">
            <wp:extent cx="5612130" cy="8816340"/>
            <wp:effectExtent l="0" t="0" r="7620" b="3810"/>
            <wp:docPr id="1" name="图片 18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1" descr="7"/>
                    <pic:cNvPicPr>
                      <a:picLocks noRot="1" noChangeAspect="1"/>
                    </pic:cNvPicPr>
                  </pic:nvPicPr>
                  <pic:blipFill>
                    <a:blip r:embed="rId35"/>
                    <a:stretch>
                      <a:fillRect/>
                    </a:stretch>
                  </pic:blipFill>
                  <pic:spPr>
                    <a:xfrm>
                      <a:off x="0" y="0"/>
                      <a:ext cx="5612130" cy="8816340"/>
                    </a:xfrm>
                    <a:prstGeom prst="rect">
                      <a:avLst/>
                    </a:prstGeom>
                    <a:noFill/>
                    <a:ln>
                      <a:noFill/>
                    </a:ln>
                  </pic:spPr>
                </pic:pic>
              </a:graphicData>
            </a:graphic>
          </wp:inline>
        </w:drawing>
      </w:r>
    </w:p>
    <w:p>
      <w:pPr>
        <w:rPr>
          <w:rFonts w:ascii="仿宋_GB2312" w:hAnsi="华文中宋" w:eastAsia="仿宋_GB2312"/>
          <w:sz w:val="32"/>
          <w:szCs w:val="32"/>
        </w:rPr>
        <w:sectPr>
          <w:pgSz w:w="11906" w:h="16838"/>
          <w:pgMar w:top="1418" w:right="1588" w:bottom="1418" w:left="1588" w:header="851" w:footer="397" w:gutter="0"/>
          <w:cols w:space="425" w:num="1"/>
          <w:docGrid w:type="lines" w:linePitch="312" w:charSpace="0"/>
        </w:sectPr>
      </w:pPr>
    </w:p>
    <w:p>
      <w:pPr>
        <w:spacing w:after="0" w:line="620" w:lineRule="exact"/>
        <w:jc w:val="center"/>
        <w:rPr>
          <w:rFonts w:ascii="楷体_GB2312" w:hAnsi="华文中宋" w:eastAsia="楷体_GB2312"/>
          <w:b/>
          <w:sz w:val="32"/>
          <w:szCs w:val="32"/>
        </w:rPr>
      </w:pPr>
    </w:p>
    <w:p>
      <w:pPr>
        <w:spacing w:after="0" w:line="620" w:lineRule="exact"/>
        <w:jc w:val="center"/>
        <w:rPr>
          <w:rFonts w:hint="eastAsia" w:ascii="楷体_GB2312" w:hAnsi="华文中宋" w:eastAsia="楷体_GB2312"/>
          <w:b/>
          <w:sz w:val="32"/>
          <w:szCs w:val="32"/>
        </w:rPr>
      </w:pPr>
      <w:r>
        <w:rPr>
          <w:rFonts w:hint="eastAsia" w:ascii="楷体_GB2312" w:hAnsi="华文中宋" w:eastAsia="楷体_GB2312"/>
          <w:b/>
          <w:sz w:val="32"/>
          <w:szCs w:val="32"/>
        </w:rPr>
        <w:t>第三节</w:t>
      </w:r>
      <w:r>
        <w:rPr>
          <w:rFonts w:ascii="楷体_GB2312" w:hAnsi="华文中宋" w:eastAsia="楷体_GB2312"/>
          <w:b/>
          <w:sz w:val="32"/>
          <w:szCs w:val="32"/>
        </w:rPr>
        <w:t xml:space="preserve">  </w:t>
      </w:r>
      <w:r>
        <w:rPr>
          <w:rFonts w:hint="eastAsia" w:ascii="楷体_GB2312" w:hAnsi="华文中宋" w:eastAsia="楷体_GB2312"/>
          <w:b/>
          <w:sz w:val="32"/>
          <w:szCs w:val="32"/>
        </w:rPr>
        <w:t>加快高速公路建设</w:t>
      </w:r>
    </w:p>
    <w:p>
      <w:pPr>
        <w:spacing w:after="0" w:line="620" w:lineRule="exact"/>
        <w:ind w:firstLine="640" w:firstLineChars="200"/>
        <w:jc w:val="both"/>
        <w:rPr>
          <w:rFonts w:hint="eastAsia" w:ascii="仿宋_GB2312" w:hAnsi="华文中宋" w:eastAsia="仿宋_GB2312"/>
          <w:sz w:val="32"/>
          <w:szCs w:val="32"/>
        </w:rPr>
      </w:pPr>
      <w:r>
        <w:rPr>
          <w:rFonts w:hint="eastAsia" w:ascii="仿宋_GB2312" w:hAnsi="华文中宋" w:eastAsia="仿宋_GB2312"/>
          <w:sz w:val="32"/>
          <w:szCs w:val="32"/>
        </w:rPr>
        <w:t xml:space="preserve">加快建设高速公路“十”字型主骨架网络，构建公路交通枢纽，提升宝鸡区域交通枢纽地位。重点加快连霍高速（G30）市区过境段（绕城南环线）、银昆高速（G85）坪坎至汉中段建设，开工建设银昆高速宝鸡至坪坎段、荷宝高速（G3511）凤翔至旬邑段（合凤高速），争取规划期内建成投用，开展眉县—太白—凤县—陕甘界高速公路、机场高速前期工作，形成“建成一批、开工一批、储备一批”的可持续发展格局。加密区域内东西向高速公路出入口设置。“十三五”期间投资约246亿元，力争建成高速公路200公里，通车里程突破450公里。 </w:t>
      </w:r>
    </w:p>
    <w:p>
      <w:pPr>
        <w:spacing w:after="0" w:line="600" w:lineRule="exact"/>
        <w:jc w:val="center"/>
        <w:rPr>
          <w:rFonts w:hint="eastAsia" w:ascii="楷体_GB2312" w:hAnsi="华文中宋" w:eastAsia="楷体_GB2312"/>
          <w:b/>
          <w:sz w:val="32"/>
          <w:szCs w:val="32"/>
        </w:rPr>
      </w:pPr>
      <w:r>
        <w:rPr>
          <w:lang/>
        </w:rPr>
        <mc:AlternateContent>
          <mc:Choice Requires="wps">
            <w:drawing>
              <wp:anchor distT="0" distB="0" distL="114300" distR="114300" simplePos="0" relativeHeight="251683840" behindDoc="0" locked="0" layoutInCell="1" allowOverlap="1">
                <wp:simplePos x="0" y="0"/>
                <wp:positionH relativeFrom="column">
                  <wp:posOffset>-85090</wp:posOffset>
                </wp:positionH>
                <wp:positionV relativeFrom="paragraph">
                  <wp:posOffset>449580</wp:posOffset>
                </wp:positionV>
                <wp:extent cx="5535295" cy="3211195"/>
                <wp:effectExtent l="4445" t="5080" r="22860" b="22225"/>
                <wp:wrapSquare wrapText="bothSides"/>
                <wp:docPr id="25" name="文本框 70"/>
                <wp:cNvGraphicFramePr/>
                <a:graphic xmlns:a="http://schemas.openxmlformats.org/drawingml/2006/main">
                  <a:graphicData uri="http://schemas.microsoft.com/office/word/2010/wordprocessingShape">
                    <wps:wsp>
                      <wps:cNvSpPr txBox="1"/>
                      <wps:spPr>
                        <a:xfrm>
                          <a:off x="0" y="0"/>
                          <a:ext cx="5535295" cy="32111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20" w:lineRule="exact"/>
                              <w:rPr>
                                <w:rFonts w:hint="eastAsia" w:ascii="黑体" w:hAnsi="黑体" w:eastAsia="黑体"/>
                                <w:b/>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5</w:t>
                            </w:r>
                          </w:p>
                          <w:p>
                            <w:pPr>
                              <w:spacing w:after="0" w:line="320" w:lineRule="exact"/>
                              <w:jc w:val="center"/>
                              <w:rPr>
                                <w:rFonts w:ascii="黑体" w:hAnsi="黑体" w:eastAsia="黑体"/>
                                <w:b/>
                                <w:sz w:val="21"/>
                                <w:szCs w:val="21"/>
                              </w:rPr>
                            </w:pPr>
                            <w:r>
                              <w:rPr>
                                <w:rFonts w:hint="eastAsia" w:ascii="黑体" w:hAnsi="黑体" w:eastAsia="黑体"/>
                                <w:b/>
                                <w:sz w:val="21"/>
                                <w:szCs w:val="21"/>
                              </w:rPr>
                              <w:t>高速公路建设工程</w:t>
                            </w:r>
                          </w:p>
                          <w:p>
                            <w:pPr>
                              <w:spacing w:after="0" w:line="32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国家高速公路网：宝汉高速</w:t>
                            </w:r>
                            <w:r>
                              <w:rPr>
                                <w:rFonts w:hint="eastAsia" w:ascii="楷体_GB2312" w:hAnsi="华文中宋" w:eastAsia="楷体_GB2312"/>
                                <w:sz w:val="21"/>
                                <w:szCs w:val="21"/>
                              </w:rPr>
                              <w:t>（</w:t>
                            </w:r>
                            <w:r>
                              <w:rPr>
                                <w:rFonts w:ascii="楷体_GB2312" w:hAnsi="华文中宋" w:eastAsia="楷体_GB2312"/>
                                <w:sz w:val="21"/>
                                <w:szCs w:val="21"/>
                              </w:rPr>
                              <w:t>G85</w:t>
                            </w:r>
                            <w:r>
                              <w:rPr>
                                <w:rFonts w:hint="eastAsia" w:ascii="楷体_GB2312" w:hAnsi="华文中宋" w:eastAsia="楷体_GB2312"/>
                                <w:sz w:val="21"/>
                                <w:szCs w:val="21"/>
                              </w:rPr>
                              <w:t>银川</w:t>
                            </w:r>
                            <w:r>
                              <w:rPr>
                                <w:rFonts w:ascii="楷体_GB2312" w:hAnsi="华文中宋" w:eastAsia="楷体_GB2312"/>
                                <w:sz w:val="21"/>
                                <w:szCs w:val="21"/>
                              </w:rPr>
                              <w:t>-</w:t>
                            </w:r>
                            <w:r>
                              <w:rPr>
                                <w:rFonts w:hint="eastAsia" w:ascii="楷体_GB2312" w:hAnsi="华文中宋" w:eastAsia="楷体_GB2312"/>
                                <w:sz w:val="21"/>
                                <w:szCs w:val="21"/>
                              </w:rPr>
                              <w:t>昆明），已开工建设，境内长</w:t>
                            </w:r>
                            <w:r>
                              <w:rPr>
                                <w:rFonts w:ascii="楷体_GB2312" w:hAnsi="华文中宋" w:eastAsia="楷体_GB2312"/>
                                <w:sz w:val="21"/>
                                <w:szCs w:val="21"/>
                              </w:rPr>
                              <w:t>90</w:t>
                            </w:r>
                            <w:r>
                              <w:rPr>
                                <w:rFonts w:hint="eastAsia" w:ascii="楷体_GB2312" w:hAnsi="华文中宋" w:eastAsia="楷体_GB2312"/>
                                <w:sz w:val="21"/>
                                <w:szCs w:val="21"/>
                              </w:rPr>
                              <w:t>公里，投资</w:t>
                            </w:r>
                            <w:r>
                              <w:rPr>
                                <w:rFonts w:ascii="楷体_GB2312" w:hAnsi="华文中宋" w:eastAsia="楷体_GB2312"/>
                                <w:sz w:val="21"/>
                                <w:szCs w:val="21"/>
                              </w:rPr>
                              <w:t>163</w:t>
                            </w:r>
                            <w:r>
                              <w:rPr>
                                <w:rFonts w:hint="eastAsia" w:ascii="楷体_GB2312" w:hAnsi="华文中宋" w:eastAsia="楷体_GB2312"/>
                                <w:sz w:val="21"/>
                                <w:szCs w:val="21"/>
                              </w:rPr>
                              <w:t>亿元，</w:t>
                            </w:r>
                            <w:r>
                              <w:rPr>
                                <w:rFonts w:ascii="楷体_GB2312" w:hAnsi="华文中宋" w:eastAsia="楷体_GB2312"/>
                                <w:sz w:val="21"/>
                                <w:szCs w:val="21"/>
                              </w:rPr>
                              <w:t>2020</w:t>
                            </w:r>
                            <w:r>
                              <w:rPr>
                                <w:rFonts w:hint="eastAsia" w:ascii="楷体_GB2312" w:hAnsi="华文中宋" w:eastAsia="楷体_GB2312"/>
                                <w:sz w:val="21"/>
                                <w:szCs w:val="21"/>
                              </w:rPr>
                              <w:t>年建成。</w:t>
                            </w:r>
                            <w:r>
                              <w:rPr>
                                <w:rFonts w:hint="eastAsia" w:ascii="楷体_GB2312" w:hAnsi="华文中宋" w:eastAsia="楷体_GB2312"/>
                                <w:b/>
                                <w:sz w:val="21"/>
                                <w:szCs w:val="21"/>
                              </w:rPr>
                              <w:t>连霍高速宝鸡过境段</w:t>
                            </w:r>
                            <w:r>
                              <w:rPr>
                                <w:rFonts w:hint="eastAsia" w:ascii="楷体_GB2312" w:hAnsi="华文中宋" w:eastAsia="楷体_GB2312"/>
                                <w:sz w:val="21"/>
                                <w:szCs w:val="21"/>
                              </w:rPr>
                              <w:t>（绕城南环线），已开工建设，境内长</w:t>
                            </w:r>
                            <w:r>
                              <w:rPr>
                                <w:rFonts w:ascii="楷体_GB2312" w:hAnsi="华文中宋" w:eastAsia="楷体_GB2312"/>
                                <w:sz w:val="21"/>
                                <w:szCs w:val="21"/>
                              </w:rPr>
                              <w:t>43</w:t>
                            </w:r>
                            <w:r>
                              <w:rPr>
                                <w:rFonts w:hint="eastAsia" w:ascii="楷体_GB2312" w:hAnsi="华文中宋" w:eastAsia="楷体_GB2312"/>
                                <w:sz w:val="21"/>
                                <w:szCs w:val="21"/>
                              </w:rPr>
                              <w:t>公里，投资</w:t>
                            </w:r>
                            <w:r>
                              <w:rPr>
                                <w:rFonts w:ascii="楷体_GB2312" w:hAnsi="华文中宋" w:eastAsia="楷体_GB2312"/>
                                <w:sz w:val="21"/>
                                <w:szCs w:val="21"/>
                              </w:rPr>
                              <w:t>50</w:t>
                            </w:r>
                            <w:r>
                              <w:rPr>
                                <w:rFonts w:hint="eastAsia" w:ascii="楷体_GB2312" w:hAnsi="华文中宋" w:eastAsia="楷体_GB2312"/>
                                <w:sz w:val="21"/>
                                <w:szCs w:val="21"/>
                              </w:rPr>
                              <w:t>亿元，</w:t>
                            </w:r>
                            <w:r>
                              <w:rPr>
                                <w:rFonts w:ascii="楷体_GB2312" w:hAnsi="华文中宋" w:eastAsia="楷体_GB2312"/>
                                <w:sz w:val="21"/>
                                <w:szCs w:val="21"/>
                              </w:rPr>
                              <w:t>2017</w:t>
                            </w:r>
                            <w:r>
                              <w:rPr>
                                <w:rFonts w:hint="eastAsia" w:ascii="楷体_GB2312" w:hAnsi="华文中宋" w:eastAsia="楷体_GB2312"/>
                                <w:sz w:val="21"/>
                                <w:szCs w:val="21"/>
                              </w:rPr>
                              <w:t>年建成。</w:t>
                            </w:r>
                            <w:r>
                              <w:rPr>
                                <w:rFonts w:hint="eastAsia" w:ascii="楷体_GB2312" w:hAnsi="华文中宋" w:eastAsia="楷体_GB2312"/>
                                <w:b/>
                                <w:sz w:val="21"/>
                                <w:szCs w:val="21"/>
                              </w:rPr>
                              <w:t>合凤高速</w:t>
                            </w:r>
                            <w:r>
                              <w:rPr>
                                <w:rFonts w:hint="eastAsia" w:ascii="楷体_GB2312" w:hAnsi="华文中宋" w:eastAsia="楷体_GB2312"/>
                                <w:sz w:val="21"/>
                                <w:szCs w:val="21"/>
                              </w:rPr>
                              <w:t>（</w:t>
                            </w:r>
                            <w:r>
                              <w:rPr>
                                <w:rFonts w:ascii="楷体_GB2312" w:hAnsi="华文中宋" w:eastAsia="楷体_GB2312"/>
                                <w:sz w:val="21"/>
                                <w:szCs w:val="21"/>
                              </w:rPr>
                              <w:t>G3511</w:t>
                            </w:r>
                            <w:r>
                              <w:rPr>
                                <w:rFonts w:hint="eastAsia" w:ascii="楷体_GB2312" w:hAnsi="华文中宋" w:eastAsia="楷体_GB2312"/>
                                <w:sz w:val="21"/>
                                <w:szCs w:val="21"/>
                              </w:rPr>
                              <w:t>，菏泽</w:t>
                            </w:r>
                            <w:r>
                              <w:rPr>
                                <w:rFonts w:ascii="楷体_GB2312" w:hAnsi="华文中宋" w:eastAsia="楷体_GB2312"/>
                                <w:sz w:val="21"/>
                                <w:szCs w:val="21"/>
                              </w:rPr>
                              <w:t>-</w:t>
                            </w:r>
                            <w:r>
                              <w:rPr>
                                <w:rFonts w:hint="eastAsia" w:ascii="楷体_GB2312" w:hAnsi="华文中宋" w:eastAsia="楷体_GB2312"/>
                                <w:sz w:val="21"/>
                                <w:szCs w:val="21"/>
                              </w:rPr>
                              <w:t>宝鸡），境内长约</w:t>
                            </w:r>
                            <w:r>
                              <w:rPr>
                                <w:rFonts w:ascii="楷体_GB2312" w:hAnsi="华文中宋" w:eastAsia="楷体_GB2312"/>
                                <w:sz w:val="21"/>
                                <w:szCs w:val="21"/>
                              </w:rPr>
                              <w:t>80</w:t>
                            </w:r>
                            <w:r>
                              <w:rPr>
                                <w:rFonts w:hint="eastAsia" w:ascii="楷体_GB2312" w:hAnsi="华文中宋" w:eastAsia="楷体_GB2312"/>
                                <w:sz w:val="21"/>
                                <w:szCs w:val="21"/>
                              </w:rPr>
                              <w:t>公里，投资</w:t>
                            </w:r>
                            <w:r>
                              <w:rPr>
                                <w:rFonts w:ascii="楷体_GB2312" w:hAnsi="华文中宋" w:eastAsia="楷体_GB2312"/>
                                <w:sz w:val="21"/>
                                <w:szCs w:val="21"/>
                              </w:rPr>
                              <w:t>67</w:t>
                            </w:r>
                            <w:r>
                              <w:rPr>
                                <w:rFonts w:hint="eastAsia" w:ascii="楷体_GB2312" w:hAnsi="华文中宋" w:eastAsia="楷体_GB2312"/>
                                <w:sz w:val="21"/>
                                <w:szCs w:val="21"/>
                              </w:rPr>
                              <w:t>亿元，</w:t>
                            </w:r>
                            <w:r>
                              <w:rPr>
                                <w:rFonts w:hint="eastAsia" w:ascii="楷体_GB2312" w:hAnsi="华文中宋" w:eastAsia="楷体_GB2312"/>
                                <w:color w:val="000000"/>
                                <w:sz w:val="21"/>
                                <w:szCs w:val="21"/>
                              </w:rPr>
                              <w:t>规划期内开工</w:t>
                            </w:r>
                            <w:r>
                              <w:rPr>
                                <w:rFonts w:ascii="楷体_GB2312" w:hAnsi="华文中宋" w:eastAsia="楷体_GB2312"/>
                                <w:color w:val="000000"/>
                                <w:sz w:val="21"/>
                                <w:szCs w:val="21"/>
                              </w:rPr>
                              <w:t>并力争建成通车</w:t>
                            </w:r>
                            <w:r>
                              <w:rPr>
                                <w:rFonts w:hint="eastAsia" w:ascii="楷体_GB2312" w:hAnsi="华文中宋" w:eastAsia="楷体_GB2312"/>
                                <w:color w:val="000000"/>
                                <w:sz w:val="21"/>
                                <w:szCs w:val="21"/>
                              </w:rPr>
                              <w:t>。</w:t>
                            </w:r>
                          </w:p>
                          <w:p>
                            <w:pPr>
                              <w:spacing w:after="0" w:line="320" w:lineRule="exact"/>
                              <w:ind w:firstLine="422" w:firstLineChars="200"/>
                              <w:jc w:val="both"/>
                              <w:rPr>
                                <w:rFonts w:ascii="Times New Roman" w:hAnsi="Times New Roman" w:eastAsia="楷体_GB2312"/>
                                <w:sz w:val="21"/>
                                <w:szCs w:val="21"/>
                              </w:rPr>
                            </w:pPr>
                            <w:r>
                              <w:rPr>
                                <w:rFonts w:hint="eastAsia" w:ascii="楷体_GB2312" w:hAnsi="华文中宋" w:eastAsia="楷体_GB2312"/>
                                <w:b/>
                                <w:sz w:val="21"/>
                                <w:szCs w:val="21"/>
                              </w:rPr>
                              <w:t>地方高速公路：法汤一级公路</w:t>
                            </w:r>
                            <w:r>
                              <w:rPr>
                                <w:rFonts w:hint="eastAsia" w:ascii="楷体_GB2312" w:hAnsi="华文中宋" w:eastAsia="楷体_GB2312"/>
                                <w:sz w:val="21"/>
                                <w:szCs w:val="21"/>
                              </w:rPr>
                              <w:t>（绛帐至汤峪段）；</w:t>
                            </w:r>
                            <w:r>
                              <w:rPr>
                                <w:rFonts w:hint="eastAsia" w:ascii="Times New Roman" w:hAnsi="Times New Roman" w:eastAsia="楷体_GB2312"/>
                                <w:sz w:val="21"/>
                                <w:szCs w:val="21"/>
                              </w:rPr>
                              <w:t>与宝汉高速同步建设</w:t>
                            </w:r>
                            <w:r>
                              <w:rPr>
                                <w:rFonts w:hint="eastAsia" w:ascii="Times New Roman" w:hAnsi="Times New Roman" w:eastAsia="楷体_GB2312"/>
                                <w:b/>
                                <w:sz w:val="21"/>
                                <w:szCs w:val="21"/>
                              </w:rPr>
                              <w:t>凤县、太白县与高速连接线</w:t>
                            </w:r>
                            <w:r>
                              <w:rPr>
                                <w:rFonts w:hint="eastAsia" w:ascii="Times New Roman" w:hAnsi="Times New Roman" w:eastAsia="楷体_GB2312"/>
                                <w:sz w:val="21"/>
                                <w:szCs w:val="21"/>
                              </w:rPr>
                              <w:t>。</w:t>
                            </w:r>
                          </w:p>
                          <w:p>
                            <w:pPr>
                              <w:spacing w:after="0" w:line="32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前期高速公路：机场高速，</w:t>
                            </w:r>
                            <w:r>
                              <w:rPr>
                                <w:rFonts w:hint="eastAsia" w:ascii="楷体_GB2312" w:hAnsi="华文中宋" w:eastAsia="楷体_GB2312"/>
                                <w:sz w:val="21"/>
                                <w:szCs w:val="21"/>
                              </w:rPr>
                              <w:t>新建高速公路连接线</w:t>
                            </w:r>
                            <w:r>
                              <w:rPr>
                                <w:rFonts w:ascii="楷体_GB2312" w:hAnsi="华文中宋" w:eastAsia="楷体_GB2312"/>
                                <w:sz w:val="21"/>
                                <w:szCs w:val="21"/>
                              </w:rPr>
                              <w:t>22</w:t>
                            </w:r>
                            <w:r>
                              <w:rPr>
                                <w:rFonts w:hint="eastAsia" w:ascii="楷体_GB2312" w:hAnsi="华文中宋" w:eastAsia="楷体_GB2312"/>
                                <w:sz w:val="21"/>
                                <w:szCs w:val="21"/>
                              </w:rPr>
                              <w:t>公里，北接合凤线，南接连霍高速。</w:t>
                            </w:r>
                            <w:r>
                              <w:rPr>
                                <w:rFonts w:hint="eastAsia" w:ascii="Times New Roman" w:hAnsi="Times New Roman" w:eastAsia="楷体_GB2312"/>
                                <w:b/>
                                <w:sz w:val="21"/>
                                <w:szCs w:val="21"/>
                              </w:rPr>
                              <w:t>京昆高速秦岭复线</w:t>
                            </w:r>
                            <w:r>
                              <w:rPr>
                                <w:rFonts w:hint="eastAsia" w:ascii="Times New Roman" w:hAnsi="Times New Roman" w:eastAsia="楷体_GB2312"/>
                                <w:sz w:val="21"/>
                                <w:szCs w:val="21"/>
                              </w:rPr>
                              <w:t>，即眉县—太白—凤县—陕甘界，谋划新建高速公路约180公里，连通连霍高速（西宝）、银昆高速（宝汉）、十天高速，形成西出甘南方向的出省通道。</w:t>
                            </w:r>
                            <w:r>
                              <w:rPr>
                                <w:rFonts w:hint="eastAsia" w:ascii="楷体_GB2312" w:hAnsi="华文中宋" w:eastAsia="楷体_GB2312"/>
                                <w:b/>
                                <w:sz w:val="21"/>
                                <w:szCs w:val="21"/>
                              </w:rPr>
                              <w:t>宝鸡绕城高速北环线</w:t>
                            </w:r>
                            <w:r>
                              <w:rPr>
                                <w:rFonts w:hint="eastAsia" w:ascii="楷体_GB2312" w:hAnsi="华文中宋" w:eastAsia="楷体_GB2312"/>
                                <w:sz w:val="21"/>
                                <w:szCs w:val="21"/>
                              </w:rPr>
                              <w:t>，东起连霍高速虢镇以东五一村枢纽立交，向北上陈仓区慕仪镇，再向西过周原镇，接宝汉高速，跨千河上蟠龙新区，跨金陵河过陵原向南接连霍高速苟家岭西互通立交桥，总长度约</w:t>
                            </w:r>
                            <w:r>
                              <w:rPr>
                                <w:rFonts w:ascii="楷体_GB2312" w:hAnsi="华文中宋" w:eastAsia="楷体_GB2312"/>
                                <w:sz w:val="21"/>
                                <w:szCs w:val="21"/>
                              </w:rPr>
                              <w:t>45</w:t>
                            </w:r>
                            <w:r>
                              <w:rPr>
                                <w:rFonts w:hint="eastAsia" w:ascii="楷体_GB2312" w:hAnsi="华文中宋" w:eastAsia="楷体_GB2312"/>
                                <w:sz w:val="21"/>
                                <w:szCs w:val="21"/>
                              </w:rPr>
                              <w:t>公里</w:t>
                            </w:r>
                            <w:r>
                              <w:rPr>
                                <w:rFonts w:hint="eastAsia" w:ascii="Times New Roman" w:hAnsi="Times New Roman" w:eastAsia="楷体_GB2312"/>
                                <w:sz w:val="21"/>
                                <w:szCs w:val="21"/>
                              </w:rPr>
                              <w:t xml:space="preserve">。 </w:t>
                            </w:r>
                          </w:p>
                        </w:txbxContent>
                      </wps:txbx>
                      <wps:bodyPr wrap="square" upright="1"/>
                    </wps:wsp>
                  </a:graphicData>
                </a:graphic>
              </wp:anchor>
            </w:drawing>
          </mc:Choice>
          <mc:Fallback>
            <w:pict>
              <v:shape id="文本框 70" o:spid="_x0000_s1026" o:spt="202" type="#_x0000_t202" style="position:absolute;left:0pt;margin-left:-6.7pt;margin-top:35.4pt;height:252.85pt;width:435.85pt;mso-wrap-distance-bottom:0pt;mso-wrap-distance-left:9pt;mso-wrap-distance-right:9pt;mso-wrap-distance-top:0pt;z-index:251683840;mso-width-relative:page;mso-height-relative:page;" fillcolor="#FFFFFF" filled="t" stroked="t" coordsize="21600,21600" o:gfxdata="UEsDBAoAAAAAAIdO4kAAAAAAAAAAAAAAAAAEAAAAZHJzL1BLAwQUAAAACACHTuJAZdf4PdoAAAAK&#10;AQAADwAAAGRycy9kb3ducmV2LnhtbE2Py07DMBBF90j8gzVIbFBrhzSPhky6QALBDgqiWzd2k4jY&#10;Drablr9nWMFyNEf3nltvzmZks/ZhcBYhWQpg2rZODbZDeH97WJTAQpRWydFZjfCtA2yay4taVsqd&#10;7Kuet7FjFGJDJRH6GKeK89D22siwdJO29Ds4b2Sk03dceXmicDPyWyFybuRgqaGXk77vdfu5PRqE&#10;cvU078Jz+vLR5odxHW+K+fHLI15fJeIOWNTn+AfDrz6pQ0NOe3e0KrARYZGkK0IRCkETCCizMgW2&#10;R8iKPAPe1Pz/hOYHUEsDBBQAAAAIAIdO4kAJwh76FAIAAEcEAAAOAAAAZHJzL2Uyb0RvYy54bWyt&#10;U02u0zAQ3iNxB8t7mrZPBV7U9ElQygYB0oMDTB0nseQ/PG6TXgBuwIoNe87VczB2S/v+Fl2QhTO2&#10;x9/M983M/GYwmm1lQOVsxSejMWfSClcr21b865fVi9ecYQRbg3ZWVnwnkd8snj+b976UU9c5XcvA&#10;CMRi2fuKdzH6sihQdNIAjpyXli4bFwxE2oa2qAP0hG50MR2PXxa9C7UPTkhEOl0eLvkRMVwC6JpG&#10;Cbl0YmOkjQfUIDVEooSd8sgXOdumkSJ+ahqUkemKE9OYVwpC9jqtxWIOZRvAd0ocU4BLUnjAyYCy&#10;FPQEtYQIbBPUIyijRHDomjgSzhQHIlkRYjEZP9DmtgMvMxeSGv1JdPx/sOLj9nNgqq74dMaZBUMV&#10;3//8sf/1Z//7O3uVBeo9luR368kzDm/cQG2ThEvnSIeJ99AEk/7EiNE9ybs7ySuHyAQdzmZXs+k1&#10;hRF0dzWdTCa0IZzi/NwHjO+lMywZFQ9UvywrbD9gPLj+c0nR0GlVr5TWeRPa9Vsd2Bao1qv8HdHv&#10;uWnL+opfzxJfAdTADTUOmcaTCGjbHO/eC7wLPM7fU8ApsSVgd0ggIyQ3KI2KMmSrk1C/szWLO086&#10;W5ovnpIxsuZMSxrHZGXPCEpf4knaaUsSnmuRrDisB4JJ5trVO6pbTy1O9L5tIFDMjQ+q7UjgXMf8&#10;mPorV+I4C6mB7+5ziPP8L/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df4PdoAAAAKAQAADwAA&#10;AAAAAAABACAAAAAiAAAAZHJzL2Rvd25yZXYueG1sUEsBAhQAFAAAAAgAh07iQAnCHvoUAgAARwQA&#10;AA4AAAAAAAAAAQAgAAAAKQEAAGRycy9lMm9Eb2MueG1sUEsFBgAAAAAGAAYAWQEAAK8FAAAAAA==&#10;">
                <v:fill on="t" focussize="0,0"/>
                <v:stroke color="#000000" joinstyle="miter"/>
                <v:imagedata o:title=""/>
                <o:lock v:ext="edit" aspectratio="f"/>
                <v:textbox>
                  <w:txbxContent>
                    <w:p>
                      <w:pPr>
                        <w:spacing w:after="0" w:line="320" w:lineRule="exact"/>
                        <w:rPr>
                          <w:rFonts w:hint="eastAsia" w:ascii="黑体" w:hAnsi="黑体" w:eastAsia="黑体"/>
                          <w:b/>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5</w:t>
                      </w:r>
                    </w:p>
                    <w:p>
                      <w:pPr>
                        <w:spacing w:after="0" w:line="320" w:lineRule="exact"/>
                        <w:jc w:val="center"/>
                        <w:rPr>
                          <w:rFonts w:ascii="黑体" w:hAnsi="黑体" w:eastAsia="黑体"/>
                          <w:b/>
                          <w:sz w:val="21"/>
                          <w:szCs w:val="21"/>
                        </w:rPr>
                      </w:pPr>
                      <w:r>
                        <w:rPr>
                          <w:rFonts w:hint="eastAsia" w:ascii="黑体" w:hAnsi="黑体" w:eastAsia="黑体"/>
                          <w:b/>
                          <w:sz w:val="21"/>
                          <w:szCs w:val="21"/>
                        </w:rPr>
                        <w:t>高速公路建设工程</w:t>
                      </w:r>
                    </w:p>
                    <w:p>
                      <w:pPr>
                        <w:spacing w:after="0" w:line="32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国家高速公路网：宝汉高速</w:t>
                      </w:r>
                      <w:r>
                        <w:rPr>
                          <w:rFonts w:hint="eastAsia" w:ascii="楷体_GB2312" w:hAnsi="华文中宋" w:eastAsia="楷体_GB2312"/>
                          <w:sz w:val="21"/>
                          <w:szCs w:val="21"/>
                        </w:rPr>
                        <w:t>（</w:t>
                      </w:r>
                      <w:r>
                        <w:rPr>
                          <w:rFonts w:ascii="楷体_GB2312" w:hAnsi="华文中宋" w:eastAsia="楷体_GB2312"/>
                          <w:sz w:val="21"/>
                          <w:szCs w:val="21"/>
                        </w:rPr>
                        <w:t>G85</w:t>
                      </w:r>
                      <w:r>
                        <w:rPr>
                          <w:rFonts w:hint="eastAsia" w:ascii="楷体_GB2312" w:hAnsi="华文中宋" w:eastAsia="楷体_GB2312"/>
                          <w:sz w:val="21"/>
                          <w:szCs w:val="21"/>
                        </w:rPr>
                        <w:t>银川</w:t>
                      </w:r>
                      <w:r>
                        <w:rPr>
                          <w:rFonts w:ascii="楷体_GB2312" w:hAnsi="华文中宋" w:eastAsia="楷体_GB2312"/>
                          <w:sz w:val="21"/>
                          <w:szCs w:val="21"/>
                        </w:rPr>
                        <w:t>-</w:t>
                      </w:r>
                      <w:r>
                        <w:rPr>
                          <w:rFonts w:hint="eastAsia" w:ascii="楷体_GB2312" w:hAnsi="华文中宋" w:eastAsia="楷体_GB2312"/>
                          <w:sz w:val="21"/>
                          <w:szCs w:val="21"/>
                        </w:rPr>
                        <w:t>昆明），已开工建设，境内长</w:t>
                      </w:r>
                      <w:r>
                        <w:rPr>
                          <w:rFonts w:ascii="楷体_GB2312" w:hAnsi="华文中宋" w:eastAsia="楷体_GB2312"/>
                          <w:sz w:val="21"/>
                          <w:szCs w:val="21"/>
                        </w:rPr>
                        <w:t>90</w:t>
                      </w:r>
                      <w:r>
                        <w:rPr>
                          <w:rFonts w:hint="eastAsia" w:ascii="楷体_GB2312" w:hAnsi="华文中宋" w:eastAsia="楷体_GB2312"/>
                          <w:sz w:val="21"/>
                          <w:szCs w:val="21"/>
                        </w:rPr>
                        <w:t>公里，投资</w:t>
                      </w:r>
                      <w:r>
                        <w:rPr>
                          <w:rFonts w:ascii="楷体_GB2312" w:hAnsi="华文中宋" w:eastAsia="楷体_GB2312"/>
                          <w:sz w:val="21"/>
                          <w:szCs w:val="21"/>
                        </w:rPr>
                        <w:t>163</w:t>
                      </w:r>
                      <w:r>
                        <w:rPr>
                          <w:rFonts w:hint="eastAsia" w:ascii="楷体_GB2312" w:hAnsi="华文中宋" w:eastAsia="楷体_GB2312"/>
                          <w:sz w:val="21"/>
                          <w:szCs w:val="21"/>
                        </w:rPr>
                        <w:t>亿元，</w:t>
                      </w:r>
                      <w:r>
                        <w:rPr>
                          <w:rFonts w:ascii="楷体_GB2312" w:hAnsi="华文中宋" w:eastAsia="楷体_GB2312"/>
                          <w:sz w:val="21"/>
                          <w:szCs w:val="21"/>
                        </w:rPr>
                        <w:t>2020</w:t>
                      </w:r>
                      <w:r>
                        <w:rPr>
                          <w:rFonts w:hint="eastAsia" w:ascii="楷体_GB2312" w:hAnsi="华文中宋" w:eastAsia="楷体_GB2312"/>
                          <w:sz w:val="21"/>
                          <w:szCs w:val="21"/>
                        </w:rPr>
                        <w:t>年建成。</w:t>
                      </w:r>
                      <w:r>
                        <w:rPr>
                          <w:rFonts w:hint="eastAsia" w:ascii="楷体_GB2312" w:hAnsi="华文中宋" w:eastAsia="楷体_GB2312"/>
                          <w:b/>
                          <w:sz w:val="21"/>
                          <w:szCs w:val="21"/>
                        </w:rPr>
                        <w:t>连霍高速宝鸡过境段</w:t>
                      </w:r>
                      <w:r>
                        <w:rPr>
                          <w:rFonts w:hint="eastAsia" w:ascii="楷体_GB2312" w:hAnsi="华文中宋" w:eastAsia="楷体_GB2312"/>
                          <w:sz w:val="21"/>
                          <w:szCs w:val="21"/>
                        </w:rPr>
                        <w:t>（绕城南环线），已开工建设，境内长</w:t>
                      </w:r>
                      <w:r>
                        <w:rPr>
                          <w:rFonts w:ascii="楷体_GB2312" w:hAnsi="华文中宋" w:eastAsia="楷体_GB2312"/>
                          <w:sz w:val="21"/>
                          <w:szCs w:val="21"/>
                        </w:rPr>
                        <w:t>43</w:t>
                      </w:r>
                      <w:r>
                        <w:rPr>
                          <w:rFonts w:hint="eastAsia" w:ascii="楷体_GB2312" w:hAnsi="华文中宋" w:eastAsia="楷体_GB2312"/>
                          <w:sz w:val="21"/>
                          <w:szCs w:val="21"/>
                        </w:rPr>
                        <w:t>公里，投资</w:t>
                      </w:r>
                      <w:r>
                        <w:rPr>
                          <w:rFonts w:ascii="楷体_GB2312" w:hAnsi="华文中宋" w:eastAsia="楷体_GB2312"/>
                          <w:sz w:val="21"/>
                          <w:szCs w:val="21"/>
                        </w:rPr>
                        <w:t>50</w:t>
                      </w:r>
                      <w:r>
                        <w:rPr>
                          <w:rFonts w:hint="eastAsia" w:ascii="楷体_GB2312" w:hAnsi="华文中宋" w:eastAsia="楷体_GB2312"/>
                          <w:sz w:val="21"/>
                          <w:szCs w:val="21"/>
                        </w:rPr>
                        <w:t>亿元，</w:t>
                      </w:r>
                      <w:r>
                        <w:rPr>
                          <w:rFonts w:ascii="楷体_GB2312" w:hAnsi="华文中宋" w:eastAsia="楷体_GB2312"/>
                          <w:sz w:val="21"/>
                          <w:szCs w:val="21"/>
                        </w:rPr>
                        <w:t>2017</w:t>
                      </w:r>
                      <w:r>
                        <w:rPr>
                          <w:rFonts w:hint="eastAsia" w:ascii="楷体_GB2312" w:hAnsi="华文中宋" w:eastAsia="楷体_GB2312"/>
                          <w:sz w:val="21"/>
                          <w:szCs w:val="21"/>
                        </w:rPr>
                        <w:t>年建成。</w:t>
                      </w:r>
                      <w:r>
                        <w:rPr>
                          <w:rFonts w:hint="eastAsia" w:ascii="楷体_GB2312" w:hAnsi="华文中宋" w:eastAsia="楷体_GB2312"/>
                          <w:b/>
                          <w:sz w:val="21"/>
                          <w:szCs w:val="21"/>
                        </w:rPr>
                        <w:t>合凤高速</w:t>
                      </w:r>
                      <w:r>
                        <w:rPr>
                          <w:rFonts w:hint="eastAsia" w:ascii="楷体_GB2312" w:hAnsi="华文中宋" w:eastAsia="楷体_GB2312"/>
                          <w:sz w:val="21"/>
                          <w:szCs w:val="21"/>
                        </w:rPr>
                        <w:t>（</w:t>
                      </w:r>
                      <w:r>
                        <w:rPr>
                          <w:rFonts w:ascii="楷体_GB2312" w:hAnsi="华文中宋" w:eastAsia="楷体_GB2312"/>
                          <w:sz w:val="21"/>
                          <w:szCs w:val="21"/>
                        </w:rPr>
                        <w:t>G3511</w:t>
                      </w:r>
                      <w:r>
                        <w:rPr>
                          <w:rFonts w:hint="eastAsia" w:ascii="楷体_GB2312" w:hAnsi="华文中宋" w:eastAsia="楷体_GB2312"/>
                          <w:sz w:val="21"/>
                          <w:szCs w:val="21"/>
                        </w:rPr>
                        <w:t>，菏泽</w:t>
                      </w:r>
                      <w:r>
                        <w:rPr>
                          <w:rFonts w:ascii="楷体_GB2312" w:hAnsi="华文中宋" w:eastAsia="楷体_GB2312"/>
                          <w:sz w:val="21"/>
                          <w:szCs w:val="21"/>
                        </w:rPr>
                        <w:t>-</w:t>
                      </w:r>
                      <w:r>
                        <w:rPr>
                          <w:rFonts w:hint="eastAsia" w:ascii="楷体_GB2312" w:hAnsi="华文中宋" w:eastAsia="楷体_GB2312"/>
                          <w:sz w:val="21"/>
                          <w:szCs w:val="21"/>
                        </w:rPr>
                        <w:t>宝鸡），境内长约</w:t>
                      </w:r>
                      <w:r>
                        <w:rPr>
                          <w:rFonts w:ascii="楷体_GB2312" w:hAnsi="华文中宋" w:eastAsia="楷体_GB2312"/>
                          <w:sz w:val="21"/>
                          <w:szCs w:val="21"/>
                        </w:rPr>
                        <w:t>80</w:t>
                      </w:r>
                      <w:r>
                        <w:rPr>
                          <w:rFonts w:hint="eastAsia" w:ascii="楷体_GB2312" w:hAnsi="华文中宋" w:eastAsia="楷体_GB2312"/>
                          <w:sz w:val="21"/>
                          <w:szCs w:val="21"/>
                        </w:rPr>
                        <w:t>公里，投资</w:t>
                      </w:r>
                      <w:r>
                        <w:rPr>
                          <w:rFonts w:ascii="楷体_GB2312" w:hAnsi="华文中宋" w:eastAsia="楷体_GB2312"/>
                          <w:sz w:val="21"/>
                          <w:szCs w:val="21"/>
                        </w:rPr>
                        <w:t>67</w:t>
                      </w:r>
                      <w:r>
                        <w:rPr>
                          <w:rFonts w:hint="eastAsia" w:ascii="楷体_GB2312" w:hAnsi="华文中宋" w:eastAsia="楷体_GB2312"/>
                          <w:sz w:val="21"/>
                          <w:szCs w:val="21"/>
                        </w:rPr>
                        <w:t>亿元，</w:t>
                      </w:r>
                      <w:r>
                        <w:rPr>
                          <w:rFonts w:hint="eastAsia" w:ascii="楷体_GB2312" w:hAnsi="华文中宋" w:eastAsia="楷体_GB2312"/>
                          <w:color w:val="000000"/>
                          <w:sz w:val="21"/>
                          <w:szCs w:val="21"/>
                        </w:rPr>
                        <w:t>规划期内开工</w:t>
                      </w:r>
                      <w:r>
                        <w:rPr>
                          <w:rFonts w:ascii="楷体_GB2312" w:hAnsi="华文中宋" w:eastAsia="楷体_GB2312"/>
                          <w:color w:val="000000"/>
                          <w:sz w:val="21"/>
                          <w:szCs w:val="21"/>
                        </w:rPr>
                        <w:t>并力争建成通车</w:t>
                      </w:r>
                      <w:r>
                        <w:rPr>
                          <w:rFonts w:hint="eastAsia" w:ascii="楷体_GB2312" w:hAnsi="华文中宋" w:eastAsia="楷体_GB2312"/>
                          <w:color w:val="000000"/>
                          <w:sz w:val="21"/>
                          <w:szCs w:val="21"/>
                        </w:rPr>
                        <w:t>。</w:t>
                      </w:r>
                    </w:p>
                    <w:p>
                      <w:pPr>
                        <w:spacing w:after="0" w:line="320" w:lineRule="exact"/>
                        <w:ind w:firstLine="422" w:firstLineChars="200"/>
                        <w:jc w:val="both"/>
                        <w:rPr>
                          <w:rFonts w:ascii="Times New Roman" w:hAnsi="Times New Roman" w:eastAsia="楷体_GB2312"/>
                          <w:sz w:val="21"/>
                          <w:szCs w:val="21"/>
                        </w:rPr>
                      </w:pPr>
                      <w:r>
                        <w:rPr>
                          <w:rFonts w:hint="eastAsia" w:ascii="楷体_GB2312" w:hAnsi="华文中宋" w:eastAsia="楷体_GB2312"/>
                          <w:b/>
                          <w:sz w:val="21"/>
                          <w:szCs w:val="21"/>
                        </w:rPr>
                        <w:t>地方高速公路：法汤一级公路</w:t>
                      </w:r>
                      <w:r>
                        <w:rPr>
                          <w:rFonts w:hint="eastAsia" w:ascii="楷体_GB2312" w:hAnsi="华文中宋" w:eastAsia="楷体_GB2312"/>
                          <w:sz w:val="21"/>
                          <w:szCs w:val="21"/>
                        </w:rPr>
                        <w:t>（绛帐至汤峪段）；</w:t>
                      </w:r>
                      <w:r>
                        <w:rPr>
                          <w:rFonts w:hint="eastAsia" w:ascii="Times New Roman" w:hAnsi="Times New Roman" w:eastAsia="楷体_GB2312"/>
                          <w:sz w:val="21"/>
                          <w:szCs w:val="21"/>
                        </w:rPr>
                        <w:t>与宝汉高速同步建设</w:t>
                      </w:r>
                      <w:r>
                        <w:rPr>
                          <w:rFonts w:hint="eastAsia" w:ascii="Times New Roman" w:hAnsi="Times New Roman" w:eastAsia="楷体_GB2312"/>
                          <w:b/>
                          <w:sz w:val="21"/>
                          <w:szCs w:val="21"/>
                        </w:rPr>
                        <w:t>凤县、太白县与高速连接线</w:t>
                      </w:r>
                      <w:r>
                        <w:rPr>
                          <w:rFonts w:hint="eastAsia" w:ascii="Times New Roman" w:hAnsi="Times New Roman" w:eastAsia="楷体_GB2312"/>
                          <w:sz w:val="21"/>
                          <w:szCs w:val="21"/>
                        </w:rPr>
                        <w:t>。</w:t>
                      </w:r>
                    </w:p>
                    <w:p>
                      <w:pPr>
                        <w:spacing w:after="0" w:line="32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前期高速公路：机场高速，</w:t>
                      </w:r>
                      <w:r>
                        <w:rPr>
                          <w:rFonts w:hint="eastAsia" w:ascii="楷体_GB2312" w:hAnsi="华文中宋" w:eastAsia="楷体_GB2312"/>
                          <w:sz w:val="21"/>
                          <w:szCs w:val="21"/>
                        </w:rPr>
                        <w:t>新建高速公路连接线</w:t>
                      </w:r>
                      <w:r>
                        <w:rPr>
                          <w:rFonts w:ascii="楷体_GB2312" w:hAnsi="华文中宋" w:eastAsia="楷体_GB2312"/>
                          <w:sz w:val="21"/>
                          <w:szCs w:val="21"/>
                        </w:rPr>
                        <w:t>22</w:t>
                      </w:r>
                      <w:r>
                        <w:rPr>
                          <w:rFonts w:hint="eastAsia" w:ascii="楷体_GB2312" w:hAnsi="华文中宋" w:eastAsia="楷体_GB2312"/>
                          <w:sz w:val="21"/>
                          <w:szCs w:val="21"/>
                        </w:rPr>
                        <w:t>公里，北接合凤线，南接连霍高速。</w:t>
                      </w:r>
                      <w:r>
                        <w:rPr>
                          <w:rFonts w:hint="eastAsia" w:ascii="Times New Roman" w:hAnsi="Times New Roman" w:eastAsia="楷体_GB2312"/>
                          <w:b/>
                          <w:sz w:val="21"/>
                          <w:szCs w:val="21"/>
                        </w:rPr>
                        <w:t>京昆高速秦岭复线</w:t>
                      </w:r>
                      <w:r>
                        <w:rPr>
                          <w:rFonts w:hint="eastAsia" w:ascii="Times New Roman" w:hAnsi="Times New Roman" w:eastAsia="楷体_GB2312"/>
                          <w:sz w:val="21"/>
                          <w:szCs w:val="21"/>
                        </w:rPr>
                        <w:t>，即眉县—太白—凤县—陕甘界，谋划新建高速公路约180公里，连通连霍高速（西宝）、银昆高速（宝汉）、十天高速，形成西出甘南方向的出省通道。</w:t>
                      </w:r>
                      <w:r>
                        <w:rPr>
                          <w:rFonts w:hint="eastAsia" w:ascii="楷体_GB2312" w:hAnsi="华文中宋" w:eastAsia="楷体_GB2312"/>
                          <w:b/>
                          <w:sz w:val="21"/>
                          <w:szCs w:val="21"/>
                        </w:rPr>
                        <w:t>宝鸡绕城高速北环线</w:t>
                      </w:r>
                      <w:r>
                        <w:rPr>
                          <w:rFonts w:hint="eastAsia" w:ascii="楷体_GB2312" w:hAnsi="华文中宋" w:eastAsia="楷体_GB2312"/>
                          <w:sz w:val="21"/>
                          <w:szCs w:val="21"/>
                        </w:rPr>
                        <w:t>，东起连霍高速虢镇以东五一村枢纽立交，向北上陈仓区慕仪镇，再向西过周原镇，接宝汉高速，跨千河上蟠龙新区，跨金陵河过陵原向南接连霍高速苟家岭西互通立交桥，总长度约</w:t>
                      </w:r>
                      <w:r>
                        <w:rPr>
                          <w:rFonts w:ascii="楷体_GB2312" w:hAnsi="华文中宋" w:eastAsia="楷体_GB2312"/>
                          <w:sz w:val="21"/>
                          <w:szCs w:val="21"/>
                        </w:rPr>
                        <w:t>45</w:t>
                      </w:r>
                      <w:r>
                        <w:rPr>
                          <w:rFonts w:hint="eastAsia" w:ascii="楷体_GB2312" w:hAnsi="华文中宋" w:eastAsia="楷体_GB2312"/>
                          <w:sz w:val="21"/>
                          <w:szCs w:val="21"/>
                        </w:rPr>
                        <w:t>公里</w:t>
                      </w:r>
                      <w:r>
                        <w:rPr>
                          <w:rFonts w:hint="eastAsia" w:ascii="Times New Roman" w:hAnsi="Times New Roman" w:eastAsia="楷体_GB2312"/>
                          <w:sz w:val="21"/>
                          <w:szCs w:val="21"/>
                        </w:rPr>
                        <w:t xml:space="preserve">。 </w:t>
                      </w:r>
                    </w:p>
                  </w:txbxContent>
                </v:textbox>
                <w10:wrap type="square"/>
              </v:shape>
            </w:pict>
          </mc:Fallback>
        </mc:AlternateContent>
      </w:r>
    </w:p>
    <w:p>
      <w:pPr>
        <w:tabs>
          <w:tab w:val="left" w:pos="715"/>
        </w:tabs>
        <w:spacing w:after="0" w:line="600" w:lineRule="exact"/>
        <w:rPr>
          <w:rFonts w:ascii="楷体_GB2312" w:hAnsi="华文中宋" w:eastAsia="楷体_GB2312"/>
          <w:b/>
          <w:sz w:val="32"/>
          <w:szCs w:val="32"/>
        </w:rPr>
      </w:pPr>
      <w:r>
        <w:rPr>
          <w:rFonts w:ascii="楷体_GB2312" w:hAnsi="华文中宋" w:eastAsia="楷体_GB2312"/>
          <w:b/>
          <w:sz w:val="32"/>
          <w:szCs w:val="32"/>
        </w:rPr>
        <w:tab/>
      </w:r>
    </w:p>
    <w:p>
      <w:pPr>
        <w:rPr>
          <w:rFonts w:ascii="楷体_GB2312" w:hAnsi="华文中宋" w:eastAsia="楷体_GB2312"/>
          <w:sz w:val="32"/>
          <w:szCs w:val="32"/>
        </w:rPr>
      </w:pPr>
    </w:p>
    <w:p>
      <w:pPr>
        <w:rPr>
          <w:rFonts w:ascii="楷体_GB2312" w:hAnsi="华文中宋" w:eastAsia="楷体_GB2312"/>
          <w:sz w:val="32"/>
          <w:szCs w:val="32"/>
        </w:rPr>
        <w:sectPr>
          <w:pgSz w:w="11906" w:h="16838"/>
          <w:pgMar w:top="1418" w:right="1588" w:bottom="1418" w:left="1588" w:header="851" w:footer="397" w:gutter="0"/>
          <w:cols w:space="425" w:num="1"/>
          <w:docGrid w:type="lines" w:linePitch="312" w:charSpace="0"/>
        </w:sectPr>
      </w:pPr>
    </w:p>
    <w:p>
      <w:pPr>
        <w:rPr>
          <w:rFonts w:ascii="楷体_GB2312" w:hAnsi="华文中宋" w:eastAsia="楷体_GB2312"/>
          <w:sz w:val="32"/>
          <w:szCs w:val="32"/>
        </w:rPr>
      </w:pPr>
      <w:r>
        <w:rPr>
          <w:lang/>
        </w:rPr>
        <w:drawing>
          <wp:anchor distT="0" distB="0" distL="114300" distR="114300" simplePos="0" relativeHeight="251723776" behindDoc="0" locked="0" layoutInCell="1" allowOverlap="1">
            <wp:simplePos x="0" y="0"/>
            <wp:positionH relativeFrom="column">
              <wp:posOffset>0</wp:posOffset>
            </wp:positionH>
            <wp:positionV relativeFrom="paragraph">
              <wp:posOffset>-13970</wp:posOffset>
            </wp:positionV>
            <wp:extent cx="5549265" cy="8892540"/>
            <wp:effectExtent l="0" t="0" r="13335" b="3810"/>
            <wp:wrapSquare wrapText="bothSides"/>
            <wp:docPr id="64" name="图片 1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5" descr="1"/>
                    <pic:cNvPicPr>
                      <a:picLocks noChangeAspect="1"/>
                    </pic:cNvPicPr>
                  </pic:nvPicPr>
                  <pic:blipFill>
                    <a:blip r:embed="rId36"/>
                    <a:stretch>
                      <a:fillRect/>
                    </a:stretch>
                  </pic:blipFill>
                  <pic:spPr>
                    <a:xfrm>
                      <a:off x="0" y="0"/>
                      <a:ext cx="5549265" cy="8892540"/>
                    </a:xfrm>
                    <a:prstGeom prst="rect">
                      <a:avLst/>
                    </a:prstGeom>
                    <a:noFill/>
                    <a:ln>
                      <a:noFill/>
                    </a:ln>
                  </pic:spPr>
                </pic:pic>
              </a:graphicData>
            </a:graphic>
          </wp:anchor>
        </w:drawing>
      </w:r>
    </w:p>
    <w:p>
      <w:pPr>
        <w:spacing w:after="0" w:line="600" w:lineRule="exact"/>
        <w:jc w:val="center"/>
        <w:rPr>
          <w:rFonts w:ascii="楷体_GB2312" w:hAnsi="华文中宋" w:eastAsia="楷体_GB2312"/>
          <w:b/>
          <w:sz w:val="32"/>
          <w:szCs w:val="32"/>
        </w:rPr>
        <w:sectPr>
          <w:pgSz w:w="11906" w:h="16838"/>
          <w:pgMar w:top="1418" w:right="1588" w:bottom="1418" w:left="1588" w:header="851" w:footer="397" w:gutter="0"/>
          <w:cols w:space="425" w:num="1"/>
          <w:docGrid w:type="lines" w:linePitch="312" w:charSpace="0"/>
        </w:sectPr>
      </w:pPr>
    </w:p>
    <w:p>
      <w:pPr>
        <w:spacing w:after="0" w:line="600" w:lineRule="exact"/>
        <w:jc w:val="center"/>
        <w:rPr>
          <w:rFonts w:ascii="楷体_GB2312" w:hAnsi="华文中宋" w:eastAsia="楷体_GB2312"/>
          <w:b/>
          <w:sz w:val="32"/>
          <w:szCs w:val="32"/>
        </w:rPr>
      </w:pPr>
      <w:r>
        <w:rPr>
          <w:rFonts w:hint="eastAsia" w:ascii="楷体_GB2312" w:hAnsi="华文中宋" w:eastAsia="楷体_GB2312"/>
          <w:b/>
          <w:sz w:val="32"/>
          <w:szCs w:val="32"/>
        </w:rPr>
        <w:t>第四节</w:t>
      </w:r>
      <w:r>
        <w:rPr>
          <w:rFonts w:ascii="楷体_GB2312" w:hAnsi="华文中宋" w:eastAsia="楷体_GB2312"/>
          <w:b/>
          <w:sz w:val="32"/>
          <w:szCs w:val="32"/>
        </w:rPr>
        <w:t xml:space="preserve">  </w:t>
      </w:r>
      <w:r>
        <w:rPr>
          <w:rFonts w:hint="eastAsia" w:ascii="楷体_GB2312" w:hAnsi="华文中宋" w:eastAsia="楷体_GB2312"/>
          <w:b/>
          <w:sz w:val="32"/>
          <w:szCs w:val="32"/>
        </w:rPr>
        <w:t>提升干线和农村公路建设水平</w:t>
      </w:r>
    </w:p>
    <w:p>
      <w:pPr>
        <w:spacing w:after="0" w:line="600" w:lineRule="exact"/>
        <w:ind w:firstLine="640" w:firstLineChars="200"/>
        <w:jc w:val="both"/>
        <w:rPr>
          <w:rFonts w:hint="eastAsia" w:ascii="仿宋_GB2312" w:hAnsi="华文中宋" w:eastAsia="仿宋_GB2312"/>
          <w:sz w:val="32"/>
          <w:szCs w:val="32"/>
        </w:rPr>
      </w:pPr>
      <w:r>
        <w:rPr>
          <w:rFonts w:hint="eastAsia" w:ascii="仿宋_GB2312" w:hAnsi="华文中宋" w:eastAsia="仿宋_GB2312"/>
          <w:sz w:val="32"/>
          <w:szCs w:val="32"/>
        </w:rPr>
        <w:t>按照中省建设公路系统的统一部署，加快实施国道、省道以及县城、园区、重点景区的高等级道路工程，注重路网连接线建设，提高通乡、通村等农村公路的等级标准和抗灾能力。完善公路客货运站场体系，加大农村公路养护投入，提高综合服务水平。五年投资</w:t>
      </w:r>
      <w:r>
        <w:rPr>
          <w:rFonts w:ascii="仿宋_GB2312" w:hAnsi="华文中宋" w:eastAsia="仿宋_GB2312"/>
          <w:sz w:val="32"/>
          <w:szCs w:val="32"/>
        </w:rPr>
        <w:t>50</w:t>
      </w:r>
      <w:r>
        <w:rPr>
          <w:rFonts w:hint="eastAsia" w:ascii="仿宋_GB2312" w:hAnsi="华文中宋" w:eastAsia="仿宋_GB2312"/>
          <w:sz w:val="32"/>
          <w:szCs w:val="32"/>
        </w:rPr>
        <w:t>亿元，新建、扩改建干线公路</w:t>
      </w:r>
      <w:r>
        <w:rPr>
          <w:rFonts w:ascii="仿宋_GB2312" w:hAnsi="华文中宋" w:eastAsia="仿宋_GB2312"/>
          <w:sz w:val="32"/>
          <w:szCs w:val="32"/>
        </w:rPr>
        <w:t>600</w:t>
      </w:r>
      <w:r>
        <w:rPr>
          <w:rFonts w:hint="eastAsia" w:ascii="仿宋_GB2312" w:hAnsi="华文中宋" w:eastAsia="仿宋_GB2312"/>
          <w:sz w:val="32"/>
          <w:szCs w:val="32"/>
        </w:rPr>
        <w:t>公里、农村公路</w:t>
      </w:r>
      <w:r>
        <w:rPr>
          <w:rFonts w:ascii="仿宋_GB2312" w:hAnsi="华文中宋" w:eastAsia="仿宋_GB2312"/>
          <w:sz w:val="32"/>
          <w:szCs w:val="32"/>
        </w:rPr>
        <w:t>3000</w:t>
      </w:r>
      <w:r>
        <w:rPr>
          <w:rFonts w:hint="eastAsia" w:ascii="仿宋_GB2312" w:hAnsi="华文中宋" w:eastAsia="仿宋_GB2312"/>
          <w:sz w:val="32"/>
          <w:szCs w:val="32"/>
        </w:rPr>
        <w:t>公里。</w:t>
      </w:r>
    </w:p>
    <w:p>
      <w:pPr>
        <w:spacing w:after="0" w:line="560" w:lineRule="exact"/>
        <w:ind w:firstLine="360" w:firstLineChars="200"/>
        <w:jc w:val="both"/>
        <w:rPr>
          <w:rFonts w:hint="eastAsia" w:ascii="楷体_GB2312" w:hAnsi="华文中宋" w:eastAsia="楷体_GB2312"/>
          <w:b/>
          <w:spacing w:val="-20"/>
          <w:sz w:val="32"/>
          <w:szCs w:val="32"/>
        </w:rPr>
      </w:pPr>
      <w:r>
        <w:rPr>
          <w:spacing w:val="-20"/>
          <w:lang/>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100965</wp:posOffset>
                </wp:positionV>
                <wp:extent cx="5600700" cy="2180590"/>
                <wp:effectExtent l="4445" t="5080" r="14605" b="5080"/>
                <wp:wrapSquare wrapText="bothSides"/>
                <wp:docPr id="22" name="文本框 65"/>
                <wp:cNvGraphicFramePr/>
                <a:graphic xmlns:a="http://schemas.openxmlformats.org/drawingml/2006/main">
                  <a:graphicData uri="http://schemas.microsoft.com/office/word/2010/wordprocessingShape">
                    <wps:wsp>
                      <wps:cNvSpPr txBox="1"/>
                      <wps:spPr>
                        <a:xfrm>
                          <a:off x="0" y="0"/>
                          <a:ext cx="5600700" cy="2180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6</w:t>
                            </w:r>
                          </w:p>
                          <w:p>
                            <w:pPr>
                              <w:spacing w:after="0" w:line="300" w:lineRule="exact"/>
                              <w:jc w:val="center"/>
                              <w:rPr>
                                <w:rFonts w:ascii="黑体" w:hAnsi="黑体" w:eastAsia="黑体"/>
                                <w:b/>
                                <w:sz w:val="21"/>
                                <w:szCs w:val="21"/>
                              </w:rPr>
                            </w:pPr>
                            <w:r>
                              <w:rPr>
                                <w:rFonts w:hint="eastAsia" w:ascii="黑体" w:hAnsi="黑体" w:eastAsia="黑体"/>
                                <w:b/>
                                <w:sz w:val="21"/>
                                <w:szCs w:val="21"/>
                              </w:rPr>
                              <w:t>干线公路建设工程</w:t>
                            </w:r>
                          </w:p>
                          <w:p>
                            <w:pPr>
                              <w:spacing w:after="0" w:line="300" w:lineRule="exact"/>
                              <w:ind w:firstLine="422" w:firstLineChars="200"/>
                              <w:jc w:val="both"/>
                              <w:rPr>
                                <w:rFonts w:ascii="楷体_GB2312" w:hAnsi="华文中宋" w:eastAsia="楷体_GB2312"/>
                                <w:color w:val="000000"/>
                                <w:sz w:val="21"/>
                                <w:szCs w:val="21"/>
                              </w:rPr>
                            </w:pPr>
                            <w:r>
                              <w:rPr>
                                <w:rFonts w:hint="eastAsia" w:ascii="楷体_GB2312" w:hAnsi="华文中宋" w:eastAsia="楷体_GB2312"/>
                                <w:b/>
                                <w:sz w:val="21"/>
                                <w:szCs w:val="21"/>
                              </w:rPr>
                              <w:t>干线改造。</w:t>
                            </w:r>
                            <w:r>
                              <w:rPr>
                                <w:rFonts w:hint="eastAsia" w:ascii="楷体_GB2312" w:hAnsi="华文中宋" w:eastAsia="楷体_GB2312"/>
                                <w:sz w:val="21"/>
                                <w:szCs w:val="21"/>
                              </w:rPr>
                              <w:t>完成：</w:t>
                            </w:r>
                            <w:r>
                              <w:rPr>
                                <w:rFonts w:ascii="楷体_GB2312" w:hAnsi="华文中宋" w:eastAsia="楷体_GB2312"/>
                                <w:sz w:val="21"/>
                                <w:szCs w:val="21"/>
                              </w:rPr>
                              <w:t>S107</w:t>
                            </w:r>
                            <w:r>
                              <w:rPr>
                                <w:rFonts w:hint="eastAsia" w:ascii="楷体_GB2312" w:hAnsi="华文中宋" w:eastAsia="楷体_GB2312"/>
                                <w:sz w:val="21"/>
                                <w:szCs w:val="21"/>
                              </w:rPr>
                              <w:t>扶风</w:t>
                            </w:r>
                            <w:r>
                              <w:rPr>
                                <w:rFonts w:ascii="楷体_GB2312" w:hAnsi="华文中宋" w:eastAsia="楷体_GB2312"/>
                                <w:sz w:val="21"/>
                                <w:szCs w:val="21"/>
                              </w:rPr>
                              <w:t>-</w:t>
                            </w:r>
                            <w:r>
                              <w:rPr>
                                <w:rFonts w:hint="eastAsia" w:ascii="楷体_GB2312" w:hAnsi="华文中宋" w:eastAsia="楷体_GB2312"/>
                                <w:sz w:val="21"/>
                                <w:szCs w:val="21"/>
                              </w:rPr>
                              <w:t>杨凌</w:t>
                            </w:r>
                            <w:r>
                              <w:rPr>
                                <w:rFonts w:ascii="楷体_GB2312" w:hAnsi="华文中宋" w:eastAsia="楷体_GB2312"/>
                                <w:sz w:val="21"/>
                                <w:szCs w:val="21"/>
                              </w:rPr>
                              <w:t>-</w:t>
                            </w:r>
                            <w:r>
                              <w:rPr>
                                <w:rFonts w:hint="eastAsia" w:ascii="楷体_GB2312" w:hAnsi="华文中宋" w:eastAsia="楷体_GB2312"/>
                                <w:sz w:val="21"/>
                                <w:szCs w:val="21"/>
                              </w:rPr>
                              <w:t>眉县公路、</w:t>
                            </w:r>
                            <w:r>
                              <w:rPr>
                                <w:rFonts w:ascii="楷体_GB2312" w:hAnsi="华文中宋" w:eastAsia="楷体_GB2312"/>
                                <w:sz w:val="21"/>
                                <w:szCs w:val="21"/>
                              </w:rPr>
                              <w:t>S306</w:t>
                            </w:r>
                            <w:r>
                              <w:rPr>
                                <w:rFonts w:hint="eastAsia" w:ascii="楷体_GB2312" w:hAnsi="华文中宋" w:eastAsia="楷体_GB2312"/>
                                <w:sz w:val="21"/>
                                <w:szCs w:val="21"/>
                              </w:rPr>
                              <w:t>崔木至麟游县城公路、</w:t>
                            </w:r>
                            <w:r>
                              <w:rPr>
                                <w:rFonts w:ascii="楷体_GB2312" w:hAnsi="华文中宋" w:eastAsia="楷体_GB2312"/>
                                <w:sz w:val="21"/>
                                <w:szCs w:val="21"/>
                              </w:rPr>
                              <w:t>G344</w:t>
                            </w:r>
                            <w:r>
                              <w:rPr>
                                <w:rFonts w:hint="eastAsia" w:ascii="楷体_GB2312" w:hAnsi="华文中宋" w:eastAsia="楷体_GB2312"/>
                                <w:sz w:val="21"/>
                                <w:szCs w:val="21"/>
                              </w:rPr>
                              <w:t>石家营至千阳公路（</w:t>
                            </w:r>
                            <w:r>
                              <w:rPr>
                                <w:rFonts w:ascii="楷体_GB2312" w:hAnsi="华文中宋" w:eastAsia="楷体_GB2312"/>
                                <w:sz w:val="21"/>
                                <w:szCs w:val="21"/>
                              </w:rPr>
                              <w:t>S104</w:t>
                            </w:r>
                            <w:r>
                              <w:rPr>
                                <w:rFonts w:hint="eastAsia" w:ascii="楷体_GB2312" w:hAnsi="华文中宋" w:eastAsia="楷体_GB2312"/>
                                <w:sz w:val="21"/>
                                <w:szCs w:val="21"/>
                              </w:rPr>
                              <w:t>扶风武功界</w:t>
                            </w:r>
                            <w:r>
                              <w:rPr>
                                <w:rFonts w:ascii="楷体_GB2312" w:hAnsi="华文中宋" w:eastAsia="楷体_GB2312"/>
                                <w:sz w:val="21"/>
                                <w:szCs w:val="21"/>
                              </w:rPr>
                              <w:t>-</w:t>
                            </w:r>
                            <w:r>
                              <w:rPr>
                                <w:rFonts w:hint="eastAsia" w:ascii="楷体_GB2312" w:hAnsi="华文中宋" w:eastAsia="楷体_GB2312"/>
                                <w:sz w:val="21"/>
                                <w:szCs w:val="21"/>
                              </w:rPr>
                              <w:t>千阳）、</w:t>
                            </w:r>
                            <w:r>
                              <w:rPr>
                                <w:rFonts w:ascii="楷体_GB2312" w:hAnsi="华文中宋" w:eastAsia="楷体_GB2312"/>
                                <w:sz w:val="21"/>
                                <w:szCs w:val="21"/>
                              </w:rPr>
                              <w:t>G342</w:t>
                            </w:r>
                            <w:r>
                              <w:rPr>
                                <w:rFonts w:hint="eastAsia" w:ascii="楷体_GB2312" w:hAnsi="华文中宋" w:eastAsia="楷体_GB2312"/>
                                <w:sz w:val="21"/>
                                <w:szCs w:val="21"/>
                              </w:rPr>
                              <w:t>麟游至蒲村公路、</w:t>
                            </w:r>
                            <w:r>
                              <w:rPr>
                                <w:rFonts w:ascii="楷体_GB2312" w:hAnsi="华文中宋" w:eastAsia="楷体_GB2312"/>
                                <w:sz w:val="21"/>
                                <w:szCs w:val="21"/>
                              </w:rPr>
                              <w:t>G244</w:t>
                            </w:r>
                            <w:r>
                              <w:rPr>
                                <w:rFonts w:hint="eastAsia" w:ascii="楷体_GB2312" w:hAnsi="华文中宋" w:eastAsia="楷体_GB2312"/>
                                <w:sz w:val="21"/>
                                <w:szCs w:val="21"/>
                              </w:rPr>
                              <w:t>陕甘界至凤翔公路、</w:t>
                            </w:r>
                            <w:r>
                              <w:rPr>
                                <w:rFonts w:ascii="楷体_GB2312" w:hAnsi="华文中宋" w:eastAsia="楷体_GB2312"/>
                                <w:sz w:val="21"/>
                                <w:szCs w:val="21"/>
                              </w:rPr>
                              <w:t>G244</w:t>
                            </w:r>
                            <w:r>
                              <w:rPr>
                                <w:rFonts w:hint="eastAsia" w:ascii="楷体_GB2312" w:hAnsi="华文中宋" w:eastAsia="楷体_GB2312"/>
                                <w:sz w:val="21"/>
                                <w:szCs w:val="21"/>
                              </w:rPr>
                              <w:t>潘家湾至太白公路、</w:t>
                            </w:r>
                            <w:r>
                              <w:rPr>
                                <w:rFonts w:ascii="楷体_GB2312" w:hAnsi="华文中宋" w:eastAsia="楷体_GB2312"/>
                                <w:sz w:val="21"/>
                                <w:szCs w:val="21"/>
                              </w:rPr>
                              <w:t>S209</w:t>
                            </w:r>
                            <w:r>
                              <w:rPr>
                                <w:rFonts w:hint="eastAsia" w:ascii="楷体_GB2312" w:hAnsi="华文中宋" w:eastAsia="楷体_GB2312"/>
                                <w:sz w:val="21"/>
                                <w:szCs w:val="21"/>
                              </w:rPr>
                              <w:t>扶风法门至绛帐公路、</w:t>
                            </w:r>
                            <w:r>
                              <w:rPr>
                                <w:rFonts w:ascii="楷体_GB2312" w:hAnsi="华文中宋" w:eastAsia="楷体_GB2312"/>
                                <w:sz w:val="21"/>
                                <w:szCs w:val="21"/>
                              </w:rPr>
                              <w:t>G316</w:t>
                            </w:r>
                            <w:r>
                              <w:rPr>
                                <w:rFonts w:hint="eastAsia" w:ascii="楷体_GB2312" w:hAnsi="华文中宋" w:eastAsia="楷体_GB2312"/>
                                <w:sz w:val="21"/>
                                <w:szCs w:val="21"/>
                              </w:rPr>
                              <w:t>及</w:t>
                            </w:r>
                            <w:r>
                              <w:rPr>
                                <w:rFonts w:ascii="楷体_GB2312" w:hAnsi="华文中宋" w:eastAsia="楷体_GB2312"/>
                                <w:sz w:val="21"/>
                                <w:szCs w:val="21"/>
                              </w:rPr>
                              <w:t>S212</w:t>
                            </w:r>
                            <w:r>
                              <w:rPr>
                                <w:rFonts w:hint="eastAsia" w:ascii="楷体_GB2312" w:hAnsi="华文中宋" w:eastAsia="楷体_GB2312"/>
                                <w:sz w:val="21"/>
                                <w:szCs w:val="21"/>
                              </w:rPr>
                              <w:t>凤县县城过境公路的国省干线项目建设。总长</w:t>
                            </w:r>
                            <w:r>
                              <w:rPr>
                                <w:rFonts w:ascii="楷体_GB2312" w:hAnsi="华文中宋" w:eastAsia="楷体_GB2312"/>
                                <w:sz w:val="21"/>
                                <w:szCs w:val="21"/>
                              </w:rPr>
                              <w:t>266.5</w:t>
                            </w:r>
                            <w:r>
                              <w:rPr>
                                <w:rFonts w:hint="eastAsia" w:ascii="楷体_GB2312" w:hAnsi="华文中宋" w:eastAsia="楷体_GB2312"/>
                                <w:sz w:val="21"/>
                                <w:szCs w:val="21"/>
                              </w:rPr>
                              <w:t>公里。开工建设：G316凤县灵官峡段、</w:t>
                            </w:r>
                            <w:r>
                              <w:rPr>
                                <w:rFonts w:ascii="楷体_GB2312" w:hAnsi="华文中宋" w:eastAsia="楷体_GB2312"/>
                                <w:sz w:val="21"/>
                                <w:szCs w:val="21"/>
                              </w:rPr>
                              <w:t>G342蒲村至眉县段、S311麟游</w:t>
                            </w:r>
                            <w:r>
                              <w:rPr>
                                <w:rFonts w:hint="eastAsia" w:ascii="楷体_GB2312" w:hAnsi="华文中宋" w:eastAsia="楷体_GB2312"/>
                                <w:sz w:val="21"/>
                                <w:szCs w:val="21"/>
                              </w:rPr>
                              <w:t>县城至两亭段、崔木至</w:t>
                            </w:r>
                            <w:r>
                              <w:rPr>
                                <w:rFonts w:ascii="楷体_GB2312" w:hAnsi="华文中宋" w:eastAsia="楷体_GB2312"/>
                                <w:sz w:val="21"/>
                                <w:szCs w:val="21"/>
                              </w:rPr>
                              <w:t>麟永界段、S107关中环线眉县至岐山、法门寺至乾县段、西宝中</w:t>
                            </w:r>
                            <w:r>
                              <w:rPr>
                                <w:rFonts w:ascii="楷体_GB2312" w:hAnsi="华文中宋" w:eastAsia="楷体_GB2312"/>
                                <w:color w:val="000000"/>
                                <w:sz w:val="21"/>
                                <w:szCs w:val="21"/>
                              </w:rPr>
                              <w:t>线、</w:t>
                            </w:r>
                            <w:r>
                              <w:rPr>
                                <w:rFonts w:hint="eastAsia" w:ascii="楷体_GB2312" w:hAnsi="华文中宋" w:eastAsia="楷体_GB2312"/>
                                <w:color w:val="000000"/>
                                <w:sz w:val="21"/>
                                <w:szCs w:val="21"/>
                              </w:rPr>
                              <w:t>固陕路</w:t>
                            </w:r>
                            <w:r>
                              <w:rPr>
                                <w:rFonts w:ascii="楷体_GB2312" w:hAnsi="华文中宋" w:eastAsia="楷体_GB2312"/>
                                <w:color w:val="000000"/>
                                <w:sz w:val="21"/>
                                <w:szCs w:val="21"/>
                              </w:rPr>
                              <w:t>、太洋公路等国省干线项目建设。</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农村公路。</w:t>
                            </w:r>
                            <w:r>
                              <w:rPr>
                                <w:rFonts w:hint="eastAsia" w:ascii="楷体_GB2312" w:hAnsi="华文中宋" w:eastAsia="楷体_GB2312"/>
                                <w:sz w:val="21"/>
                                <w:szCs w:val="21"/>
                              </w:rPr>
                              <w:t>实施农村</w:t>
                            </w:r>
                            <w:r>
                              <w:rPr>
                                <w:rFonts w:ascii="楷体_GB2312" w:hAnsi="华文中宋" w:eastAsia="楷体_GB2312"/>
                                <w:sz w:val="21"/>
                                <w:szCs w:val="21"/>
                              </w:rPr>
                              <w:t>公路网络化建设</w:t>
                            </w:r>
                            <w:r>
                              <w:rPr>
                                <w:rFonts w:hint="eastAsia" w:ascii="楷体_GB2312" w:hAnsi="华文中宋" w:eastAsia="楷体_GB2312"/>
                                <w:sz w:val="21"/>
                                <w:szCs w:val="21"/>
                              </w:rPr>
                              <w:t>，推进旅游路、产业路和园区路建设，完善农村公路桥涵配套工程，新增农村公路里程</w:t>
                            </w:r>
                            <w:r>
                              <w:rPr>
                                <w:rFonts w:ascii="楷体_GB2312" w:hAnsi="华文中宋" w:eastAsia="楷体_GB2312"/>
                                <w:sz w:val="21"/>
                                <w:szCs w:val="21"/>
                              </w:rPr>
                              <w:t>1200</w:t>
                            </w:r>
                            <w:r>
                              <w:rPr>
                                <w:rFonts w:hint="eastAsia" w:ascii="楷体_GB2312" w:hAnsi="华文中宋" w:eastAsia="楷体_GB2312"/>
                                <w:sz w:val="21"/>
                                <w:szCs w:val="21"/>
                              </w:rPr>
                              <w:t>公里。</w:t>
                            </w:r>
                          </w:p>
                        </w:txbxContent>
                      </wps:txbx>
                      <wps:bodyPr wrap="square" upright="1"/>
                    </wps:wsp>
                  </a:graphicData>
                </a:graphic>
              </wp:anchor>
            </w:drawing>
          </mc:Choice>
          <mc:Fallback>
            <w:pict>
              <v:shape id="文本框 65" o:spid="_x0000_s1026" o:spt="202" type="#_x0000_t202" style="position:absolute;left:0pt;margin-left:0pt;margin-top:7.95pt;height:171.7pt;width:441pt;mso-wrap-distance-bottom:0pt;mso-wrap-distance-left:9pt;mso-wrap-distance-right:9pt;mso-wrap-distance-top:0pt;z-index:251680768;mso-width-relative:page;mso-height-relative:page;" fillcolor="#FFFFFF" filled="t" stroked="t" coordsize="21600,21600" o:gfxdata="UEsDBAoAAAAAAIdO4kAAAAAAAAAAAAAAAAAEAAAAZHJzL1BLAwQUAAAACACHTuJAMkNlOdYAAAAH&#10;AQAADwAAAGRycy9kb3ducmV2LnhtbE2PwU7DMBBE70j8g7VIXBB12tCShDg9IIHgVgqCqxtvkwh7&#10;HWw3LX/PcoLjzKxm3tbrk7NiwhAHTwrmswwEUuvNQJ2Ct9eH6wJETJqMtp5QwTdGWDfnZ7WujD/S&#10;C07b1AkuoVhpBX1KYyVlbHt0Os78iMTZ3genE8vQSRP0kcudlYssW0mnB+KFXo9432P7uT04BcXN&#10;0/QRn/PNe7va2zJd3U6PX0Gpy4t5dgci4Sn9HcMvPqNDw0w7fyAThVXAjyR2lyUITotiwcZOQb4s&#10;c5BNLf/zNz9QSwMEFAAAAAgAh07iQIT5XgYZAgAARwQAAA4AAABkcnMvZTJvRG9jLnhtbK1TzY7T&#10;MBC+I/EOlu80aaSW3ajpSlDKBQHSwgO4tpNY8h8et0lfAN6AExfuPFefY8dut/sDhx7IwRl7xt/M&#10;9814cTMaTXYygHK2odNJSYm03Allu4Z+/bJ+dUUJRGYF087Khu4l0JvlyxeLwdeycr3TQgaCIBbq&#10;wTe0j9HXRQG8l4bBxHlp0dm6YFjEbegKEdiA6EYXVVnOi8EF4YPjEgBPV0cnPSGGSwBd2youV45v&#10;jbTxiBqkZhEpQa880GWutm0lj5/aFmQkuqHINOYVk6C9SWuxXLC6C8z3ip9KYJeU8IyTYcpi0jPU&#10;ikVGtkH9BWUUDw5cGyfcmeJIJCuCLKblM21ue+Zl5oJSgz+LDv8Pln/cfQ5EiYZWFSWWGez44eeP&#10;w68/h9/fyXyWBBo81Bh36zEyjm/ciGNzfw54mHiPbTDpj4wI+lHe/VleOUbC8XA2L8vXJbo4+qrp&#10;VTm7zg0oHq77APG9dIYko6EB+5dlZbsPELEUDL0PSdnAaSXWSuu8Cd3mrQ5kx7DX6/ylKvHKkzBt&#10;ydDQ61k1w0IYDnCLg4Om8SgC2C7ne3IDHgOX+fsXcCpsxaA/FpARUhirjYoyZKuXTLyzgsS9R50t&#10;vi+aijFSUKIlPsdk5cjIlL4kEtlpiyRTj469SFYcNyPCJHPjxB77NuCII71vWxYw59YH1fUocO5j&#10;vozzlbU6vYU0wI/3OcXD+1/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JDZTnWAAAABwEAAA8A&#10;AAAAAAAAAQAgAAAAIgAAAGRycy9kb3ducmV2LnhtbFBLAQIUABQAAAAIAIdO4kCE+V4GGQIAAEcE&#10;AAAOAAAAAAAAAAEAIAAAACUBAABkcnMvZTJvRG9jLnhtbFBLBQYAAAAABgAGAFkBAACwBQAAAAA=&#10;">
                <v:fill on="t" focussize="0,0"/>
                <v:stroke color="#000000" joinstyle="miter"/>
                <v:imagedata o:title=""/>
                <o:lock v:ext="edit" aspectratio="f"/>
                <v:textbox>
                  <w:txbxContent>
                    <w:p>
                      <w:pPr>
                        <w:spacing w:after="0" w:line="300" w:lineRule="exact"/>
                        <w:rPr>
                          <w:rFonts w:hint="eastAsia" w:ascii="黑体" w:hAnsi="黑体" w:eastAsia="黑体"/>
                          <w:b/>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6</w:t>
                      </w:r>
                    </w:p>
                    <w:p>
                      <w:pPr>
                        <w:spacing w:after="0" w:line="300" w:lineRule="exact"/>
                        <w:jc w:val="center"/>
                        <w:rPr>
                          <w:rFonts w:ascii="黑体" w:hAnsi="黑体" w:eastAsia="黑体"/>
                          <w:b/>
                          <w:sz w:val="21"/>
                          <w:szCs w:val="21"/>
                        </w:rPr>
                      </w:pPr>
                      <w:r>
                        <w:rPr>
                          <w:rFonts w:hint="eastAsia" w:ascii="黑体" w:hAnsi="黑体" w:eastAsia="黑体"/>
                          <w:b/>
                          <w:sz w:val="21"/>
                          <w:szCs w:val="21"/>
                        </w:rPr>
                        <w:t>干线公路建设工程</w:t>
                      </w:r>
                    </w:p>
                    <w:p>
                      <w:pPr>
                        <w:spacing w:after="0" w:line="300" w:lineRule="exact"/>
                        <w:ind w:firstLine="422" w:firstLineChars="200"/>
                        <w:jc w:val="both"/>
                        <w:rPr>
                          <w:rFonts w:ascii="楷体_GB2312" w:hAnsi="华文中宋" w:eastAsia="楷体_GB2312"/>
                          <w:color w:val="000000"/>
                          <w:sz w:val="21"/>
                          <w:szCs w:val="21"/>
                        </w:rPr>
                      </w:pPr>
                      <w:r>
                        <w:rPr>
                          <w:rFonts w:hint="eastAsia" w:ascii="楷体_GB2312" w:hAnsi="华文中宋" w:eastAsia="楷体_GB2312"/>
                          <w:b/>
                          <w:sz w:val="21"/>
                          <w:szCs w:val="21"/>
                        </w:rPr>
                        <w:t>干线改造。</w:t>
                      </w:r>
                      <w:r>
                        <w:rPr>
                          <w:rFonts w:hint="eastAsia" w:ascii="楷体_GB2312" w:hAnsi="华文中宋" w:eastAsia="楷体_GB2312"/>
                          <w:sz w:val="21"/>
                          <w:szCs w:val="21"/>
                        </w:rPr>
                        <w:t>完成：</w:t>
                      </w:r>
                      <w:r>
                        <w:rPr>
                          <w:rFonts w:ascii="楷体_GB2312" w:hAnsi="华文中宋" w:eastAsia="楷体_GB2312"/>
                          <w:sz w:val="21"/>
                          <w:szCs w:val="21"/>
                        </w:rPr>
                        <w:t>S107</w:t>
                      </w:r>
                      <w:r>
                        <w:rPr>
                          <w:rFonts w:hint="eastAsia" w:ascii="楷体_GB2312" w:hAnsi="华文中宋" w:eastAsia="楷体_GB2312"/>
                          <w:sz w:val="21"/>
                          <w:szCs w:val="21"/>
                        </w:rPr>
                        <w:t>扶风</w:t>
                      </w:r>
                      <w:r>
                        <w:rPr>
                          <w:rFonts w:ascii="楷体_GB2312" w:hAnsi="华文中宋" w:eastAsia="楷体_GB2312"/>
                          <w:sz w:val="21"/>
                          <w:szCs w:val="21"/>
                        </w:rPr>
                        <w:t>-</w:t>
                      </w:r>
                      <w:r>
                        <w:rPr>
                          <w:rFonts w:hint="eastAsia" w:ascii="楷体_GB2312" w:hAnsi="华文中宋" w:eastAsia="楷体_GB2312"/>
                          <w:sz w:val="21"/>
                          <w:szCs w:val="21"/>
                        </w:rPr>
                        <w:t>杨凌</w:t>
                      </w:r>
                      <w:r>
                        <w:rPr>
                          <w:rFonts w:ascii="楷体_GB2312" w:hAnsi="华文中宋" w:eastAsia="楷体_GB2312"/>
                          <w:sz w:val="21"/>
                          <w:szCs w:val="21"/>
                        </w:rPr>
                        <w:t>-</w:t>
                      </w:r>
                      <w:r>
                        <w:rPr>
                          <w:rFonts w:hint="eastAsia" w:ascii="楷体_GB2312" w:hAnsi="华文中宋" w:eastAsia="楷体_GB2312"/>
                          <w:sz w:val="21"/>
                          <w:szCs w:val="21"/>
                        </w:rPr>
                        <w:t>眉县公路、</w:t>
                      </w:r>
                      <w:r>
                        <w:rPr>
                          <w:rFonts w:ascii="楷体_GB2312" w:hAnsi="华文中宋" w:eastAsia="楷体_GB2312"/>
                          <w:sz w:val="21"/>
                          <w:szCs w:val="21"/>
                        </w:rPr>
                        <w:t>S306</w:t>
                      </w:r>
                      <w:r>
                        <w:rPr>
                          <w:rFonts w:hint="eastAsia" w:ascii="楷体_GB2312" w:hAnsi="华文中宋" w:eastAsia="楷体_GB2312"/>
                          <w:sz w:val="21"/>
                          <w:szCs w:val="21"/>
                        </w:rPr>
                        <w:t>崔木至麟游县城公路、</w:t>
                      </w:r>
                      <w:r>
                        <w:rPr>
                          <w:rFonts w:ascii="楷体_GB2312" w:hAnsi="华文中宋" w:eastAsia="楷体_GB2312"/>
                          <w:sz w:val="21"/>
                          <w:szCs w:val="21"/>
                        </w:rPr>
                        <w:t>G344</w:t>
                      </w:r>
                      <w:r>
                        <w:rPr>
                          <w:rFonts w:hint="eastAsia" w:ascii="楷体_GB2312" w:hAnsi="华文中宋" w:eastAsia="楷体_GB2312"/>
                          <w:sz w:val="21"/>
                          <w:szCs w:val="21"/>
                        </w:rPr>
                        <w:t>石家营至千阳公路（</w:t>
                      </w:r>
                      <w:r>
                        <w:rPr>
                          <w:rFonts w:ascii="楷体_GB2312" w:hAnsi="华文中宋" w:eastAsia="楷体_GB2312"/>
                          <w:sz w:val="21"/>
                          <w:szCs w:val="21"/>
                        </w:rPr>
                        <w:t>S104</w:t>
                      </w:r>
                      <w:r>
                        <w:rPr>
                          <w:rFonts w:hint="eastAsia" w:ascii="楷体_GB2312" w:hAnsi="华文中宋" w:eastAsia="楷体_GB2312"/>
                          <w:sz w:val="21"/>
                          <w:szCs w:val="21"/>
                        </w:rPr>
                        <w:t>扶风武功界</w:t>
                      </w:r>
                      <w:r>
                        <w:rPr>
                          <w:rFonts w:ascii="楷体_GB2312" w:hAnsi="华文中宋" w:eastAsia="楷体_GB2312"/>
                          <w:sz w:val="21"/>
                          <w:szCs w:val="21"/>
                        </w:rPr>
                        <w:t>-</w:t>
                      </w:r>
                      <w:r>
                        <w:rPr>
                          <w:rFonts w:hint="eastAsia" w:ascii="楷体_GB2312" w:hAnsi="华文中宋" w:eastAsia="楷体_GB2312"/>
                          <w:sz w:val="21"/>
                          <w:szCs w:val="21"/>
                        </w:rPr>
                        <w:t>千阳）、</w:t>
                      </w:r>
                      <w:r>
                        <w:rPr>
                          <w:rFonts w:ascii="楷体_GB2312" w:hAnsi="华文中宋" w:eastAsia="楷体_GB2312"/>
                          <w:sz w:val="21"/>
                          <w:szCs w:val="21"/>
                        </w:rPr>
                        <w:t>G342</w:t>
                      </w:r>
                      <w:r>
                        <w:rPr>
                          <w:rFonts w:hint="eastAsia" w:ascii="楷体_GB2312" w:hAnsi="华文中宋" w:eastAsia="楷体_GB2312"/>
                          <w:sz w:val="21"/>
                          <w:szCs w:val="21"/>
                        </w:rPr>
                        <w:t>麟游至蒲村公路、</w:t>
                      </w:r>
                      <w:r>
                        <w:rPr>
                          <w:rFonts w:ascii="楷体_GB2312" w:hAnsi="华文中宋" w:eastAsia="楷体_GB2312"/>
                          <w:sz w:val="21"/>
                          <w:szCs w:val="21"/>
                        </w:rPr>
                        <w:t>G244</w:t>
                      </w:r>
                      <w:r>
                        <w:rPr>
                          <w:rFonts w:hint="eastAsia" w:ascii="楷体_GB2312" w:hAnsi="华文中宋" w:eastAsia="楷体_GB2312"/>
                          <w:sz w:val="21"/>
                          <w:szCs w:val="21"/>
                        </w:rPr>
                        <w:t>陕甘界至凤翔公路、</w:t>
                      </w:r>
                      <w:r>
                        <w:rPr>
                          <w:rFonts w:ascii="楷体_GB2312" w:hAnsi="华文中宋" w:eastAsia="楷体_GB2312"/>
                          <w:sz w:val="21"/>
                          <w:szCs w:val="21"/>
                        </w:rPr>
                        <w:t>G244</w:t>
                      </w:r>
                      <w:r>
                        <w:rPr>
                          <w:rFonts w:hint="eastAsia" w:ascii="楷体_GB2312" w:hAnsi="华文中宋" w:eastAsia="楷体_GB2312"/>
                          <w:sz w:val="21"/>
                          <w:szCs w:val="21"/>
                        </w:rPr>
                        <w:t>潘家湾至太白公路、</w:t>
                      </w:r>
                      <w:r>
                        <w:rPr>
                          <w:rFonts w:ascii="楷体_GB2312" w:hAnsi="华文中宋" w:eastAsia="楷体_GB2312"/>
                          <w:sz w:val="21"/>
                          <w:szCs w:val="21"/>
                        </w:rPr>
                        <w:t>S209</w:t>
                      </w:r>
                      <w:r>
                        <w:rPr>
                          <w:rFonts w:hint="eastAsia" w:ascii="楷体_GB2312" w:hAnsi="华文中宋" w:eastAsia="楷体_GB2312"/>
                          <w:sz w:val="21"/>
                          <w:szCs w:val="21"/>
                        </w:rPr>
                        <w:t>扶风法门至绛帐公路、</w:t>
                      </w:r>
                      <w:r>
                        <w:rPr>
                          <w:rFonts w:ascii="楷体_GB2312" w:hAnsi="华文中宋" w:eastAsia="楷体_GB2312"/>
                          <w:sz w:val="21"/>
                          <w:szCs w:val="21"/>
                        </w:rPr>
                        <w:t>G316</w:t>
                      </w:r>
                      <w:r>
                        <w:rPr>
                          <w:rFonts w:hint="eastAsia" w:ascii="楷体_GB2312" w:hAnsi="华文中宋" w:eastAsia="楷体_GB2312"/>
                          <w:sz w:val="21"/>
                          <w:szCs w:val="21"/>
                        </w:rPr>
                        <w:t>及</w:t>
                      </w:r>
                      <w:r>
                        <w:rPr>
                          <w:rFonts w:ascii="楷体_GB2312" w:hAnsi="华文中宋" w:eastAsia="楷体_GB2312"/>
                          <w:sz w:val="21"/>
                          <w:szCs w:val="21"/>
                        </w:rPr>
                        <w:t>S212</w:t>
                      </w:r>
                      <w:r>
                        <w:rPr>
                          <w:rFonts w:hint="eastAsia" w:ascii="楷体_GB2312" w:hAnsi="华文中宋" w:eastAsia="楷体_GB2312"/>
                          <w:sz w:val="21"/>
                          <w:szCs w:val="21"/>
                        </w:rPr>
                        <w:t>凤县县城过境公路的国省干线项目建设。总长</w:t>
                      </w:r>
                      <w:r>
                        <w:rPr>
                          <w:rFonts w:ascii="楷体_GB2312" w:hAnsi="华文中宋" w:eastAsia="楷体_GB2312"/>
                          <w:sz w:val="21"/>
                          <w:szCs w:val="21"/>
                        </w:rPr>
                        <w:t>266.5</w:t>
                      </w:r>
                      <w:r>
                        <w:rPr>
                          <w:rFonts w:hint="eastAsia" w:ascii="楷体_GB2312" w:hAnsi="华文中宋" w:eastAsia="楷体_GB2312"/>
                          <w:sz w:val="21"/>
                          <w:szCs w:val="21"/>
                        </w:rPr>
                        <w:t>公里。开工建设：G316凤县灵官峡段、</w:t>
                      </w:r>
                      <w:r>
                        <w:rPr>
                          <w:rFonts w:ascii="楷体_GB2312" w:hAnsi="华文中宋" w:eastAsia="楷体_GB2312"/>
                          <w:sz w:val="21"/>
                          <w:szCs w:val="21"/>
                        </w:rPr>
                        <w:t>G342蒲村至眉县段、S311麟游</w:t>
                      </w:r>
                      <w:r>
                        <w:rPr>
                          <w:rFonts w:hint="eastAsia" w:ascii="楷体_GB2312" w:hAnsi="华文中宋" w:eastAsia="楷体_GB2312"/>
                          <w:sz w:val="21"/>
                          <w:szCs w:val="21"/>
                        </w:rPr>
                        <w:t>县城至两亭段、崔木至</w:t>
                      </w:r>
                      <w:r>
                        <w:rPr>
                          <w:rFonts w:ascii="楷体_GB2312" w:hAnsi="华文中宋" w:eastAsia="楷体_GB2312"/>
                          <w:sz w:val="21"/>
                          <w:szCs w:val="21"/>
                        </w:rPr>
                        <w:t>麟永界段、S107关中环线眉县至岐山、法门寺至乾县段、西宝中</w:t>
                      </w:r>
                      <w:r>
                        <w:rPr>
                          <w:rFonts w:ascii="楷体_GB2312" w:hAnsi="华文中宋" w:eastAsia="楷体_GB2312"/>
                          <w:color w:val="000000"/>
                          <w:sz w:val="21"/>
                          <w:szCs w:val="21"/>
                        </w:rPr>
                        <w:t>线、</w:t>
                      </w:r>
                      <w:r>
                        <w:rPr>
                          <w:rFonts w:hint="eastAsia" w:ascii="楷体_GB2312" w:hAnsi="华文中宋" w:eastAsia="楷体_GB2312"/>
                          <w:color w:val="000000"/>
                          <w:sz w:val="21"/>
                          <w:szCs w:val="21"/>
                        </w:rPr>
                        <w:t>固陕路</w:t>
                      </w:r>
                      <w:r>
                        <w:rPr>
                          <w:rFonts w:ascii="楷体_GB2312" w:hAnsi="华文中宋" w:eastAsia="楷体_GB2312"/>
                          <w:color w:val="000000"/>
                          <w:sz w:val="21"/>
                          <w:szCs w:val="21"/>
                        </w:rPr>
                        <w:t>、太洋公路等国省干线项目建设。</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农村公路。</w:t>
                      </w:r>
                      <w:r>
                        <w:rPr>
                          <w:rFonts w:hint="eastAsia" w:ascii="楷体_GB2312" w:hAnsi="华文中宋" w:eastAsia="楷体_GB2312"/>
                          <w:sz w:val="21"/>
                          <w:szCs w:val="21"/>
                        </w:rPr>
                        <w:t>实施农村</w:t>
                      </w:r>
                      <w:r>
                        <w:rPr>
                          <w:rFonts w:ascii="楷体_GB2312" w:hAnsi="华文中宋" w:eastAsia="楷体_GB2312"/>
                          <w:sz w:val="21"/>
                          <w:szCs w:val="21"/>
                        </w:rPr>
                        <w:t>公路网络化建设</w:t>
                      </w:r>
                      <w:r>
                        <w:rPr>
                          <w:rFonts w:hint="eastAsia" w:ascii="楷体_GB2312" w:hAnsi="华文中宋" w:eastAsia="楷体_GB2312"/>
                          <w:sz w:val="21"/>
                          <w:szCs w:val="21"/>
                        </w:rPr>
                        <w:t>，推进旅游路、产业路和园区路建设，完善农村公路桥涵配套工程，新增农村公路里程</w:t>
                      </w:r>
                      <w:r>
                        <w:rPr>
                          <w:rFonts w:ascii="楷体_GB2312" w:hAnsi="华文中宋" w:eastAsia="楷体_GB2312"/>
                          <w:sz w:val="21"/>
                          <w:szCs w:val="21"/>
                        </w:rPr>
                        <w:t>1200</w:t>
                      </w:r>
                      <w:r>
                        <w:rPr>
                          <w:rFonts w:hint="eastAsia" w:ascii="楷体_GB2312" w:hAnsi="华文中宋" w:eastAsia="楷体_GB2312"/>
                          <w:sz w:val="21"/>
                          <w:szCs w:val="21"/>
                        </w:rPr>
                        <w:t>公里。</w:t>
                      </w:r>
                    </w:p>
                  </w:txbxContent>
                </v:textbox>
                <w10:wrap type="square"/>
              </v:shape>
            </w:pict>
          </mc:Fallback>
        </mc:AlternateContent>
      </w:r>
    </w:p>
    <w:p>
      <w:pPr>
        <w:spacing w:after="0" w:line="600" w:lineRule="exact"/>
        <w:jc w:val="center"/>
        <w:rPr>
          <w:rFonts w:ascii="楷体_GB2312" w:hAnsi="华文中宋" w:eastAsia="楷体_GB2312"/>
          <w:b/>
          <w:sz w:val="32"/>
          <w:szCs w:val="32"/>
        </w:rPr>
      </w:pPr>
      <w:r>
        <w:rPr>
          <w:rFonts w:hint="eastAsia" w:ascii="楷体_GB2312" w:hAnsi="华文中宋" w:eastAsia="楷体_GB2312"/>
          <w:b/>
          <w:sz w:val="32"/>
          <w:szCs w:val="32"/>
        </w:rPr>
        <w:t>第五节</w:t>
      </w:r>
      <w:r>
        <w:rPr>
          <w:rFonts w:ascii="楷体_GB2312" w:hAnsi="华文中宋" w:eastAsia="楷体_GB2312"/>
          <w:b/>
          <w:sz w:val="32"/>
          <w:szCs w:val="32"/>
        </w:rPr>
        <w:t xml:space="preserve">  </w:t>
      </w:r>
      <w:r>
        <w:rPr>
          <w:rFonts w:hint="eastAsia" w:ascii="楷体_GB2312" w:hAnsi="华文中宋" w:eastAsia="楷体_GB2312"/>
          <w:b/>
          <w:sz w:val="32"/>
          <w:szCs w:val="32"/>
        </w:rPr>
        <w:t>加快宝鸡机场建设</w:t>
      </w:r>
    </w:p>
    <w:p>
      <w:pPr>
        <w:spacing w:after="0" w:line="600" w:lineRule="exact"/>
        <w:ind w:firstLine="640" w:firstLineChars="200"/>
        <w:jc w:val="both"/>
        <w:rPr>
          <w:rFonts w:ascii="仿宋_GB2312" w:hAnsi="华文中宋" w:eastAsia="仿宋_GB2312"/>
          <w:spacing w:val="-20"/>
          <w:sz w:val="32"/>
          <w:szCs w:val="32"/>
        </w:rPr>
      </w:pPr>
      <w:r>
        <w:rPr>
          <w:rFonts w:hint="eastAsia" w:ascii="仿宋_GB2312" w:hAnsi="华文中宋" w:eastAsia="仿宋_GB2312"/>
          <w:sz w:val="32"/>
          <w:szCs w:val="32"/>
        </w:rPr>
        <w:t>加快完成宝鸡机场可研报告、总体规划、总体设计等前期工作。“十三五”期间建成投用，开通国内航线十条。以低空空域改革为契机，支持陕西宝鸡通用航空有限公司等社会力量在眉县建设旋翼机培训基地，发展通用航空，积极推进太白山通用机场前期工作。五年投资</w:t>
      </w:r>
      <w:r>
        <w:rPr>
          <w:rFonts w:ascii="仿宋_GB2312" w:hAnsi="华文中宋" w:eastAsia="仿宋_GB2312"/>
          <w:sz w:val="32"/>
          <w:szCs w:val="32"/>
        </w:rPr>
        <w:t>25</w:t>
      </w:r>
      <w:r>
        <w:rPr>
          <w:rFonts w:hint="eastAsia" w:ascii="仿宋_GB2312" w:hAnsi="华文中宋" w:eastAsia="仿宋_GB2312"/>
          <w:sz w:val="32"/>
          <w:szCs w:val="32"/>
        </w:rPr>
        <w:t>亿元，新建军民两用机场一个、通用机场一个，扩建护林航空机场一个。</w:t>
      </w:r>
    </w:p>
    <w:p>
      <w:pPr>
        <w:spacing w:after="0" w:line="560" w:lineRule="exact"/>
        <w:ind w:firstLine="560" w:firstLineChars="200"/>
        <w:jc w:val="both"/>
        <w:rPr>
          <w:rFonts w:ascii="仿宋_GB2312" w:hAnsi="华文中宋" w:eastAsia="仿宋_GB2312"/>
          <w:spacing w:val="-20"/>
          <w:sz w:val="32"/>
          <w:szCs w:val="32"/>
        </w:rPr>
      </w:pPr>
    </w:p>
    <w:p>
      <w:pPr>
        <w:spacing w:after="0" w:line="560" w:lineRule="exact"/>
        <w:ind w:firstLine="360" w:firstLineChars="200"/>
        <w:jc w:val="both"/>
        <w:rPr>
          <w:rFonts w:ascii="仿宋_GB2312" w:hAnsi="华文中宋" w:eastAsia="仿宋_GB2312"/>
          <w:spacing w:val="-20"/>
          <w:sz w:val="32"/>
          <w:szCs w:val="32"/>
        </w:rPr>
      </w:pPr>
      <w:r>
        <w:rPr>
          <w:spacing w:val="-20"/>
          <w:lang/>
        </w:rPr>
        <mc:AlternateContent>
          <mc:Choice Requires="wps">
            <w:drawing>
              <wp:anchor distT="0" distB="0" distL="114300" distR="114300" simplePos="0" relativeHeight="251681792" behindDoc="0" locked="0" layoutInCell="1" allowOverlap="1">
                <wp:simplePos x="0" y="0"/>
                <wp:positionH relativeFrom="column">
                  <wp:posOffset>10795</wp:posOffset>
                </wp:positionH>
                <wp:positionV relativeFrom="paragraph">
                  <wp:posOffset>7620</wp:posOffset>
                </wp:positionV>
                <wp:extent cx="5600700" cy="2322195"/>
                <wp:effectExtent l="4445" t="5080" r="14605" b="15875"/>
                <wp:wrapSquare wrapText="bothSides"/>
                <wp:docPr id="23" name="文本框 66"/>
                <wp:cNvGraphicFramePr/>
                <a:graphic xmlns:a="http://schemas.openxmlformats.org/drawingml/2006/main">
                  <a:graphicData uri="http://schemas.microsoft.com/office/word/2010/wordprocessingShape">
                    <wps:wsp>
                      <wps:cNvSpPr txBox="1"/>
                      <wps:spPr>
                        <a:xfrm>
                          <a:off x="0" y="0"/>
                          <a:ext cx="5600700" cy="23221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ascii="黑体" w:hAnsi="黑体" w:eastAsia="黑体"/>
                                <w:b/>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7</w:t>
                            </w:r>
                          </w:p>
                          <w:p>
                            <w:pPr>
                              <w:spacing w:after="0" w:line="300" w:lineRule="exact"/>
                              <w:jc w:val="center"/>
                              <w:rPr>
                                <w:rFonts w:ascii="黑体" w:hAnsi="黑体" w:eastAsia="黑体"/>
                                <w:b/>
                                <w:sz w:val="21"/>
                                <w:szCs w:val="21"/>
                              </w:rPr>
                            </w:pPr>
                            <w:r>
                              <w:rPr>
                                <w:rFonts w:hint="eastAsia" w:ascii="黑体" w:hAnsi="黑体" w:eastAsia="黑体"/>
                                <w:b/>
                                <w:sz w:val="21"/>
                                <w:szCs w:val="21"/>
                              </w:rPr>
                              <w:t>航空体系建设工程</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宝鸡机场：</w:t>
                            </w:r>
                            <w:r>
                              <w:rPr>
                                <w:rFonts w:hint="eastAsia" w:ascii="楷体_GB2312" w:hAnsi="华文中宋" w:eastAsia="楷体_GB2312"/>
                                <w:sz w:val="21"/>
                                <w:szCs w:val="21"/>
                              </w:rPr>
                              <w:t>总投资</w:t>
                            </w:r>
                            <w:r>
                              <w:rPr>
                                <w:rFonts w:ascii="楷体_GB2312" w:hAnsi="华文中宋" w:eastAsia="楷体_GB2312"/>
                                <w:sz w:val="21"/>
                                <w:szCs w:val="21"/>
                              </w:rPr>
                              <w:t>7.5</w:t>
                            </w:r>
                            <w:r>
                              <w:rPr>
                                <w:rFonts w:hint="eastAsia" w:ascii="楷体_GB2312" w:hAnsi="华文中宋" w:eastAsia="楷体_GB2312"/>
                                <w:sz w:val="21"/>
                                <w:szCs w:val="21"/>
                              </w:rPr>
                              <w:t>亿元，占地</w:t>
                            </w:r>
                            <w:r>
                              <w:rPr>
                                <w:rFonts w:ascii="楷体_GB2312" w:hAnsi="华文中宋" w:eastAsia="楷体_GB2312"/>
                                <w:sz w:val="21"/>
                                <w:szCs w:val="21"/>
                              </w:rPr>
                              <w:t>3600</w:t>
                            </w:r>
                            <w:r>
                              <w:rPr>
                                <w:rFonts w:hint="eastAsia" w:ascii="楷体_GB2312" w:hAnsi="华文中宋" w:eastAsia="楷体_GB2312"/>
                                <w:sz w:val="21"/>
                                <w:szCs w:val="21"/>
                              </w:rPr>
                              <w:t>亩，设计吞吐量</w:t>
                            </w:r>
                            <w:r>
                              <w:rPr>
                                <w:rFonts w:ascii="楷体_GB2312" w:hAnsi="华文中宋" w:eastAsia="楷体_GB2312"/>
                                <w:sz w:val="21"/>
                                <w:szCs w:val="21"/>
                              </w:rPr>
                              <w:t>80</w:t>
                            </w:r>
                            <w:r>
                              <w:rPr>
                                <w:rFonts w:hint="eastAsia" w:ascii="楷体_GB2312" w:hAnsi="华文中宋" w:eastAsia="楷体_GB2312"/>
                                <w:sz w:val="21"/>
                                <w:szCs w:val="21"/>
                              </w:rPr>
                              <w:t>万人次</w:t>
                            </w:r>
                            <w:r>
                              <w:rPr>
                                <w:rFonts w:ascii="楷体_GB2312" w:hAnsi="华文中宋" w:eastAsia="楷体_GB2312"/>
                                <w:sz w:val="21"/>
                                <w:szCs w:val="21"/>
                              </w:rPr>
                              <w:t>/</w:t>
                            </w:r>
                            <w:r>
                              <w:rPr>
                                <w:rFonts w:hint="eastAsia" w:ascii="楷体_GB2312" w:hAnsi="华文中宋" w:eastAsia="楷体_GB2312"/>
                                <w:sz w:val="21"/>
                                <w:szCs w:val="21"/>
                              </w:rPr>
                              <w:t>年，</w:t>
                            </w:r>
                            <w:r>
                              <w:rPr>
                                <w:rFonts w:ascii="楷体_GB2312" w:hAnsi="华文中宋" w:eastAsia="楷体_GB2312"/>
                                <w:sz w:val="21"/>
                                <w:szCs w:val="21"/>
                              </w:rPr>
                              <w:t>5750</w:t>
                            </w:r>
                            <w:r>
                              <w:rPr>
                                <w:rFonts w:hint="eastAsia" w:ascii="楷体_GB2312" w:hAnsi="华文中宋" w:eastAsia="楷体_GB2312"/>
                                <w:sz w:val="21"/>
                                <w:szCs w:val="21"/>
                              </w:rPr>
                              <w:t>架次</w:t>
                            </w:r>
                            <w:r>
                              <w:rPr>
                                <w:rFonts w:ascii="楷体_GB2312" w:hAnsi="华文中宋" w:eastAsia="楷体_GB2312"/>
                                <w:sz w:val="21"/>
                                <w:szCs w:val="21"/>
                              </w:rPr>
                              <w:t>/</w:t>
                            </w:r>
                            <w:r>
                              <w:rPr>
                                <w:rFonts w:hint="eastAsia" w:ascii="楷体_GB2312" w:hAnsi="华文中宋" w:eastAsia="楷体_GB2312"/>
                                <w:sz w:val="21"/>
                                <w:szCs w:val="21"/>
                              </w:rPr>
                              <w:t>年，建主跑道长</w:t>
                            </w:r>
                            <w:r>
                              <w:rPr>
                                <w:rFonts w:ascii="楷体_GB2312" w:hAnsi="华文中宋" w:eastAsia="楷体_GB2312"/>
                                <w:sz w:val="21"/>
                                <w:szCs w:val="21"/>
                              </w:rPr>
                              <w:t>2800</w:t>
                            </w:r>
                            <w:r>
                              <w:rPr>
                                <w:rFonts w:hint="eastAsia" w:ascii="楷体_GB2312" w:hAnsi="华文中宋" w:eastAsia="楷体_GB2312"/>
                                <w:sz w:val="21"/>
                                <w:szCs w:val="21"/>
                              </w:rPr>
                              <w:t>米，联络道</w:t>
                            </w:r>
                            <w:r>
                              <w:rPr>
                                <w:rFonts w:ascii="楷体_GB2312" w:hAnsi="华文中宋" w:eastAsia="楷体_GB2312"/>
                                <w:sz w:val="21"/>
                                <w:szCs w:val="21"/>
                              </w:rPr>
                              <w:t>280</w:t>
                            </w:r>
                            <w:r>
                              <w:rPr>
                                <w:rFonts w:hint="eastAsia" w:ascii="楷体_GB2312" w:hAnsi="华文中宋" w:eastAsia="楷体_GB2312"/>
                                <w:sz w:val="21"/>
                                <w:szCs w:val="21"/>
                              </w:rPr>
                              <w:t>米。场务区建航站楼（</w:t>
                            </w:r>
                            <w:r>
                              <w:rPr>
                                <w:rFonts w:ascii="楷体_GB2312" w:hAnsi="华文中宋" w:eastAsia="楷体_GB2312"/>
                                <w:sz w:val="21"/>
                                <w:szCs w:val="21"/>
                              </w:rPr>
                              <w:t>1.2</w:t>
                            </w:r>
                            <w:r>
                              <w:rPr>
                                <w:rFonts w:hint="eastAsia" w:ascii="楷体_GB2312" w:hAnsi="华文中宋" w:eastAsia="楷体_GB2312"/>
                                <w:sz w:val="21"/>
                                <w:szCs w:val="21"/>
                              </w:rPr>
                              <w:t>万平米）、航管楼（</w:t>
                            </w:r>
                            <w:r>
                              <w:rPr>
                                <w:rFonts w:ascii="楷体_GB2312" w:hAnsi="华文中宋" w:eastAsia="楷体_GB2312"/>
                                <w:sz w:val="21"/>
                                <w:szCs w:val="21"/>
                              </w:rPr>
                              <w:t>0.46</w:t>
                            </w:r>
                            <w:r>
                              <w:rPr>
                                <w:rFonts w:hint="eastAsia" w:ascii="楷体_GB2312" w:hAnsi="华文中宋" w:eastAsia="楷体_GB2312"/>
                                <w:sz w:val="21"/>
                                <w:szCs w:val="21"/>
                              </w:rPr>
                              <w:t>万平米）及塔台、机务、场务、安防、气象、通信导航等辅助配套设施；货运区建设货物进出区、特货区及邮件处理等配套设施；后勤保障区建生活办公、油料、飞机维护及水暖电等配套设施。</w:t>
                            </w:r>
                            <w:r>
                              <w:rPr>
                                <w:rFonts w:hint="eastAsia" w:ascii="楷体_GB2312" w:hAnsi="华文中宋" w:eastAsia="楷体_GB2312"/>
                                <w:b/>
                                <w:sz w:val="21"/>
                                <w:szCs w:val="21"/>
                              </w:rPr>
                              <w:t>配套建设：</w:t>
                            </w:r>
                            <w:r>
                              <w:rPr>
                                <w:rFonts w:hint="eastAsia" w:ascii="楷体_GB2312" w:hAnsi="华文中宋" w:eastAsia="楷体_GB2312"/>
                                <w:sz w:val="21"/>
                                <w:szCs w:val="21"/>
                              </w:rPr>
                              <w:t>机场高速联络线和三级国防公路一条（</w:t>
                            </w:r>
                            <w:r>
                              <w:rPr>
                                <w:rFonts w:ascii="楷体_GB2312" w:hAnsi="华文中宋" w:eastAsia="楷体_GB2312"/>
                                <w:sz w:val="21"/>
                                <w:szCs w:val="21"/>
                              </w:rPr>
                              <w:t>6</w:t>
                            </w:r>
                            <w:r>
                              <w:rPr>
                                <w:rFonts w:hint="eastAsia" w:ascii="楷体_GB2312" w:hAnsi="华文中宋" w:eastAsia="楷体_GB2312"/>
                                <w:sz w:val="21"/>
                                <w:szCs w:val="21"/>
                              </w:rPr>
                              <w:t>公里）</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陕西省航空护林站（陵塬机场）：</w:t>
                            </w:r>
                            <w:r>
                              <w:rPr>
                                <w:rFonts w:hint="eastAsia" w:ascii="楷体_GB2312" w:hAnsi="华文中宋" w:eastAsia="楷体_GB2312"/>
                                <w:sz w:val="21"/>
                                <w:szCs w:val="21"/>
                              </w:rPr>
                              <w:t>投资</w:t>
                            </w:r>
                            <w:r>
                              <w:rPr>
                                <w:rFonts w:ascii="楷体_GB2312" w:hAnsi="华文中宋" w:eastAsia="楷体_GB2312"/>
                                <w:sz w:val="21"/>
                                <w:szCs w:val="21"/>
                              </w:rPr>
                              <w:t>4000</w:t>
                            </w:r>
                            <w:r>
                              <w:rPr>
                                <w:rFonts w:hint="eastAsia" w:ascii="楷体_GB2312" w:hAnsi="华文中宋" w:eastAsia="楷体_GB2312"/>
                                <w:sz w:val="21"/>
                                <w:szCs w:val="21"/>
                              </w:rPr>
                              <w:t>万元，将林</w:t>
                            </w:r>
                            <w:r>
                              <w:rPr>
                                <w:rFonts w:ascii="楷体_GB2312" w:hAnsi="华文中宋" w:eastAsia="楷体_GB2312"/>
                                <w:sz w:val="21"/>
                                <w:szCs w:val="21"/>
                              </w:rPr>
                              <w:t>-</w:t>
                            </w:r>
                            <w:r>
                              <w:rPr>
                                <w:rFonts w:hint="eastAsia" w:ascii="楷体_GB2312" w:hAnsi="华文中宋" w:eastAsia="楷体_GB2312"/>
                                <w:sz w:val="21"/>
                                <w:szCs w:val="21"/>
                              </w:rPr>
                              <w:t>Ⅲ型机场改造升级为林</w:t>
                            </w:r>
                            <w:r>
                              <w:rPr>
                                <w:rFonts w:ascii="楷体_GB2312" w:hAnsi="华文中宋" w:eastAsia="楷体_GB2312"/>
                                <w:sz w:val="21"/>
                                <w:szCs w:val="21"/>
                              </w:rPr>
                              <w:t>-</w:t>
                            </w:r>
                            <w:r>
                              <w:rPr>
                                <w:rFonts w:hint="eastAsia" w:ascii="楷体_GB2312" w:hAnsi="华文中宋" w:eastAsia="楷体_GB2312"/>
                                <w:sz w:val="21"/>
                                <w:szCs w:val="21"/>
                              </w:rPr>
                              <w:t>Ⅱ型机场。延长跑道</w:t>
                            </w:r>
                            <w:r>
                              <w:rPr>
                                <w:rFonts w:ascii="楷体_GB2312" w:hAnsi="华文中宋" w:eastAsia="楷体_GB2312"/>
                                <w:sz w:val="21"/>
                                <w:szCs w:val="21"/>
                              </w:rPr>
                              <w:t>800</w:t>
                            </w:r>
                            <w:r>
                              <w:rPr>
                                <w:rFonts w:hint="eastAsia" w:ascii="楷体_GB2312" w:hAnsi="华文中宋" w:eastAsia="楷体_GB2312"/>
                                <w:sz w:val="21"/>
                                <w:szCs w:val="21"/>
                              </w:rPr>
                              <w:t>米，扩建停机坪，建设移动通信指挥系统，建成陕西航空护林中心站。</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太白山通用机场及旋翼机培训基地：</w:t>
                            </w:r>
                            <w:r>
                              <w:rPr>
                                <w:rFonts w:hint="eastAsia" w:ascii="楷体_GB2312" w:hAnsi="华文中宋" w:eastAsia="楷体_GB2312"/>
                                <w:sz w:val="21"/>
                                <w:szCs w:val="21"/>
                              </w:rPr>
                              <w:t>投资</w:t>
                            </w:r>
                            <w:r>
                              <w:rPr>
                                <w:rFonts w:ascii="楷体_GB2312" w:hAnsi="华文中宋" w:eastAsia="楷体_GB2312"/>
                                <w:sz w:val="21"/>
                                <w:szCs w:val="21"/>
                              </w:rPr>
                              <w:t>1.5</w:t>
                            </w:r>
                            <w:r>
                              <w:rPr>
                                <w:rFonts w:hint="eastAsia" w:ascii="楷体_GB2312" w:hAnsi="华文中宋" w:eastAsia="楷体_GB2312"/>
                                <w:sz w:val="21"/>
                                <w:szCs w:val="21"/>
                              </w:rPr>
                              <w:t>亿元，建飞行跑道两条，长</w:t>
                            </w:r>
                            <w:r>
                              <w:rPr>
                                <w:rFonts w:ascii="楷体_GB2312" w:hAnsi="华文中宋" w:eastAsia="楷体_GB2312"/>
                                <w:sz w:val="21"/>
                                <w:szCs w:val="21"/>
                              </w:rPr>
                              <w:t>943</w:t>
                            </w:r>
                            <w:r>
                              <w:rPr>
                                <w:rFonts w:hint="eastAsia" w:ascii="楷体_GB2312" w:hAnsi="华文中宋" w:eastAsia="楷体_GB2312"/>
                                <w:sz w:val="21"/>
                                <w:szCs w:val="21"/>
                              </w:rPr>
                              <w:t>米，塔台、机库、通信指挥系统及后勤生活保障区等。</w:t>
                            </w:r>
                          </w:p>
                        </w:txbxContent>
                      </wps:txbx>
                      <wps:bodyPr wrap="square" upright="1"/>
                    </wps:wsp>
                  </a:graphicData>
                </a:graphic>
              </wp:anchor>
            </w:drawing>
          </mc:Choice>
          <mc:Fallback>
            <w:pict>
              <v:shape id="文本框 66" o:spid="_x0000_s1026" o:spt="202" type="#_x0000_t202" style="position:absolute;left:0pt;margin-left:0.85pt;margin-top:0.6pt;height:182.85pt;width:441pt;mso-wrap-distance-bottom:0pt;mso-wrap-distance-left:9pt;mso-wrap-distance-right:9pt;mso-wrap-distance-top:0pt;z-index:251681792;mso-width-relative:page;mso-height-relative:page;" fillcolor="#FFFFFF" filled="t" stroked="t" coordsize="21600,21600" o:gfxdata="UEsDBAoAAAAAAIdO4kAAAAAAAAAAAAAAAAAEAAAAZHJzL1BLAwQUAAAACACHTuJAj4JlztUAAAAH&#10;AQAADwAAAGRycy9kb3ducmV2LnhtbE2OwU7DMBBE70j8g7VIXFDrtEFpGuL0gASCGxRUrm68TSLs&#10;dbDdtPw9ywlOq6cZzb56c3ZWTBji4EnBYp6BQGq9GahT8P72MCtBxKTJaOsJFXxjhE1zeVHryvgT&#10;veK0TZ3gEYqVVtCnNFZSxrZHp+Pcj0icHXxwOjGGTpqgTzzurFxmWSGdHog/9HrE+x7bz+3RKShv&#10;n6aP+Jy/7NriYNfpZjU9fgWlrq8W2R2IhOf0V4ZffVaHhp32/kgmCsu84iKfJQhOyzJn3ivIi2IN&#10;sqnlf//mB1BLAwQUAAAACACHTuJADL+glhcCAABHBAAADgAAAGRycy9lMm9Eb2MueG1srVNNrtMw&#10;EN4jcQfLe5o0Ty28qOmToJQNAqQHB3Btp7HkPzxuk14AbsCKDXvO1XMwdvr6fmDRBVk4Y8/4m/m+&#10;GS9uBqPJXgZQzjZ0OikpkZY7oey2oV8+r1+8ogQis4JpZ2VDDxLozfL5s0Xva1m5zmkhA0EQC3Xv&#10;G9rF6OuiAN5Jw2DivLTobF0wLOI2bAsRWI/oRhdVWc6L3gXhg+MSAE9Xo5OeEMMlgK5tFZcrx3dG&#10;2jiiBqlZRErQKQ90mattW8njx7YFGYluKDKNecUkaG/SWiwXrN4G5jvFTyWwS0p4wskwZTHpGWrF&#10;IiO7oP6CMooHB66NE+5MMRLJiiCLaflEm9uOeZm5oNTgz6LD/4PlH/afAlGiodUVJZYZ7Pjxx/fj&#10;z9/HX9/IfJ4E6j3UGHfrMTIOr92AY3N3DniYeA9tMOmPjAj6Ud7DWV45RMLxcDYvy5clujj6qquq&#10;ml7PEk5xf90HiO+kMyQZDQ3Yvywr27+HOIbehaRs4LQSa6V13oTt5o0OZM+w1+v8ndAfhWlL+oZe&#10;z6oZFsJwgFscHDSNRxHAbnO+RzfgIXCZv38Bp8JWDLqxgIyQwlhtVJQhW51k4q0VJB486mzxfdFU&#10;jJGCEi3xOSYrR0am9CWRqJ22KGHq0diLZMVhMyBMMjdOHLBvPY440vu6YwFz7nxQ2w4Fzn3Ml3G+&#10;cidObyEN8MN9TnH//p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CZc7VAAAABwEAAA8AAAAA&#10;AAAAAQAgAAAAIgAAAGRycy9kb3ducmV2LnhtbFBLAQIUABQAAAAIAIdO4kAMv6CWFwIAAEcEAAAO&#10;AAAAAAAAAAEAIAAAACQBAABkcnMvZTJvRG9jLnhtbFBLBQYAAAAABgAGAFkBAACtBQAAAAA=&#10;">
                <v:fill on="t" focussize="0,0"/>
                <v:stroke color="#000000" joinstyle="miter"/>
                <v:imagedata o:title=""/>
                <o:lock v:ext="edit" aspectratio="f"/>
                <v:textbox>
                  <w:txbxContent>
                    <w:p>
                      <w:pPr>
                        <w:spacing w:after="0" w:line="300" w:lineRule="exact"/>
                        <w:rPr>
                          <w:rFonts w:ascii="黑体" w:hAnsi="黑体" w:eastAsia="黑体"/>
                          <w:b/>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7</w:t>
                      </w:r>
                    </w:p>
                    <w:p>
                      <w:pPr>
                        <w:spacing w:after="0" w:line="300" w:lineRule="exact"/>
                        <w:jc w:val="center"/>
                        <w:rPr>
                          <w:rFonts w:ascii="黑体" w:hAnsi="黑体" w:eastAsia="黑体"/>
                          <w:b/>
                          <w:sz w:val="21"/>
                          <w:szCs w:val="21"/>
                        </w:rPr>
                      </w:pPr>
                      <w:r>
                        <w:rPr>
                          <w:rFonts w:hint="eastAsia" w:ascii="黑体" w:hAnsi="黑体" w:eastAsia="黑体"/>
                          <w:b/>
                          <w:sz w:val="21"/>
                          <w:szCs w:val="21"/>
                        </w:rPr>
                        <w:t>航空体系建设工程</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宝鸡机场：</w:t>
                      </w:r>
                      <w:r>
                        <w:rPr>
                          <w:rFonts w:hint="eastAsia" w:ascii="楷体_GB2312" w:hAnsi="华文中宋" w:eastAsia="楷体_GB2312"/>
                          <w:sz w:val="21"/>
                          <w:szCs w:val="21"/>
                        </w:rPr>
                        <w:t>总投资</w:t>
                      </w:r>
                      <w:r>
                        <w:rPr>
                          <w:rFonts w:ascii="楷体_GB2312" w:hAnsi="华文中宋" w:eastAsia="楷体_GB2312"/>
                          <w:sz w:val="21"/>
                          <w:szCs w:val="21"/>
                        </w:rPr>
                        <w:t>7.5</w:t>
                      </w:r>
                      <w:r>
                        <w:rPr>
                          <w:rFonts w:hint="eastAsia" w:ascii="楷体_GB2312" w:hAnsi="华文中宋" w:eastAsia="楷体_GB2312"/>
                          <w:sz w:val="21"/>
                          <w:szCs w:val="21"/>
                        </w:rPr>
                        <w:t>亿元，占地</w:t>
                      </w:r>
                      <w:r>
                        <w:rPr>
                          <w:rFonts w:ascii="楷体_GB2312" w:hAnsi="华文中宋" w:eastAsia="楷体_GB2312"/>
                          <w:sz w:val="21"/>
                          <w:szCs w:val="21"/>
                        </w:rPr>
                        <w:t>3600</w:t>
                      </w:r>
                      <w:r>
                        <w:rPr>
                          <w:rFonts w:hint="eastAsia" w:ascii="楷体_GB2312" w:hAnsi="华文中宋" w:eastAsia="楷体_GB2312"/>
                          <w:sz w:val="21"/>
                          <w:szCs w:val="21"/>
                        </w:rPr>
                        <w:t>亩，设计吞吐量</w:t>
                      </w:r>
                      <w:r>
                        <w:rPr>
                          <w:rFonts w:ascii="楷体_GB2312" w:hAnsi="华文中宋" w:eastAsia="楷体_GB2312"/>
                          <w:sz w:val="21"/>
                          <w:szCs w:val="21"/>
                        </w:rPr>
                        <w:t>80</w:t>
                      </w:r>
                      <w:r>
                        <w:rPr>
                          <w:rFonts w:hint="eastAsia" w:ascii="楷体_GB2312" w:hAnsi="华文中宋" w:eastAsia="楷体_GB2312"/>
                          <w:sz w:val="21"/>
                          <w:szCs w:val="21"/>
                        </w:rPr>
                        <w:t>万人次</w:t>
                      </w:r>
                      <w:r>
                        <w:rPr>
                          <w:rFonts w:ascii="楷体_GB2312" w:hAnsi="华文中宋" w:eastAsia="楷体_GB2312"/>
                          <w:sz w:val="21"/>
                          <w:szCs w:val="21"/>
                        </w:rPr>
                        <w:t>/</w:t>
                      </w:r>
                      <w:r>
                        <w:rPr>
                          <w:rFonts w:hint="eastAsia" w:ascii="楷体_GB2312" w:hAnsi="华文中宋" w:eastAsia="楷体_GB2312"/>
                          <w:sz w:val="21"/>
                          <w:szCs w:val="21"/>
                        </w:rPr>
                        <w:t>年，</w:t>
                      </w:r>
                      <w:r>
                        <w:rPr>
                          <w:rFonts w:ascii="楷体_GB2312" w:hAnsi="华文中宋" w:eastAsia="楷体_GB2312"/>
                          <w:sz w:val="21"/>
                          <w:szCs w:val="21"/>
                        </w:rPr>
                        <w:t>5750</w:t>
                      </w:r>
                      <w:r>
                        <w:rPr>
                          <w:rFonts w:hint="eastAsia" w:ascii="楷体_GB2312" w:hAnsi="华文中宋" w:eastAsia="楷体_GB2312"/>
                          <w:sz w:val="21"/>
                          <w:szCs w:val="21"/>
                        </w:rPr>
                        <w:t>架次</w:t>
                      </w:r>
                      <w:r>
                        <w:rPr>
                          <w:rFonts w:ascii="楷体_GB2312" w:hAnsi="华文中宋" w:eastAsia="楷体_GB2312"/>
                          <w:sz w:val="21"/>
                          <w:szCs w:val="21"/>
                        </w:rPr>
                        <w:t>/</w:t>
                      </w:r>
                      <w:r>
                        <w:rPr>
                          <w:rFonts w:hint="eastAsia" w:ascii="楷体_GB2312" w:hAnsi="华文中宋" w:eastAsia="楷体_GB2312"/>
                          <w:sz w:val="21"/>
                          <w:szCs w:val="21"/>
                        </w:rPr>
                        <w:t>年，建主跑道长</w:t>
                      </w:r>
                      <w:r>
                        <w:rPr>
                          <w:rFonts w:ascii="楷体_GB2312" w:hAnsi="华文中宋" w:eastAsia="楷体_GB2312"/>
                          <w:sz w:val="21"/>
                          <w:szCs w:val="21"/>
                        </w:rPr>
                        <w:t>2800</w:t>
                      </w:r>
                      <w:r>
                        <w:rPr>
                          <w:rFonts w:hint="eastAsia" w:ascii="楷体_GB2312" w:hAnsi="华文中宋" w:eastAsia="楷体_GB2312"/>
                          <w:sz w:val="21"/>
                          <w:szCs w:val="21"/>
                        </w:rPr>
                        <w:t>米，联络道</w:t>
                      </w:r>
                      <w:r>
                        <w:rPr>
                          <w:rFonts w:ascii="楷体_GB2312" w:hAnsi="华文中宋" w:eastAsia="楷体_GB2312"/>
                          <w:sz w:val="21"/>
                          <w:szCs w:val="21"/>
                        </w:rPr>
                        <w:t>280</w:t>
                      </w:r>
                      <w:r>
                        <w:rPr>
                          <w:rFonts w:hint="eastAsia" w:ascii="楷体_GB2312" w:hAnsi="华文中宋" w:eastAsia="楷体_GB2312"/>
                          <w:sz w:val="21"/>
                          <w:szCs w:val="21"/>
                        </w:rPr>
                        <w:t>米。场务区建航站楼（</w:t>
                      </w:r>
                      <w:r>
                        <w:rPr>
                          <w:rFonts w:ascii="楷体_GB2312" w:hAnsi="华文中宋" w:eastAsia="楷体_GB2312"/>
                          <w:sz w:val="21"/>
                          <w:szCs w:val="21"/>
                        </w:rPr>
                        <w:t>1.2</w:t>
                      </w:r>
                      <w:r>
                        <w:rPr>
                          <w:rFonts w:hint="eastAsia" w:ascii="楷体_GB2312" w:hAnsi="华文中宋" w:eastAsia="楷体_GB2312"/>
                          <w:sz w:val="21"/>
                          <w:szCs w:val="21"/>
                        </w:rPr>
                        <w:t>万平米）、航管楼（</w:t>
                      </w:r>
                      <w:r>
                        <w:rPr>
                          <w:rFonts w:ascii="楷体_GB2312" w:hAnsi="华文中宋" w:eastAsia="楷体_GB2312"/>
                          <w:sz w:val="21"/>
                          <w:szCs w:val="21"/>
                        </w:rPr>
                        <w:t>0.46</w:t>
                      </w:r>
                      <w:r>
                        <w:rPr>
                          <w:rFonts w:hint="eastAsia" w:ascii="楷体_GB2312" w:hAnsi="华文中宋" w:eastAsia="楷体_GB2312"/>
                          <w:sz w:val="21"/>
                          <w:szCs w:val="21"/>
                        </w:rPr>
                        <w:t>万平米）及塔台、机务、场务、安防、气象、通信导航等辅助配套设施；货运区建设货物进出区、特货区及邮件处理等配套设施；后勤保障区建生活办公、油料、飞机维护及水暖电等配套设施。</w:t>
                      </w:r>
                      <w:r>
                        <w:rPr>
                          <w:rFonts w:hint="eastAsia" w:ascii="楷体_GB2312" w:hAnsi="华文中宋" w:eastAsia="楷体_GB2312"/>
                          <w:b/>
                          <w:sz w:val="21"/>
                          <w:szCs w:val="21"/>
                        </w:rPr>
                        <w:t>配套建设：</w:t>
                      </w:r>
                      <w:r>
                        <w:rPr>
                          <w:rFonts w:hint="eastAsia" w:ascii="楷体_GB2312" w:hAnsi="华文中宋" w:eastAsia="楷体_GB2312"/>
                          <w:sz w:val="21"/>
                          <w:szCs w:val="21"/>
                        </w:rPr>
                        <w:t>机场高速联络线和三级国防公路一条（</w:t>
                      </w:r>
                      <w:r>
                        <w:rPr>
                          <w:rFonts w:ascii="楷体_GB2312" w:hAnsi="华文中宋" w:eastAsia="楷体_GB2312"/>
                          <w:sz w:val="21"/>
                          <w:szCs w:val="21"/>
                        </w:rPr>
                        <w:t>6</w:t>
                      </w:r>
                      <w:r>
                        <w:rPr>
                          <w:rFonts w:hint="eastAsia" w:ascii="楷体_GB2312" w:hAnsi="华文中宋" w:eastAsia="楷体_GB2312"/>
                          <w:sz w:val="21"/>
                          <w:szCs w:val="21"/>
                        </w:rPr>
                        <w:t>公里）</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陕西省航空护林站（陵塬机场）：</w:t>
                      </w:r>
                      <w:r>
                        <w:rPr>
                          <w:rFonts w:hint="eastAsia" w:ascii="楷体_GB2312" w:hAnsi="华文中宋" w:eastAsia="楷体_GB2312"/>
                          <w:sz w:val="21"/>
                          <w:szCs w:val="21"/>
                        </w:rPr>
                        <w:t>投资</w:t>
                      </w:r>
                      <w:r>
                        <w:rPr>
                          <w:rFonts w:ascii="楷体_GB2312" w:hAnsi="华文中宋" w:eastAsia="楷体_GB2312"/>
                          <w:sz w:val="21"/>
                          <w:szCs w:val="21"/>
                        </w:rPr>
                        <w:t>4000</w:t>
                      </w:r>
                      <w:r>
                        <w:rPr>
                          <w:rFonts w:hint="eastAsia" w:ascii="楷体_GB2312" w:hAnsi="华文中宋" w:eastAsia="楷体_GB2312"/>
                          <w:sz w:val="21"/>
                          <w:szCs w:val="21"/>
                        </w:rPr>
                        <w:t>万元，将林</w:t>
                      </w:r>
                      <w:r>
                        <w:rPr>
                          <w:rFonts w:ascii="楷体_GB2312" w:hAnsi="华文中宋" w:eastAsia="楷体_GB2312"/>
                          <w:sz w:val="21"/>
                          <w:szCs w:val="21"/>
                        </w:rPr>
                        <w:t>-</w:t>
                      </w:r>
                      <w:r>
                        <w:rPr>
                          <w:rFonts w:hint="eastAsia" w:ascii="楷体_GB2312" w:hAnsi="华文中宋" w:eastAsia="楷体_GB2312"/>
                          <w:sz w:val="21"/>
                          <w:szCs w:val="21"/>
                        </w:rPr>
                        <w:t>Ⅲ型机场改造升级为林</w:t>
                      </w:r>
                      <w:r>
                        <w:rPr>
                          <w:rFonts w:ascii="楷体_GB2312" w:hAnsi="华文中宋" w:eastAsia="楷体_GB2312"/>
                          <w:sz w:val="21"/>
                          <w:szCs w:val="21"/>
                        </w:rPr>
                        <w:t>-</w:t>
                      </w:r>
                      <w:r>
                        <w:rPr>
                          <w:rFonts w:hint="eastAsia" w:ascii="楷体_GB2312" w:hAnsi="华文中宋" w:eastAsia="楷体_GB2312"/>
                          <w:sz w:val="21"/>
                          <w:szCs w:val="21"/>
                        </w:rPr>
                        <w:t>Ⅱ型机场。延长跑道</w:t>
                      </w:r>
                      <w:r>
                        <w:rPr>
                          <w:rFonts w:ascii="楷体_GB2312" w:hAnsi="华文中宋" w:eastAsia="楷体_GB2312"/>
                          <w:sz w:val="21"/>
                          <w:szCs w:val="21"/>
                        </w:rPr>
                        <w:t>800</w:t>
                      </w:r>
                      <w:r>
                        <w:rPr>
                          <w:rFonts w:hint="eastAsia" w:ascii="楷体_GB2312" w:hAnsi="华文中宋" w:eastAsia="楷体_GB2312"/>
                          <w:sz w:val="21"/>
                          <w:szCs w:val="21"/>
                        </w:rPr>
                        <w:t>米，扩建停机坪，建设移动通信指挥系统，建成陕西航空护林中心站。</w:t>
                      </w:r>
                    </w:p>
                    <w:p>
                      <w:pPr>
                        <w:spacing w:after="0" w:line="300" w:lineRule="exact"/>
                        <w:ind w:firstLine="422" w:firstLineChars="200"/>
                        <w:jc w:val="both"/>
                        <w:rPr>
                          <w:rFonts w:ascii="楷体_GB2312" w:hAnsi="华文中宋" w:eastAsia="楷体_GB2312"/>
                          <w:sz w:val="21"/>
                          <w:szCs w:val="21"/>
                        </w:rPr>
                      </w:pPr>
                      <w:r>
                        <w:rPr>
                          <w:rFonts w:hint="eastAsia" w:ascii="楷体_GB2312" w:hAnsi="华文中宋" w:eastAsia="楷体_GB2312"/>
                          <w:b/>
                          <w:sz w:val="21"/>
                          <w:szCs w:val="21"/>
                        </w:rPr>
                        <w:t>太白山通用机场及旋翼机培训基地：</w:t>
                      </w:r>
                      <w:r>
                        <w:rPr>
                          <w:rFonts w:hint="eastAsia" w:ascii="楷体_GB2312" w:hAnsi="华文中宋" w:eastAsia="楷体_GB2312"/>
                          <w:sz w:val="21"/>
                          <w:szCs w:val="21"/>
                        </w:rPr>
                        <w:t>投资</w:t>
                      </w:r>
                      <w:r>
                        <w:rPr>
                          <w:rFonts w:ascii="楷体_GB2312" w:hAnsi="华文中宋" w:eastAsia="楷体_GB2312"/>
                          <w:sz w:val="21"/>
                          <w:szCs w:val="21"/>
                        </w:rPr>
                        <w:t>1.5</w:t>
                      </w:r>
                      <w:r>
                        <w:rPr>
                          <w:rFonts w:hint="eastAsia" w:ascii="楷体_GB2312" w:hAnsi="华文中宋" w:eastAsia="楷体_GB2312"/>
                          <w:sz w:val="21"/>
                          <w:szCs w:val="21"/>
                        </w:rPr>
                        <w:t>亿元，建飞行跑道两条，长</w:t>
                      </w:r>
                      <w:r>
                        <w:rPr>
                          <w:rFonts w:ascii="楷体_GB2312" w:hAnsi="华文中宋" w:eastAsia="楷体_GB2312"/>
                          <w:sz w:val="21"/>
                          <w:szCs w:val="21"/>
                        </w:rPr>
                        <w:t>943</w:t>
                      </w:r>
                      <w:r>
                        <w:rPr>
                          <w:rFonts w:hint="eastAsia" w:ascii="楷体_GB2312" w:hAnsi="华文中宋" w:eastAsia="楷体_GB2312"/>
                          <w:sz w:val="21"/>
                          <w:szCs w:val="21"/>
                        </w:rPr>
                        <w:t>米，塔台、机库、通信指挥系统及后勤生活保障区等。</w:t>
                      </w:r>
                    </w:p>
                  </w:txbxContent>
                </v:textbox>
                <w10:wrap type="square"/>
              </v:shape>
            </w:pict>
          </mc:Fallback>
        </mc:AlternateContent>
      </w:r>
    </w:p>
    <w:p>
      <w:pPr>
        <w:spacing w:after="0" w:line="600" w:lineRule="exact"/>
        <w:jc w:val="center"/>
        <w:rPr>
          <w:rFonts w:ascii="黑体" w:hAnsi="黑体" w:eastAsia="黑体"/>
          <w:sz w:val="32"/>
          <w:szCs w:val="32"/>
        </w:rPr>
      </w:pPr>
      <w:r>
        <w:rPr>
          <w:rFonts w:hint="eastAsia" w:ascii="黑体" w:hAnsi="黑体" w:eastAsia="黑体"/>
          <w:sz w:val="32"/>
          <w:szCs w:val="32"/>
        </w:rPr>
        <w:t>第十九章</w:t>
      </w:r>
      <w:r>
        <w:rPr>
          <w:rFonts w:ascii="黑体" w:hAnsi="黑体" w:eastAsia="黑体"/>
          <w:sz w:val="32"/>
          <w:szCs w:val="32"/>
        </w:rPr>
        <w:t xml:space="preserve">  </w:t>
      </w:r>
      <w:r>
        <w:rPr>
          <w:rFonts w:hint="eastAsia" w:ascii="黑体" w:hAnsi="黑体" w:eastAsia="黑体"/>
          <w:sz w:val="32"/>
          <w:szCs w:val="32"/>
        </w:rPr>
        <w:t>加强水利基础设施</w:t>
      </w:r>
    </w:p>
    <w:p>
      <w:pPr>
        <w:spacing w:after="0" w:line="600" w:lineRule="exact"/>
        <w:jc w:val="center"/>
        <w:rPr>
          <w:rFonts w:ascii="黑体" w:hAnsi="黑体" w:eastAsia="黑体"/>
          <w:sz w:val="32"/>
          <w:szCs w:val="32"/>
        </w:rPr>
      </w:pPr>
    </w:p>
    <w:p>
      <w:pPr>
        <w:spacing w:after="0" w:line="600" w:lineRule="exact"/>
        <w:jc w:val="center"/>
        <w:rPr>
          <w:rFonts w:ascii="楷体_GB2312" w:hAnsi="华文中宋" w:eastAsia="楷体_GB2312"/>
          <w:b/>
          <w:sz w:val="32"/>
          <w:szCs w:val="32"/>
        </w:rPr>
      </w:pPr>
      <w:r>
        <w:rPr>
          <w:rFonts w:hint="eastAsia" w:ascii="楷体_GB2312" w:hAnsi="华文中宋" w:eastAsia="楷体_GB2312"/>
          <w:b/>
          <w:sz w:val="32"/>
          <w:szCs w:val="32"/>
        </w:rPr>
        <w:t>第一节</w:t>
      </w:r>
      <w:r>
        <w:rPr>
          <w:rFonts w:ascii="楷体_GB2312" w:hAnsi="华文中宋" w:eastAsia="楷体_GB2312"/>
          <w:b/>
          <w:sz w:val="32"/>
          <w:szCs w:val="32"/>
        </w:rPr>
        <w:t xml:space="preserve">  </w:t>
      </w:r>
      <w:r>
        <w:rPr>
          <w:rFonts w:hint="eastAsia" w:ascii="楷体_GB2312" w:hAnsi="华文中宋" w:eastAsia="楷体_GB2312"/>
          <w:b/>
          <w:sz w:val="32"/>
          <w:szCs w:val="32"/>
        </w:rPr>
        <w:t>实施重点水源工程</w:t>
      </w:r>
    </w:p>
    <w:p>
      <w:pPr>
        <w:spacing w:after="0" w:line="600" w:lineRule="exact"/>
        <w:ind w:firstLine="640" w:firstLineChars="200"/>
        <w:jc w:val="both"/>
        <w:rPr>
          <w:rFonts w:hint="eastAsia" w:ascii="Times New Roman" w:hAnsi="Times New Roman" w:eastAsia="仿宋_GB2312"/>
          <w:sz w:val="32"/>
          <w:szCs w:val="32"/>
        </w:rPr>
      </w:pPr>
      <w:r>
        <w:rPr>
          <w:rFonts w:hint="eastAsia" w:ascii="仿宋_GB2312" w:hAnsi="华文中宋" w:eastAsia="仿宋_GB2312"/>
          <w:sz w:val="32"/>
          <w:szCs w:val="32"/>
        </w:rPr>
        <w:t>做好冯家山水库、石头河水库和县城水源地保护工程，保障全市水源安全</w:t>
      </w:r>
      <w:r>
        <w:rPr>
          <w:rFonts w:hint="eastAsia" w:ascii="仿宋_GB2312" w:hAnsi="华文中宋" w:eastAsia="仿宋_GB2312"/>
          <w:color w:val="000000"/>
          <w:sz w:val="32"/>
          <w:szCs w:val="32"/>
        </w:rPr>
        <w:t>。在全市新建通关河、普华水库、冯</w:t>
      </w:r>
      <w:r>
        <w:rPr>
          <w:rFonts w:hint="eastAsia" w:ascii="仿宋_GB2312" w:hAnsi="仿宋" w:eastAsia="仿宋_GB2312"/>
          <w:color w:val="000000"/>
          <w:sz w:val="32"/>
          <w:szCs w:val="32"/>
        </w:rPr>
        <w:t>坊河水库</w:t>
      </w:r>
      <w:r>
        <w:rPr>
          <w:rFonts w:hint="eastAsia" w:ascii="仿宋_GB2312" w:hAnsi="华文中宋" w:eastAsia="仿宋_GB2312"/>
          <w:color w:val="000000"/>
          <w:sz w:val="32"/>
          <w:szCs w:val="32"/>
        </w:rPr>
        <w:t>等</w:t>
      </w:r>
      <w:r>
        <w:rPr>
          <w:rFonts w:ascii="仿宋_GB2312" w:hAnsi="华文中宋" w:eastAsia="仿宋_GB2312"/>
          <w:color w:val="000000"/>
          <w:sz w:val="32"/>
          <w:szCs w:val="32"/>
        </w:rPr>
        <w:t>33</w:t>
      </w:r>
      <w:r>
        <w:rPr>
          <w:rFonts w:hint="eastAsia" w:ascii="仿宋_GB2312" w:hAnsi="华文中宋" w:eastAsia="仿宋_GB2312"/>
          <w:color w:val="000000"/>
          <w:sz w:val="32"/>
          <w:szCs w:val="32"/>
        </w:rPr>
        <w:t>座水库，对陇县段家峡水库大坝加高扩容、建设银洞峡调水工程，联通嘉陵江</w:t>
      </w:r>
      <w:r>
        <w:rPr>
          <w:rFonts w:hint="eastAsia" w:ascii="仿宋_GB2312" w:hAnsi="华文中宋" w:eastAsia="仿宋_GB2312"/>
          <w:sz w:val="32"/>
          <w:szCs w:val="32"/>
        </w:rPr>
        <w:t>和清姜河。解决水资源瓶颈问题，对城镇供水设施进行扩能改造，新增日供水能力2.2万方。提升县城供水能力，在九县和陈仓区新建、改扩建水厂工程及管网工程，建立自动化、信息化管理系统，配备应急供水抢修设备等设施，城镇日供水能力增加到</w:t>
      </w:r>
      <w:r>
        <w:rPr>
          <w:rFonts w:ascii="仿宋_GB2312" w:hAnsi="华文中宋" w:eastAsia="仿宋_GB2312"/>
          <w:sz w:val="32"/>
          <w:szCs w:val="32"/>
        </w:rPr>
        <w:t>26</w:t>
      </w:r>
      <w:r>
        <w:rPr>
          <w:rFonts w:hint="eastAsia" w:ascii="仿宋_GB2312" w:hAnsi="华文中宋" w:eastAsia="仿宋_GB2312"/>
          <w:sz w:val="32"/>
          <w:szCs w:val="32"/>
        </w:rPr>
        <w:t>万吨。“十三五”期间，解决县城饮水问题。实施农村饮水提质增效工程，实现全市农村</w:t>
      </w:r>
      <w:r>
        <w:rPr>
          <w:rFonts w:ascii="仿宋_GB2312" w:hAnsi="华文中宋" w:eastAsia="仿宋_GB2312"/>
          <w:sz w:val="32"/>
          <w:szCs w:val="32"/>
        </w:rPr>
        <w:t>130</w:t>
      </w:r>
      <w:r>
        <w:rPr>
          <w:rFonts w:hint="eastAsia" w:ascii="仿宋_GB2312" w:hAnsi="华文中宋" w:eastAsia="仿宋_GB2312"/>
          <w:sz w:val="32"/>
          <w:szCs w:val="32"/>
        </w:rPr>
        <w:t>万群众饮用水达标，全市农村安全饮水率达到</w:t>
      </w:r>
      <w:r>
        <w:rPr>
          <w:rFonts w:ascii="仿宋_GB2312" w:hAnsi="华文中宋" w:eastAsia="仿宋_GB2312"/>
          <w:sz w:val="32"/>
          <w:szCs w:val="32"/>
        </w:rPr>
        <w:t>99%</w:t>
      </w:r>
      <w:r>
        <w:rPr>
          <w:rFonts w:hint="eastAsia" w:ascii="仿宋_GB2312" w:hAnsi="华文中宋" w:eastAsia="仿宋_GB2312"/>
          <w:sz w:val="32"/>
          <w:szCs w:val="32"/>
        </w:rPr>
        <w:t>以上</w:t>
      </w:r>
      <w:r>
        <w:rPr>
          <w:rFonts w:hint="eastAsia" w:ascii="Times New Roman" w:hAnsi="Times New Roman" w:eastAsia="仿宋_GB2312"/>
          <w:sz w:val="32"/>
          <w:szCs w:val="32"/>
        </w:rPr>
        <w:t>，</w:t>
      </w:r>
      <w:r>
        <w:rPr>
          <w:rFonts w:hint="eastAsia" w:ascii="仿宋_GB2312" w:hAnsi="华文中宋" w:eastAsia="仿宋_GB2312"/>
          <w:sz w:val="32"/>
          <w:szCs w:val="32"/>
        </w:rPr>
        <w:t>全面保障城乡居民安全饮水。</w:t>
      </w:r>
    </w:p>
    <w:p>
      <w:pPr>
        <w:spacing w:after="0" w:line="600" w:lineRule="exact"/>
        <w:jc w:val="center"/>
        <w:rPr>
          <w:rFonts w:hint="eastAsia" w:ascii="楷体_GB2312" w:hAnsi="华文中宋" w:eastAsia="楷体_GB2312"/>
          <w:b/>
          <w:sz w:val="32"/>
          <w:szCs w:val="32"/>
        </w:rPr>
      </w:pPr>
    </w:p>
    <w:p>
      <w:pPr>
        <w:spacing w:after="0" w:line="600" w:lineRule="exact"/>
        <w:jc w:val="center"/>
        <w:rPr>
          <w:rFonts w:hint="eastAsia" w:ascii="楷体_GB2312" w:hAnsi="华文中宋" w:eastAsia="楷体_GB2312"/>
          <w:b/>
          <w:sz w:val="32"/>
          <w:szCs w:val="32"/>
        </w:rPr>
      </w:pPr>
    </w:p>
    <w:p>
      <w:pPr>
        <w:spacing w:after="0" w:line="600" w:lineRule="exact"/>
        <w:jc w:val="center"/>
        <w:rPr>
          <w:rFonts w:ascii="楷体_GB2312" w:hAnsi="华文中宋" w:eastAsia="楷体_GB2312"/>
          <w:b/>
          <w:sz w:val="32"/>
          <w:szCs w:val="32"/>
        </w:rPr>
      </w:pPr>
      <w:r>
        <w:rPr>
          <w:rFonts w:hint="eastAsia" w:ascii="楷体_GB2312" w:hAnsi="华文中宋" w:eastAsia="楷体_GB2312"/>
          <w:b/>
          <w:sz w:val="32"/>
          <w:szCs w:val="32"/>
        </w:rPr>
        <w:t>第二节</w:t>
      </w:r>
      <w:r>
        <w:rPr>
          <w:rFonts w:ascii="楷体_GB2312" w:hAnsi="华文中宋" w:eastAsia="楷体_GB2312"/>
          <w:b/>
          <w:sz w:val="32"/>
          <w:szCs w:val="32"/>
        </w:rPr>
        <w:t xml:space="preserve">  </w:t>
      </w:r>
      <w:r>
        <w:rPr>
          <w:rFonts w:hint="eastAsia" w:ascii="楷体_GB2312" w:hAnsi="华文中宋" w:eastAsia="楷体_GB2312"/>
          <w:b/>
          <w:sz w:val="32"/>
          <w:szCs w:val="32"/>
        </w:rPr>
        <w:t>全面治理市域水系</w:t>
      </w:r>
    </w:p>
    <w:p>
      <w:pPr>
        <w:spacing w:after="0" w:line="600" w:lineRule="exact"/>
        <w:ind w:firstLine="640" w:firstLineChars="200"/>
        <w:jc w:val="both"/>
        <w:rPr>
          <w:rFonts w:ascii="楷体_GB2312" w:hAnsi="华文中宋" w:eastAsia="楷体_GB2312"/>
          <w:b/>
          <w:sz w:val="32"/>
          <w:szCs w:val="32"/>
        </w:rPr>
      </w:pPr>
      <w:r>
        <w:rPr>
          <w:rFonts w:hint="eastAsia" w:ascii="仿宋_GB2312" w:hAnsi="华文中宋" w:eastAsia="仿宋_GB2312"/>
          <w:sz w:val="32"/>
          <w:szCs w:val="32"/>
        </w:rPr>
        <w:t>以巩固渭河综合治理成果为重点，全面推进实施新一轮渭河治理三年行动计划，实施千河、金陵河等全</w:t>
      </w:r>
      <w:r>
        <w:rPr>
          <w:rFonts w:hint="eastAsia" w:ascii="仿宋_GB2312" w:hAnsi="华文中宋" w:eastAsia="仿宋_GB2312"/>
          <w:color w:val="000000"/>
          <w:sz w:val="32"/>
          <w:szCs w:val="32"/>
        </w:rPr>
        <w:t>市</w:t>
      </w:r>
      <w:r>
        <w:rPr>
          <w:rFonts w:ascii="仿宋_GB2312" w:hAnsi="华文中宋" w:eastAsia="仿宋_GB2312"/>
          <w:color w:val="000000"/>
          <w:sz w:val="32"/>
          <w:szCs w:val="32"/>
        </w:rPr>
        <w:t>18</w:t>
      </w:r>
      <w:r>
        <w:rPr>
          <w:rFonts w:hint="eastAsia" w:ascii="仿宋_GB2312" w:hAnsi="华文中宋" w:eastAsia="仿宋_GB2312"/>
          <w:color w:val="000000"/>
          <w:sz w:val="32"/>
          <w:szCs w:val="32"/>
        </w:rPr>
        <w:t>条河流、24条重点山洪沟道治理工程，开展嘉陵江上游水域治理，提升冯家山水库、段家峡水库防洪抗旱标准。实施洪水</w:t>
      </w:r>
      <w:r>
        <w:rPr>
          <w:rFonts w:hint="eastAsia" w:ascii="仿宋_GB2312" w:hAnsi="华文中宋" w:eastAsia="仿宋_GB2312"/>
          <w:sz w:val="32"/>
          <w:szCs w:val="32"/>
        </w:rPr>
        <w:t>风险管理，抓好防汛抗旱应急能力提升建设和规划工作，应对日益频繁的旱涝灾害，基本建成设施完善、指挥畅通、小洪无灾、大洪无大灾的防洪保安体系。加快水利信息化建设速度，建立较为完善的水保监测网络。做好水土保持治理工作，治理水土流失面积1380平方公里。结合城市防洪工程建设，形成景观水面，改善河道两岸生态环境，实现人与水和谐相处。</w:t>
      </w:r>
    </w:p>
    <w:p>
      <w:pPr>
        <w:spacing w:after="0" w:line="600" w:lineRule="exact"/>
        <w:ind w:firstLine="643" w:firstLineChars="200"/>
        <w:jc w:val="both"/>
        <w:rPr>
          <w:rFonts w:hint="eastAsia" w:ascii="楷体_GB2312" w:hAnsi="华文中宋" w:eastAsia="楷体_GB2312"/>
          <w:b/>
          <w:sz w:val="32"/>
          <w:szCs w:val="32"/>
        </w:rPr>
      </w:pPr>
    </w:p>
    <w:p>
      <w:pPr>
        <w:spacing w:after="0" w:line="600" w:lineRule="exact"/>
        <w:jc w:val="center"/>
        <w:rPr>
          <w:rFonts w:ascii="楷体_GB2312" w:hAnsi="华文中宋" w:eastAsia="楷体_GB2312"/>
          <w:b/>
          <w:sz w:val="32"/>
          <w:szCs w:val="32"/>
        </w:rPr>
      </w:pPr>
      <w:r>
        <w:rPr>
          <w:rFonts w:hint="eastAsia" w:ascii="楷体_GB2312" w:hAnsi="华文中宋" w:eastAsia="楷体_GB2312"/>
          <w:b/>
          <w:sz w:val="32"/>
          <w:szCs w:val="32"/>
        </w:rPr>
        <w:t>第三节</w:t>
      </w:r>
      <w:r>
        <w:rPr>
          <w:rFonts w:ascii="楷体_GB2312" w:hAnsi="华文中宋" w:eastAsia="楷体_GB2312"/>
          <w:b/>
          <w:sz w:val="32"/>
          <w:szCs w:val="32"/>
        </w:rPr>
        <w:t xml:space="preserve">  </w:t>
      </w:r>
      <w:r>
        <w:rPr>
          <w:rFonts w:hint="eastAsia" w:ascii="楷体_GB2312" w:hAnsi="华文中宋" w:eastAsia="楷体_GB2312"/>
          <w:b/>
          <w:sz w:val="32"/>
          <w:szCs w:val="32"/>
        </w:rPr>
        <w:t>完善农业灌溉设施</w:t>
      </w:r>
    </w:p>
    <w:p>
      <w:pPr>
        <w:spacing w:after="0" w:line="600" w:lineRule="exact"/>
        <w:ind w:firstLine="640" w:firstLineChars="200"/>
        <w:jc w:val="both"/>
        <w:rPr>
          <w:rFonts w:hint="eastAsia" w:ascii="仿宋_GB2312" w:hAnsi="华文中宋" w:eastAsia="仿宋_GB2312"/>
          <w:sz w:val="32"/>
          <w:szCs w:val="32"/>
        </w:rPr>
      </w:pPr>
      <w:r>
        <w:rPr>
          <w:rFonts w:hint="eastAsia" w:ascii="仿宋_GB2312" w:hAnsi="华文中宋" w:eastAsia="仿宋_GB2312"/>
          <w:sz w:val="32"/>
          <w:szCs w:val="32"/>
        </w:rPr>
        <w:t>通过中央新增粮食生产能力建设项目、大型灌区续建配套节水改造、中小型灌区节水改造工程，泵站更新改造和基本农田建设等项目，衬砌改造渠道、打配修复机井、埋设低压暗管、恢复抽水泵站，打通水流进田的“最后一公里”，让水资源能顺利通达田间地头，做到旱能灌、涝能排，为粮食稳产、增产和农民增收保驾护航。“十三五”期间，新增灌溉面积</w:t>
      </w:r>
      <w:r>
        <w:rPr>
          <w:rFonts w:ascii="仿宋_GB2312" w:hAnsi="华文中宋" w:eastAsia="仿宋_GB2312"/>
          <w:sz w:val="32"/>
          <w:szCs w:val="32"/>
        </w:rPr>
        <w:t>10</w:t>
      </w:r>
      <w:r>
        <w:rPr>
          <w:rFonts w:hint="eastAsia" w:ascii="仿宋_GB2312" w:hAnsi="华文中宋" w:eastAsia="仿宋_GB2312"/>
          <w:sz w:val="32"/>
          <w:szCs w:val="32"/>
        </w:rPr>
        <w:t>万亩，恢复改善灌溉面积</w:t>
      </w:r>
      <w:r>
        <w:rPr>
          <w:rFonts w:ascii="仿宋_GB2312" w:hAnsi="华文中宋" w:eastAsia="仿宋_GB2312"/>
          <w:sz w:val="32"/>
          <w:szCs w:val="32"/>
        </w:rPr>
        <w:t>78.7</w:t>
      </w:r>
      <w:r>
        <w:rPr>
          <w:rFonts w:hint="eastAsia" w:ascii="仿宋_GB2312" w:hAnsi="华文中宋" w:eastAsia="仿宋_GB2312"/>
          <w:sz w:val="32"/>
          <w:szCs w:val="32"/>
        </w:rPr>
        <w:t>万亩，发展高效节水灌溉</w:t>
      </w:r>
      <w:r>
        <w:rPr>
          <w:rFonts w:ascii="仿宋_GB2312" w:hAnsi="华文中宋" w:eastAsia="仿宋_GB2312"/>
          <w:sz w:val="32"/>
          <w:szCs w:val="32"/>
        </w:rPr>
        <w:t>12.18</w:t>
      </w:r>
      <w:r>
        <w:rPr>
          <w:rFonts w:hint="eastAsia" w:ascii="仿宋_GB2312" w:hAnsi="华文中宋" w:eastAsia="仿宋_GB2312"/>
          <w:sz w:val="32"/>
          <w:szCs w:val="32"/>
        </w:rPr>
        <w:t>万亩，农业灌溉用水有效利用系数由</w:t>
      </w:r>
      <w:r>
        <w:rPr>
          <w:rFonts w:ascii="仿宋_GB2312" w:hAnsi="华文中宋" w:eastAsia="仿宋_GB2312"/>
          <w:sz w:val="32"/>
          <w:szCs w:val="32"/>
        </w:rPr>
        <w:t>0.569</w:t>
      </w:r>
      <w:r>
        <w:rPr>
          <w:rFonts w:hint="eastAsia" w:ascii="仿宋_GB2312" w:hAnsi="华文中宋" w:eastAsia="仿宋_GB2312"/>
          <w:sz w:val="32"/>
          <w:szCs w:val="32"/>
        </w:rPr>
        <w:t>提高至</w:t>
      </w:r>
      <w:r>
        <w:rPr>
          <w:rFonts w:ascii="仿宋_GB2312" w:hAnsi="华文中宋" w:eastAsia="仿宋_GB2312"/>
          <w:sz w:val="32"/>
          <w:szCs w:val="32"/>
        </w:rPr>
        <w:t>0.585</w:t>
      </w:r>
      <w:r>
        <w:rPr>
          <w:rFonts w:hint="eastAsia" w:ascii="仿宋_GB2312" w:hAnsi="华文中宋" w:eastAsia="仿宋_GB2312"/>
          <w:sz w:val="32"/>
          <w:szCs w:val="32"/>
        </w:rPr>
        <w:t>。</w:t>
      </w:r>
    </w:p>
    <w:p>
      <w:pPr>
        <w:spacing w:after="0" w:line="600" w:lineRule="exact"/>
        <w:jc w:val="center"/>
        <w:rPr>
          <w:rFonts w:ascii="黑体" w:hAnsi="黑体" w:eastAsia="黑体"/>
          <w:sz w:val="32"/>
          <w:szCs w:val="32"/>
        </w:rPr>
      </w:pPr>
    </w:p>
    <w:p>
      <w:pPr>
        <w:spacing w:after="0" w:line="600" w:lineRule="exact"/>
        <w:jc w:val="center"/>
        <w:rPr>
          <w:rFonts w:hint="eastAsia" w:ascii="黑体" w:hAnsi="黑体" w:eastAsia="黑体"/>
          <w:sz w:val="32"/>
          <w:szCs w:val="32"/>
        </w:rPr>
      </w:pPr>
    </w:p>
    <w:p>
      <w:pPr>
        <w:spacing w:after="0" w:line="600" w:lineRule="exact"/>
        <w:jc w:val="center"/>
        <w:rPr>
          <w:rFonts w:hint="eastAsia" w:ascii="黑体" w:hAnsi="黑体" w:eastAsia="黑体"/>
          <w:sz w:val="32"/>
          <w:szCs w:val="32"/>
        </w:rPr>
      </w:pPr>
      <w:r>
        <w:rPr>
          <w:rFonts w:hint="eastAsia" w:ascii="黑体" w:hAnsi="黑体" w:eastAsia="黑体"/>
          <w:sz w:val="32"/>
          <w:szCs w:val="32"/>
        </w:rPr>
        <w:t>第二十章  提升其他基础设施建设水平</w:t>
      </w:r>
    </w:p>
    <w:p>
      <w:pPr>
        <w:spacing w:after="0" w:line="600" w:lineRule="exact"/>
        <w:ind w:firstLine="643" w:firstLineChars="200"/>
        <w:jc w:val="both"/>
        <w:rPr>
          <w:rFonts w:hint="eastAsia" w:ascii="仿宋_GB2312" w:hAnsi="华文中宋" w:eastAsia="仿宋_GB2312"/>
          <w:sz w:val="32"/>
          <w:szCs w:val="32"/>
        </w:rPr>
      </w:pPr>
      <w:r>
        <w:rPr>
          <w:rFonts w:hint="eastAsia" w:ascii="仿宋_GB2312" w:hAnsi="华文中宋" w:eastAsia="仿宋_GB2312"/>
          <w:b/>
          <w:sz w:val="32"/>
          <w:szCs w:val="32"/>
        </w:rPr>
        <w:t>推进“海绵城市”建设。</w:t>
      </w:r>
      <w:r>
        <w:rPr>
          <w:rFonts w:hint="eastAsia" w:ascii="仿宋_GB2312" w:hAnsi="华文中宋" w:eastAsia="仿宋_GB2312"/>
          <w:sz w:val="32"/>
          <w:szCs w:val="32"/>
        </w:rPr>
        <w:t>按照“海绵城市”建设要求完善雨污分流管网改造与排水防涝设施建设，大力发展绿色建筑，从建筑物对雨水分级收集利用开始，强化雨水的滞、渗、蓄，加强排水防涝设施、排水通道的建设，提高雨水的防汛标准和利用水平，率先推动高新区、蟠龙新区等区域海绵城市建设工作。以“洁化、绿化、亮化、美化”为目标，完善城市道路建设养护体系、环境卫生管理体系、绿化建设养护体系、城市照明管理体系。</w:t>
      </w:r>
    </w:p>
    <w:p>
      <w:pPr>
        <w:spacing w:after="0" w:line="600" w:lineRule="exact"/>
        <w:ind w:firstLine="643" w:firstLineChars="200"/>
        <w:jc w:val="both"/>
        <w:rPr>
          <w:rFonts w:hint="eastAsia" w:ascii="仿宋_GB2312" w:hAnsi="华文中宋" w:eastAsia="仿宋_GB2312"/>
          <w:sz w:val="32"/>
          <w:szCs w:val="32"/>
        </w:rPr>
      </w:pPr>
      <w:r>
        <w:rPr>
          <w:rFonts w:hint="eastAsia" w:ascii="仿宋_GB2312" w:hAnsi="华文中宋" w:eastAsia="仿宋_GB2312"/>
          <w:b/>
          <w:sz w:val="32"/>
          <w:szCs w:val="32"/>
        </w:rPr>
        <w:t>建设坚强智能电网。</w:t>
      </w:r>
      <w:r>
        <w:rPr>
          <w:rFonts w:hint="eastAsia" w:ascii="仿宋_GB2312" w:hAnsi="华文中宋" w:eastAsia="仿宋_GB2312"/>
          <w:sz w:val="32"/>
          <w:szCs w:val="32"/>
        </w:rPr>
        <w:t>全面推进宝鸡电网建设，以蔡家坡</w:t>
      </w:r>
      <w:r>
        <w:rPr>
          <w:rFonts w:ascii="仿宋_GB2312" w:hAnsi="华文中宋" w:eastAsia="仿宋_GB2312"/>
          <w:sz w:val="32"/>
          <w:szCs w:val="32"/>
        </w:rPr>
        <w:t>330</w:t>
      </w:r>
      <w:r>
        <w:rPr>
          <w:rFonts w:hint="eastAsia" w:ascii="仿宋_GB2312" w:hAnsi="华文中宋" w:eastAsia="仿宋_GB2312"/>
          <w:sz w:val="32"/>
          <w:szCs w:val="32"/>
        </w:rPr>
        <w:t>、凤州</w:t>
      </w:r>
      <w:r>
        <w:rPr>
          <w:rFonts w:ascii="仿宋_GB2312" w:hAnsi="华文中宋" w:eastAsia="仿宋_GB2312"/>
          <w:sz w:val="32"/>
          <w:szCs w:val="32"/>
        </w:rPr>
        <w:t>330</w:t>
      </w:r>
      <w:r>
        <w:rPr>
          <w:rFonts w:hint="eastAsia" w:ascii="仿宋_GB2312" w:hAnsi="华文中宋" w:eastAsia="仿宋_GB2312"/>
          <w:sz w:val="32"/>
          <w:szCs w:val="32"/>
        </w:rPr>
        <w:t>项目建设为重点，完善全市骨干电网。以建设网架结构合理、设备先进、运行安全的“坚强配电网”为基础，加快</w:t>
      </w:r>
      <w:r>
        <w:rPr>
          <w:rFonts w:ascii="仿宋_GB2312" w:hAnsi="华文中宋" w:eastAsia="仿宋_GB2312"/>
          <w:sz w:val="32"/>
          <w:szCs w:val="32"/>
        </w:rPr>
        <w:t>110KV</w:t>
      </w:r>
      <w:r>
        <w:rPr>
          <w:rFonts w:hint="eastAsia" w:ascii="仿宋_GB2312" w:hAnsi="华文中宋" w:eastAsia="仿宋_GB2312"/>
          <w:sz w:val="32"/>
          <w:szCs w:val="32"/>
        </w:rPr>
        <w:t>变电站接入步伐，不断完善网架结构，实现电网科学、可靠运行。积极开展企业直供电工作。抓好农村电网改造升级，“十三五”完成投资</w:t>
      </w:r>
      <w:r>
        <w:rPr>
          <w:rFonts w:ascii="仿宋_GB2312" w:hAnsi="华文中宋" w:eastAsia="仿宋_GB2312"/>
          <w:sz w:val="32"/>
          <w:szCs w:val="32"/>
        </w:rPr>
        <w:t>18</w:t>
      </w:r>
      <w:r>
        <w:rPr>
          <w:rFonts w:hint="eastAsia" w:ascii="仿宋_GB2312" w:hAnsi="华文中宋" w:eastAsia="仿宋_GB2312"/>
          <w:sz w:val="32"/>
          <w:szCs w:val="32"/>
        </w:rPr>
        <w:t>亿元。</w:t>
      </w:r>
    </w:p>
    <w:p>
      <w:pPr>
        <w:spacing w:after="0" w:line="600" w:lineRule="exact"/>
        <w:ind w:firstLine="643" w:firstLineChars="200"/>
        <w:jc w:val="both"/>
        <w:rPr>
          <w:rFonts w:hint="eastAsia" w:ascii="仿宋_GB2312" w:hAnsi="华文中宋" w:eastAsia="仿宋_GB2312"/>
          <w:sz w:val="32"/>
          <w:szCs w:val="32"/>
        </w:rPr>
      </w:pPr>
      <w:r>
        <w:rPr>
          <w:rFonts w:hint="eastAsia" w:ascii="仿宋_GB2312" w:hAnsi="华文中宋" w:eastAsia="仿宋_GB2312"/>
          <w:b/>
          <w:sz w:val="32"/>
          <w:szCs w:val="32"/>
        </w:rPr>
        <w:t>完善天然气管网体系。</w:t>
      </w:r>
      <w:r>
        <w:rPr>
          <w:rFonts w:hint="eastAsia" w:ascii="仿宋_GB2312" w:hAnsi="华文中宋" w:eastAsia="仿宋_GB2312"/>
          <w:sz w:val="32"/>
          <w:szCs w:val="32"/>
        </w:rPr>
        <w:t>根据城市发展规划和城市建设的进度，同步规划建设天然气城市管网，做到城市发展和天然气管网发展“三同时”。加快市场化运作，多方筹集资金，加大投资力度，积极推进蟠龙新区、高新区等新规划建设区域的气化工作。加快县县通管道气工程建设，力争</w:t>
      </w:r>
      <w:r>
        <w:rPr>
          <w:rFonts w:ascii="仿宋_GB2312" w:hAnsi="华文中宋" w:eastAsia="仿宋_GB2312"/>
          <w:sz w:val="32"/>
          <w:szCs w:val="32"/>
        </w:rPr>
        <w:t>2018</w:t>
      </w:r>
      <w:r>
        <w:rPr>
          <w:rFonts w:hint="eastAsia" w:ascii="仿宋_GB2312" w:hAnsi="华文中宋" w:eastAsia="仿宋_GB2312"/>
          <w:sz w:val="32"/>
          <w:szCs w:val="32"/>
        </w:rPr>
        <w:t>年实现全市境内管道气全覆盖。</w:t>
      </w:r>
    </w:p>
    <w:p>
      <w:pPr>
        <w:spacing w:after="0" w:line="560" w:lineRule="exact"/>
        <w:jc w:val="center"/>
        <w:rPr>
          <w:rFonts w:hint="eastAsia" w:ascii="华文中宋" w:hAnsi="华文中宋" w:eastAsia="华文中宋"/>
          <w:b/>
          <w:spacing w:val="-20"/>
          <w:sz w:val="36"/>
          <w:szCs w:val="36"/>
        </w:rPr>
      </w:pPr>
    </w:p>
    <w:p>
      <w:pPr>
        <w:spacing w:after="0" w:line="600" w:lineRule="exact"/>
        <w:jc w:val="center"/>
        <w:rPr>
          <w:rFonts w:ascii="华文中宋" w:hAnsi="华文中宋" w:eastAsia="华文中宋"/>
          <w:b/>
          <w:sz w:val="36"/>
          <w:szCs w:val="36"/>
        </w:rPr>
      </w:pPr>
    </w:p>
    <w:p>
      <w:pPr>
        <w:spacing w:after="0" w:line="600" w:lineRule="exact"/>
        <w:jc w:val="center"/>
        <w:rPr>
          <w:rFonts w:hint="eastAsia" w:ascii="华文中宋" w:hAnsi="华文中宋" w:eastAsia="华文中宋"/>
          <w:b/>
          <w:sz w:val="36"/>
          <w:szCs w:val="36"/>
        </w:rPr>
      </w:pPr>
      <w:r>
        <w:rPr>
          <w:rFonts w:hint="eastAsia" w:ascii="华文中宋" w:hAnsi="华文中宋" w:eastAsia="华文中宋"/>
          <w:b/>
          <w:sz w:val="36"/>
          <w:szCs w:val="36"/>
        </w:rPr>
        <w:t>第六篇   建设华夏文化名城</w:t>
      </w:r>
    </w:p>
    <w:p>
      <w:pPr>
        <w:spacing w:after="0" w:line="600" w:lineRule="exact"/>
        <w:ind w:firstLine="640" w:firstLineChars="200"/>
        <w:jc w:val="both"/>
        <w:rPr>
          <w:rFonts w:hint="eastAsia" w:ascii="仿宋_GB2312" w:eastAsia="仿宋_GB2312"/>
          <w:sz w:val="32"/>
          <w:szCs w:val="32"/>
        </w:rPr>
      </w:pPr>
    </w:p>
    <w:p>
      <w:pPr>
        <w:spacing w:after="0" w:line="600" w:lineRule="exact"/>
        <w:ind w:firstLine="640" w:firstLineChars="200"/>
        <w:jc w:val="both"/>
        <w:rPr>
          <w:rFonts w:hint="eastAsia" w:ascii="仿宋_GB2312" w:eastAsia="仿宋_GB2312"/>
          <w:sz w:val="32"/>
          <w:szCs w:val="32"/>
        </w:rPr>
      </w:pPr>
      <w:r>
        <w:rPr>
          <w:rFonts w:hint="eastAsia" w:ascii="仿宋_GB2312" w:eastAsia="仿宋_GB2312"/>
          <w:color w:val="000000"/>
          <w:sz w:val="32"/>
          <w:szCs w:val="32"/>
        </w:rPr>
        <w:t>借助我市独有的历史文化优势，以打造具有文化独创性的宝鸡地域特色文化为核心，加强特色品牌文化的保护、传承和弘扬。深度挖掘姜炎文化，大力弘扬周秦文化，提升拓展宗教文化，做优做强民俗文化，彰显山水生态文化，发扬传承红色文化，深入研究宝鸡历史上所具备的强烈中华文明主体性和独创性、文化多元性和包容性的精神以及以丝绸之路为文化交流成功典范的历史经验，向世界展示丰富的原创性文化，开启宝鸡式的文化复兴模式；把深厚的历史文化资源转化为强大的文化影响力，彰显宝鸡悠久的历史和灿烂的文化，</w:t>
      </w:r>
      <w:r>
        <w:rPr>
          <w:rFonts w:ascii="仿宋_GB2312" w:eastAsia="仿宋_GB2312"/>
          <w:color w:val="000000"/>
          <w:sz w:val="32"/>
          <w:szCs w:val="32"/>
        </w:rPr>
        <w:t>使文化产业成为支柱产业</w:t>
      </w:r>
      <w:r>
        <w:rPr>
          <w:rFonts w:hint="eastAsia" w:ascii="仿宋_GB2312" w:eastAsia="仿宋_GB2312"/>
          <w:color w:val="000000"/>
          <w:sz w:val="32"/>
          <w:szCs w:val="32"/>
        </w:rPr>
        <w:t>，</w:t>
      </w:r>
      <w:r>
        <w:rPr>
          <w:rFonts w:ascii="仿宋_GB2312" w:eastAsia="仿宋_GB2312"/>
          <w:color w:val="000000"/>
          <w:sz w:val="32"/>
          <w:szCs w:val="32"/>
        </w:rPr>
        <w:t>使文化成为最</w:t>
      </w:r>
      <w:r>
        <w:rPr>
          <w:rFonts w:hint="eastAsia" w:ascii="仿宋_GB2312" w:eastAsia="仿宋_GB2312"/>
          <w:color w:val="000000"/>
          <w:sz w:val="32"/>
          <w:szCs w:val="32"/>
        </w:rPr>
        <w:t>深</w:t>
      </w:r>
      <w:r>
        <w:rPr>
          <w:rFonts w:ascii="仿宋_GB2312" w:eastAsia="仿宋_GB2312"/>
          <w:color w:val="000000"/>
          <w:sz w:val="32"/>
          <w:szCs w:val="32"/>
        </w:rPr>
        <w:t>厚的城市底</w:t>
      </w:r>
      <w:r>
        <w:rPr>
          <w:rFonts w:ascii="仿宋_GB2312" w:eastAsia="仿宋_GB2312"/>
          <w:sz w:val="32"/>
          <w:szCs w:val="32"/>
        </w:rPr>
        <w:t>蕴，使宝鸡成为华夏文明的交流中心，</w:t>
      </w:r>
      <w:r>
        <w:rPr>
          <w:rFonts w:hint="eastAsia"/>
        </w:rPr>
        <w:t xml:space="preserve"> </w:t>
      </w:r>
      <w:r>
        <w:rPr>
          <w:rFonts w:ascii="仿宋_GB2312" w:eastAsia="仿宋_GB2312"/>
          <w:sz w:val="32"/>
          <w:szCs w:val="32"/>
        </w:rPr>
        <w:t>形成强大的</w:t>
      </w:r>
      <w:r>
        <w:rPr>
          <w:rFonts w:hint="eastAsia" w:ascii="仿宋_GB2312" w:eastAsia="仿宋_GB2312"/>
          <w:sz w:val="32"/>
          <w:szCs w:val="32"/>
        </w:rPr>
        <w:t>精神文化凝聚力、创新力、辐射力和生产力，实现文化旅游产业的深度融合发展，全力打造华夏文化名城。</w:t>
      </w:r>
    </w:p>
    <w:p>
      <w:pPr>
        <w:spacing w:after="0" w:line="600" w:lineRule="exact"/>
        <w:jc w:val="center"/>
        <w:rPr>
          <w:rFonts w:ascii="黑体" w:hAnsi="黑体" w:eastAsia="黑体"/>
          <w:sz w:val="32"/>
          <w:szCs w:val="32"/>
        </w:rPr>
      </w:pPr>
    </w:p>
    <w:p>
      <w:pPr>
        <w:spacing w:after="0" w:line="600" w:lineRule="exact"/>
        <w:jc w:val="center"/>
        <w:rPr>
          <w:rFonts w:hint="eastAsia" w:ascii="黑体" w:hAnsi="黑体" w:eastAsia="黑体"/>
          <w:sz w:val="32"/>
          <w:szCs w:val="32"/>
        </w:rPr>
      </w:pPr>
      <w:r>
        <w:rPr>
          <w:rFonts w:hint="eastAsia" w:ascii="黑体" w:hAnsi="黑体" w:eastAsia="黑体"/>
          <w:sz w:val="32"/>
          <w:szCs w:val="32"/>
        </w:rPr>
        <w:t>第二十一章  全面提升文化影响力</w:t>
      </w:r>
    </w:p>
    <w:p>
      <w:pPr>
        <w:spacing w:after="0" w:line="600" w:lineRule="exact"/>
        <w:jc w:val="center"/>
        <w:rPr>
          <w:rFonts w:hint="eastAsia" w:ascii="楷体_GB2312" w:eastAsia="楷体_GB2312"/>
          <w:b/>
          <w:sz w:val="32"/>
          <w:szCs w:val="32"/>
        </w:rPr>
      </w:pPr>
    </w:p>
    <w:p>
      <w:pPr>
        <w:spacing w:after="0" w:line="600" w:lineRule="exact"/>
        <w:jc w:val="center"/>
        <w:rPr>
          <w:rFonts w:hint="eastAsia" w:ascii="楷体_GB2312" w:eastAsia="楷体_GB2312"/>
          <w:b/>
          <w:sz w:val="32"/>
          <w:szCs w:val="32"/>
        </w:rPr>
      </w:pPr>
      <w:r>
        <w:rPr>
          <w:rFonts w:hint="eastAsia" w:ascii="楷体_GB2312" w:eastAsia="楷体_GB2312"/>
          <w:b/>
          <w:sz w:val="32"/>
          <w:szCs w:val="32"/>
        </w:rPr>
        <w:t>第一节</w:t>
      </w:r>
      <w:r>
        <w:rPr>
          <w:rFonts w:ascii="楷体_GB2312" w:eastAsia="楷体_GB2312"/>
          <w:b/>
          <w:sz w:val="32"/>
          <w:szCs w:val="32"/>
        </w:rPr>
        <w:t xml:space="preserve">  </w:t>
      </w:r>
      <w:r>
        <w:rPr>
          <w:rFonts w:hint="eastAsia" w:ascii="楷体_GB2312" w:eastAsia="楷体_GB2312"/>
          <w:b/>
          <w:sz w:val="32"/>
          <w:szCs w:val="32"/>
        </w:rPr>
        <w:t>构建宝鸡文化产业优势</w:t>
      </w:r>
    </w:p>
    <w:p>
      <w:pPr>
        <w:spacing w:after="0" w:line="600" w:lineRule="exact"/>
        <w:ind w:firstLine="643" w:firstLineChars="200"/>
        <w:jc w:val="both"/>
        <w:rPr>
          <w:rFonts w:hint="eastAsia" w:ascii="仿宋_GB2312" w:eastAsia="仿宋_GB2312"/>
          <w:sz w:val="32"/>
          <w:szCs w:val="32"/>
        </w:rPr>
      </w:pPr>
      <w:r>
        <w:rPr>
          <w:rFonts w:hint="eastAsia" w:ascii="仿宋_GB2312" w:eastAsia="仿宋_GB2312"/>
          <w:b/>
          <w:sz w:val="32"/>
          <w:szCs w:val="32"/>
        </w:rPr>
        <w:t>强化文化遗址保护。</w:t>
      </w:r>
      <w:r>
        <w:rPr>
          <w:rFonts w:hint="eastAsia" w:ascii="仿宋_GB2312" w:hAnsi="华文中宋" w:eastAsia="仿宋_GB2312"/>
          <w:sz w:val="32"/>
          <w:szCs w:val="32"/>
        </w:rPr>
        <w:t>深入挖掘周文化历史内涵、文化精髓，高标准、大手笔做好规划建设，按照世界文化遗产申报标准和集“科研、教育、游憩”为一体的目标定位，开工建设以周原遗址核心区为中心的周文化国家遗址公园、首座体现周文化特色的大型遗址类博物馆。充分展示周文化在中华文明史上的突出地位，实现我市世界文化遗产的零突破。</w:t>
      </w:r>
      <w:r>
        <w:rPr>
          <w:rFonts w:hint="eastAsia" w:ascii="仿宋_GB2312" w:eastAsia="仿宋_GB2312"/>
          <w:sz w:val="32"/>
          <w:szCs w:val="32"/>
        </w:rPr>
        <w:t>同时，对雍城遗址、九成宫遗址等实行整体性、真实性、综合性保护。编制宝鸡历史文化遗址保护规划，让文化遗产在体现宝鸡城市特色、凸显城市文化软实力方面发挥重要作用，把宝鸡建成一座保存中华文明基因、展示民族精神的文化之城。</w:t>
      </w:r>
    </w:p>
    <w:p>
      <w:pPr>
        <w:spacing w:after="0" w:line="600" w:lineRule="exact"/>
        <w:ind w:firstLine="643" w:firstLineChars="200"/>
        <w:jc w:val="both"/>
        <w:rPr>
          <w:rFonts w:hint="eastAsia" w:ascii="仿宋_GB2312" w:hAnsi="宋体" w:eastAsia="仿宋_GB2312" w:cs="Arial"/>
          <w:sz w:val="32"/>
          <w:szCs w:val="32"/>
        </w:rPr>
      </w:pPr>
      <w:r>
        <w:rPr>
          <w:rFonts w:hint="eastAsia" w:ascii="仿宋_GB2312" w:hAnsi="宋体" w:eastAsia="仿宋_GB2312" w:cs="Arial"/>
          <w:b/>
          <w:sz w:val="32"/>
          <w:szCs w:val="32"/>
        </w:rPr>
        <w:t>培育地域文化品牌。</w:t>
      </w:r>
      <w:r>
        <w:rPr>
          <w:rFonts w:hint="eastAsia" w:ascii="仿宋_GB2312" w:eastAsia="仿宋_GB2312"/>
          <w:sz w:val="32"/>
          <w:szCs w:val="32"/>
        </w:rPr>
        <w:t>以文艺精品、文化品牌为标杆提升文化吸引力，打造以</w:t>
      </w:r>
      <w:r>
        <w:rPr>
          <w:rFonts w:hint="eastAsia" w:ascii="仿宋_GB2312" w:hAnsi="宋体" w:eastAsia="仿宋_GB2312" w:cs="Arial"/>
          <w:sz w:val="32"/>
          <w:szCs w:val="32"/>
        </w:rPr>
        <w:t>天台山区域为核心的姜炎文化，以北首领为核心的仰韶文化，以法门寺为核心的佛教文化，以周原国际考古研究基地、周原遗址、雍城遗址为核心的周秦文化，以民间工艺品和民间演艺为核心的民俗文化，以避暑观光和生态疗养为核心的山水文化，以红色纪念馆和革命基地为核心的红色文化。</w:t>
      </w:r>
    </w:p>
    <w:p>
      <w:pPr>
        <w:spacing w:after="0" w:line="600" w:lineRule="exact"/>
        <w:ind w:firstLine="643" w:firstLineChars="200"/>
        <w:jc w:val="both"/>
        <w:rPr>
          <w:rFonts w:hint="eastAsia" w:ascii="仿宋_GB2312" w:hAnsi="宋体" w:eastAsia="仿宋_GB2312" w:cs="Arial"/>
          <w:sz w:val="32"/>
          <w:szCs w:val="32"/>
        </w:rPr>
      </w:pPr>
      <w:r>
        <w:rPr>
          <w:rFonts w:hint="eastAsia" w:ascii="仿宋_GB2312" w:hAnsi="宋体" w:eastAsia="仿宋_GB2312" w:cs="Arial"/>
          <w:b/>
          <w:sz w:val="32"/>
          <w:szCs w:val="32"/>
        </w:rPr>
        <w:t>拓展文化传播载体。</w:t>
      </w:r>
      <w:r>
        <w:rPr>
          <w:rFonts w:hint="eastAsia" w:ascii="仿宋_GB2312" w:eastAsia="仿宋_GB2312"/>
          <w:sz w:val="32"/>
          <w:szCs w:val="32"/>
        </w:rPr>
        <w:t>以拓展文化传播路径为方向提升文化辐射力，以生产文化产品和提供文化服务为目标提升文化生产力，</w:t>
      </w:r>
      <w:r>
        <w:rPr>
          <w:rFonts w:hint="eastAsia" w:ascii="仿宋_GB2312" w:hAnsi="宋体" w:eastAsia="仿宋_GB2312" w:cs="Arial"/>
          <w:sz w:val="32"/>
          <w:szCs w:val="32"/>
        </w:rPr>
        <w:t>打造精品文化旅游产品，下功夫打造民俗饮食文化、仿古青铜器、凤翔泥塑和剪纸；打造精品旅游景区，下功夫打造特色突出、结构合理、层次有序、文化气息浓厚现代色彩鲜明的</w:t>
      </w:r>
      <w:r>
        <w:rPr>
          <w:rFonts w:ascii="仿宋_GB2312" w:hAnsi="宋体" w:eastAsia="仿宋_GB2312" w:cs="Arial"/>
          <w:sz w:val="32"/>
          <w:szCs w:val="32"/>
        </w:rPr>
        <w:t>高A</w:t>
      </w:r>
      <w:r>
        <w:rPr>
          <w:rFonts w:hint="eastAsia" w:ascii="仿宋_GB2312" w:hAnsi="宋体" w:eastAsia="仿宋_GB2312" w:cs="Arial"/>
          <w:sz w:val="32"/>
          <w:szCs w:val="32"/>
        </w:rPr>
        <w:t>级旅游景区；打造精品文化交流活动，以全球华人寻根祭祖活动为依托，做大文化旅游，做优会议旅游、商务旅游，做强生态旅游及文化交流。</w:t>
      </w:r>
    </w:p>
    <w:p>
      <w:pPr>
        <w:spacing w:after="0" w:line="600" w:lineRule="exact"/>
        <w:ind w:firstLine="643" w:firstLineChars="200"/>
        <w:jc w:val="both"/>
        <w:rPr>
          <w:rFonts w:hint="eastAsia" w:ascii="仿宋_GB2312" w:hAnsi="宋体" w:eastAsia="仿宋_GB2312" w:cs="Arial"/>
          <w:sz w:val="32"/>
          <w:szCs w:val="32"/>
        </w:rPr>
      </w:pPr>
      <w:r>
        <w:rPr>
          <w:rFonts w:hint="eastAsia" w:ascii="仿宋_GB2312" w:hAnsi="宋体" w:eastAsia="仿宋_GB2312" w:cs="Arial"/>
          <w:b/>
          <w:sz w:val="32"/>
          <w:szCs w:val="32"/>
        </w:rPr>
        <w:t>构建文化产业优势。</w:t>
      </w:r>
      <w:r>
        <w:rPr>
          <w:rFonts w:hint="eastAsia" w:ascii="仿宋_GB2312" w:eastAsia="仿宋_GB2312"/>
          <w:sz w:val="32"/>
          <w:szCs w:val="32"/>
        </w:rPr>
        <w:t>以激发原创能力为核心提升文化创新力。</w:t>
      </w:r>
      <w:r>
        <w:rPr>
          <w:rFonts w:hint="eastAsia" w:ascii="仿宋_GB2312" w:hAnsi="宋体" w:eastAsia="仿宋_GB2312" w:cs="Arial"/>
          <w:sz w:val="32"/>
          <w:szCs w:val="32"/>
        </w:rPr>
        <w:t>加大园区建设力度，提升文化产业孵化能力。积极依托茵香河文化旅游区的建设，创新创业创意为抓手，强化园区产业集聚。吸引和集聚一批规模大、知名度高、成长性好的创意设计、动漫网游、原创影视企业和重大产业项目入驻园区。以特效制作、软件开发、数据服务等先进技术为核心，全力搭建各类公共服务平台，为文化创意企业孵化成长提供强有力的科技服务支撑。</w:t>
      </w:r>
    </w:p>
    <w:p>
      <w:pPr>
        <w:spacing w:after="0" w:line="600" w:lineRule="exact"/>
        <w:jc w:val="center"/>
        <w:rPr>
          <w:rFonts w:ascii="楷体_GB2312" w:eastAsia="楷体_GB2312"/>
          <w:b/>
          <w:sz w:val="32"/>
          <w:szCs w:val="32"/>
        </w:rPr>
      </w:pPr>
    </w:p>
    <w:p>
      <w:pPr>
        <w:spacing w:after="0" w:line="600" w:lineRule="exact"/>
        <w:jc w:val="center"/>
        <w:rPr>
          <w:rFonts w:ascii="楷体_GB2312" w:eastAsia="楷体_GB2312"/>
          <w:b/>
          <w:sz w:val="32"/>
          <w:szCs w:val="32"/>
        </w:rPr>
      </w:pPr>
      <w:r>
        <w:rPr>
          <w:rFonts w:hint="eastAsia" w:ascii="楷体_GB2312" w:eastAsia="楷体_GB2312"/>
          <w:b/>
          <w:sz w:val="32"/>
          <w:szCs w:val="32"/>
        </w:rPr>
        <w:t>第二节</w:t>
      </w:r>
      <w:r>
        <w:rPr>
          <w:rFonts w:ascii="楷体_GB2312" w:eastAsia="楷体_GB2312"/>
          <w:b/>
          <w:sz w:val="32"/>
          <w:szCs w:val="32"/>
        </w:rPr>
        <w:t xml:space="preserve">  </w:t>
      </w:r>
      <w:r>
        <w:rPr>
          <w:rFonts w:hint="eastAsia" w:ascii="楷体_GB2312" w:eastAsia="楷体_GB2312"/>
          <w:b/>
          <w:sz w:val="32"/>
          <w:szCs w:val="32"/>
        </w:rPr>
        <w:t>加强文化精品创作</w:t>
      </w:r>
    </w:p>
    <w:p>
      <w:pPr>
        <w:pBdr>
          <w:bottom w:val="single" w:color="FFFFFF" w:sz="4" w:space="28"/>
        </w:pBdr>
        <w:topLinePunct/>
        <w:spacing w:after="0" w:line="600" w:lineRule="exact"/>
        <w:ind w:firstLine="643" w:firstLineChars="200"/>
        <w:jc w:val="both"/>
        <w:rPr>
          <w:rFonts w:hint="eastAsia" w:ascii="仿宋_GB2312" w:eastAsia="仿宋_GB2312"/>
          <w:sz w:val="32"/>
          <w:szCs w:val="32"/>
        </w:rPr>
      </w:pPr>
      <w:r>
        <w:rPr>
          <w:rFonts w:hint="eastAsia" w:ascii="仿宋_GB2312" w:eastAsia="仿宋_GB2312"/>
          <w:b/>
          <w:sz w:val="32"/>
          <w:szCs w:val="32"/>
        </w:rPr>
        <w:t>以文艺精品增强文化引领力。</w:t>
      </w:r>
      <w:r>
        <w:rPr>
          <w:rFonts w:hint="eastAsia" w:ascii="仿宋_GB2312" w:hAnsi="宋体" w:eastAsia="仿宋_GB2312" w:cs="宋体"/>
          <w:sz w:val="32"/>
          <w:szCs w:val="32"/>
        </w:rPr>
        <w:t>建立精品创作奖励扶持机制，深度实施国家舞台艺术精品工程、广播影视精品工程、文学艺术创作工程、精品图书出版工程等“五个一工程”。对获国家级、省级文艺新闻出版类大奖的作品和在中央电视台、中央人民广播电台及省级媒体首播的作品进行重奖，对审核批准立项的重大文化艺术</w:t>
      </w:r>
      <w:r>
        <w:rPr>
          <w:rFonts w:hint="eastAsia" w:ascii="仿宋_GB2312" w:hAnsi="宋体" w:eastAsia="仿宋_GB2312" w:cs="宋体"/>
          <w:color w:val="000000"/>
          <w:sz w:val="32"/>
          <w:szCs w:val="32"/>
        </w:rPr>
        <w:t>精品项目进行扶持，激励生产一批彰显宝鸡特色、体现时代精神、在全国有影响的大戏、大剧、大作。</w:t>
      </w:r>
      <w:r>
        <w:rPr>
          <w:rFonts w:hint="eastAsia" w:ascii="仿宋_GB2312" w:eastAsia="仿宋_GB2312"/>
          <w:color w:val="000000"/>
          <w:sz w:val="32"/>
          <w:szCs w:val="32"/>
        </w:rPr>
        <w:t>推动原创性文化作品的产业化，建立以文化产品生产单位和个人为主体、以优秀文化作品</w:t>
      </w:r>
      <w:r>
        <w:rPr>
          <w:rFonts w:hint="eastAsia" w:ascii="仿宋_GB2312" w:eastAsia="仿宋_GB2312"/>
          <w:sz w:val="32"/>
          <w:szCs w:val="32"/>
        </w:rPr>
        <w:t>的市场化和传播为重点、以完备的产业链条为依托的文化创新机制。让宝鸡的文学创作、戏剧影视、音乐舞蹈、书法美术、民间艺术全省有位，全国有名。</w:t>
      </w:r>
    </w:p>
    <w:p>
      <w:pPr>
        <w:widowControl w:val="0"/>
        <w:pBdr>
          <w:bottom w:val="single" w:color="FFFFFF" w:sz="4" w:space="28"/>
        </w:pBdr>
        <w:topLinePunct/>
        <w:spacing w:after="0" w:line="600" w:lineRule="exact"/>
        <w:ind w:firstLine="643" w:firstLineChars="200"/>
        <w:jc w:val="both"/>
        <w:rPr>
          <w:rFonts w:hint="eastAsia" w:ascii="仿宋_GB2312" w:eastAsia="仿宋_GB2312"/>
          <w:sz w:val="32"/>
          <w:szCs w:val="32"/>
        </w:rPr>
      </w:pPr>
      <w:r>
        <w:rPr>
          <w:rFonts w:hint="eastAsia" w:ascii="仿宋_GB2312" w:eastAsia="仿宋_GB2312"/>
          <w:b/>
          <w:sz w:val="32"/>
          <w:szCs w:val="32"/>
        </w:rPr>
        <w:t>扶持具有竞争优势的文艺团体。</w:t>
      </w:r>
      <w:r>
        <w:rPr>
          <w:rFonts w:hint="eastAsia" w:ascii="仿宋_GB2312" w:eastAsia="仿宋_GB2312"/>
          <w:sz w:val="32"/>
          <w:szCs w:val="32"/>
        </w:rPr>
        <w:t>坚持</w:t>
      </w:r>
      <w:r>
        <w:rPr>
          <w:rFonts w:hint="eastAsia" w:ascii="仿宋_GB2312" w:hAnsi="Arial" w:eastAsia="仿宋_GB2312" w:cs="Arial"/>
          <w:sz w:val="32"/>
          <w:szCs w:val="32"/>
        </w:rPr>
        <w:t>一手抓公益性文化事业单位改革，建立健全法人治理结构；一手抓经营性文化单位转企改制，建立现代企业制度，同步推进文化管理体制改革，在文化领域全面推进思想观念创新、</w:t>
      </w:r>
      <w:r>
        <w:rPr>
          <w:rFonts w:hint="eastAsia" w:ascii="仿宋_GB2312" w:eastAsia="仿宋_GB2312"/>
          <w:sz w:val="32"/>
          <w:szCs w:val="32"/>
        </w:rPr>
        <w:t>内容创新、体制创新、管理创新、技术创新</w:t>
      </w:r>
      <w:r>
        <w:rPr>
          <w:rFonts w:hint="eastAsia" w:ascii="仿宋_GB2312" w:hAnsi="Arial" w:eastAsia="仿宋_GB2312" w:cs="Arial"/>
          <w:sz w:val="32"/>
          <w:szCs w:val="32"/>
        </w:rPr>
        <w:t>、传播手段和业态创新等，不断增强文化发展的生机和活力。</w:t>
      </w:r>
      <w:r>
        <w:rPr>
          <w:rFonts w:hint="eastAsia" w:ascii="仿宋_GB2312" w:eastAsia="仿宋_GB2312"/>
          <w:sz w:val="32"/>
          <w:szCs w:val="32"/>
        </w:rPr>
        <w:t>加大扶持具有竞争优势的文艺团体力度，把具有发展潜力、市场前景广阔的文化产业集中起来，充分发挥它们的集聚和辐射带动作用，全面提升文化产业的竞争力和创新力。</w:t>
      </w:r>
    </w:p>
    <w:p>
      <w:pPr>
        <w:widowControl w:val="0"/>
        <w:pBdr>
          <w:bottom w:val="single" w:color="FFFFFF" w:sz="4" w:space="28"/>
        </w:pBdr>
        <w:topLinePunct/>
        <w:spacing w:after="0" w:line="600" w:lineRule="exact"/>
        <w:ind w:firstLine="643" w:firstLineChars="200"/>
        <w:jc w:val="both"/>
        <w:rPr>
          <w:rFonts w:hint="eastAsia" w:ascii="仿宋_GB2312" w:eastAsia="仿宋_GB2312"/>
          <w:sz w:val="32"/>
          <w:szCs w:val="32"/>
        </w:rPr>
      </w:pPr>
      <w:r>
        <w:rPr>
          <w:rFonts w:hint="eastAsia" w:ascii="仿宋_GB2312" w:eastAsia="仿宋_GB2312"/>
          <w:b/>
          <w:sz w:val="32"/>
          <w:szCs w:val="32"/>
        </w:rPr>
        <w:t>提高全民文化艺术素养。</w:t>
      </w:r>
      <w:r>
        <w:rPr>
          <w:rFonts w:hint="eastAsia" w:ascii="仿宋_GB2312" w:hAnsi="宋体" w:eastAsia="仿宋_GB2312" w:cs="宋体"/>
          <w:sz w:val="32"/>
          <w:szCs w:val="32"/>
        </w:rPr>
        <w:t>强力实施“文化惠民”工程，切实加强文化阵地建设，积极推进文化信息资源共享和文化惠民工程建设</w:t>
      </w:r>
      <w:r>
        <w:rPr>
          <w:rFonts w:hint="eastAsia" w:ascii="仿宋_GB2312" w:hAnsi="宋体" w:eastAsia="仿宋_GB2312" w:cs="宋体"/>
          <w:b/>
          <w:sz w:val="32"/>
          <w:szCs w:val="32"/>
        </w:rPr>
        <w:t>。</w:t>
      </w:r>
      <w:r>
        <w:rPr>
          <w:rFonts w:hint="eastAsia" w:ascii="仿宋_GB2312" w:hAnsi="宋体" w:eastAsia="仿宋_GB2312" w:cs="宋体"/>
          <w:sz w:val="32"/>
          <w:szCs w:val="32"/>
        </w:rPr>
        <w:t>加快镇、街道文化站、文化中心建设，为广大群众提供优质高效的文化信息资源服务。同时切实加强文化队伍建设，积极发展民办文化事业。</w:t>
      </w:r>
      <w:r>
        <w:rPr>
          <w:rFonts w:hint="eastAsia" w:ascii="仿宋_GB2312" w:eastAsia="仿宋_GB2312"/>
          <w:sz w:val="32"/>
          <w:szCs w:val="32"/>
        </w:rPr>
        <w:t>大力实施市民艺术素质培训工程，积极开展群众喜闻乐见的业余读书、摄影、书画、合唱、舞蹈及各类民间文化活动；组织开展高雅艺术进机关进校园进企业、优秀文艺精品基层巡演、“三下乡”、“文化进农村、进社区、进机关、进学校、进企业”等活动，使文艺活动成为广大市民生活的重要组成部分和宝鸡群众文化工作一道亮丽的风景线。</w:t>
      </w:r>
    </w:p>
    <w:p>
      <w:pPr>
        <w:widowControl w:val="0"/>
        <w:pBdr>
          <w:bottom w:val="single" w:color="FFFFFF" w:sz="4" w:space="28"/>
        </w:pBdr>
        <w:topLinePunct/>
        <w:spacing w:after="0" w:line="600" w:lineRule="exact"/>
        <w:jc w:val="center"/>
        <w:rPr>
          <w:rFonts w:ascii="楷体_GB2312" w:eastAsia="楷体_GB2312"/>
          <w:b/>
          <w:sz w:val="32"/>
          <w:szCs w:val="32"/>
        </w:rPr>
      </w:pPr>
    </w:p>
    <w:p>
      <w:pPr>
        <w:widowControl w:val="0"/>
        <w:pBdr>
          <w:bottom w:val="single" w:color="FFFFFF" w:sz="4" w:space="28"/>
        </w:pBdr>
        <w:topLinePunct/>
        <w:spacing w:after="0" w:line="600" w:lineRule="exact"/>
        <w:jc w:val="center"/>
        <w:rPr>
          <w:rFonts w:ascii="楷体_GB2312" w:eastAsia="楷体_GB2312"/>
          <w:b/>
          <w:sz w:val="32"/>
          <w:szCs w:val="32"/>
        </w:rPr>
      </w:pPr>
      <w:r>
        <w:rPr>
          <w:rFonts w:hint="eastAsia" w:ascii="楷体_GB2312" w:eastAsia="楷体_GB2312"/>
          <w:b/>
          <w:sz w:val="32"/>
          <w:szCs w:val="32"/>
        </w:rPr>
        <w:t>第三节</w:t>
      </w:r>
      <w:r>
        <w:rPr>
          <w:rFonts w:ascii="楷体_GB2312" w:eastAsia="楷体_GB2312"/>
          <w:b/>
          <w:sz w:val="32"/>
          <w:szCs w:val="32"/>
        </w:rPr>
        <w:t xml:space="preserve">  </w:t>
      </w:r>
      <w:r>
        <w:rPr>
          <w:rFonts w:hint="eastAsia" w:ascii="楷体_GB2312" w:eastAsia="楷体_GB2312"/>
          <w:b/>
          <w:sz w:val="32"/>
          <w:szCs w:val="32"/>
        </w:rPr>
        <w:t>拓展文化交流传播</w:t>
      </w:r>
    </w:p>
    <w:p>
      <w:pPr>
        <w:widowControl w:val="0"/>
        <w:pBdr>
          <w:bottom w:val="single" w:color="FFFFFF" w:sz="4" w:space="28"/>
        </w:pBdr>
        <w:topLinePunct/>
        <w:spacing w:after="0" w:line="600" w:lineRule="exact"/>
        <w:ind w:firstLine="643" w:firstLineChars="200"/>
        <w:jc w:val="both"/>
        <w:rPr>
          <w:rFonts w:hint="eastAsia" w:ascii="仿宋_GB2312" w:eastAsia="仿宋_GB2312"/>
          <w:sz w:val="32"/>
          <w:szCs w:val="32"/>
        </w:rPr>
      </w:pPr>
      <w:r>
        <w:rPr>
          <w:rFonts w:hint="eastAsia" w:ascii="仿宋_GB2312" w:eastAsia="仿宋_GB2312"/>
          <w:b/>
          <w:sz w:val="32"/>
          <w:szCs w:val="32"/>
        </w:rPr>
        <w:t>强化主流媒体舆论引导。</w:t>
      </w:r>
      <w:r>
        <w:rPr>
          <w:rFonts w:hint="eastAsia" w:ascii="仿宋_GB2312" w:eastAsia="仿宋_GB2312"/>
          <w:sz w:val="32"/>
          <w:szCs w:val="32"/>
        </w:rPr>
        <w:t>市级主流媒体的报纸、广播、电视等主流媒体要树立“主角”意识，发挥信息主渠道作用，正确引导社会舆论，提升宝鸡文化影响力的宣传质量和效果。坚持以独到的视野和新颖的手法，以优质、鲜活的文化品位以</w:t>
      </w:r>
      <w:r>
        <w:rPr>
          <w:rFonts w:hint="eastAsia" w:ascii="仿宋_GB2312" w:hAnsi="Arial" w:eastAsia="仿宋_GB2312" w:cs="Arial"/>
          <w:bCs/>
          <w:sz w:val="32"/>
          <w:szCs w:val="32"/>
        </w:rPr>
        <w:t>重头报道、典型报道、深度报道</w:t>
      </w:r>
      <w:r>
        <w:rPr>
          <w:rFonts w:hint="eastAsia" w:ascii="仿宋_GB2312" w:eastAsia="仿宋_GB2312"/>
          <w:sz w:val="32"/>
          <w:szCs w:val="32"/>
        </w:rPr>
        <w:t>营造强大的“宝鸡文化宣传气场”，加大宣传、畅通渠道，增强文化传播力。认真梳理现有文化资源，精心设计一批能表达宝鸡文化内涵的简明扼要的宣传口号，加大在全国主流媒体上的宣传力度，扩大全国乃至世界人民对宝鸡文化的了解覆盖面。</w:t>
      </w:r>
    </w:p>
    <w:p>
      <w:pPr>
        <w:widowControl w:val="0"/>
        <w:pBdr>
          <w:bottom w:val="single" w:color="FFFFFF" w:sz="4" w:space="28"/>
        </w:pBdr>
        <w:topLinePunct/>
        <w:spacing w:after="0" w:line="600" w:lineRule="exact"/>
        <w:ind w:firstLine="643" w:firstLineChars="200"/>
        <w:jc w:val="both"/>
        <w:rPr>
          <w:rFonts w:hint="eastAsia" w:ascii="仿宋_GB2312" w:eastAsia="仿宋_GB2312"/>
          <w:color w:val="000000"/>
          <w:sz w:val="32"/>
          <w:szCs w:val="32"/>
        </w:rPr>
      </w:pPr>
      <w:r>
        <w:rPr>
          <w:rFonts w:hint="eastAsia" w:ascii="仿宋_GB2312" w:eastAsia="仿宋_GB2312"/>
          <w:b/>
          <w:sz w:val="32"/>
          <w:szCs w:val="32"/>
        </w:rPr>
        <w:t>壮大现代传媒集团。</w:t>
      </w:r>
      <w:r>
        <w:rPr>
          <w:rFonts w:hint="eastAsia" w:ascii="仿宋_GB2312" w:eastAsia="仿宋_GB2312"/>
          <w:sz w:val="32"/>
          <w:szCs w:val="32"/>
        </w:rPr>
        <w:t>积极推动媒体优化重组，鼓励和支持宝鸡日报、宝鸡电视台在国内跨地域、跨行业、跨媒体发展经营，支持报业、广播电视、出版、互联网等不同业态媒体之间的重组合作，努力打造在省内有广泛影响力的综合性文化传媒集团。构建传输快捷、覆盖</w:t>
      </w:r>
      <w:r>
        <w:rPr>
          <w:rFonts w:hint="eastAsia" w:ascii="仿宋_GB2312" w:eastAsia="仿宋_GB2312"/>
          <w:color w:val="000000"/>
          <w:sz w:val="32"/>
          <w:szCs w:val="32"/>
        </w:rPr>
        <w:t>广泛的现代传播体系，扶持建设覆盖全市的层次多样的数字电影院线和演出院线。</w:t>
      </w:r>
    </w:p>
    <w:p>
      <w:pPr>
        <w:widowControl w:val="0"/>
        <w:pBdr>
          <w:bottom w:val="single" w:color="FFFFFF" w:sz="4" w:space="28"/>
        </w:pBdr>
        <w:topLinePunct/>
        <w:spacing w:after="0" w:line="600" w:lineRule="exact"/>
        <w:ind w:firstLine="643" w:firstLineChars="200"/>
        <w:jc w:val="both"/>
        <w:rPr>
          <w:rFonts w:ascii="黑体" w:hAnsi="黑体" w:eastAsia="黑体"/>
          <w:color w:val="000000"/>
          <w:sz w:val="32"/>
          <w:szCs w:val="32"/>
        </w:rPr>
      </w:pPr>
      <w:r>
        <w:rPr>
          <w:rFonts w:hint="eastAsia" w:ascii="仿宋_GB2312" w:eastAsia="仿宋_GB2312"/>
          <w:b/>
          <w:color w:val="000000"/>
          <w:sz w:val="32"/>
          <w:szCs w:val="32"/>
        </w:rPr>
        <w:t>加强区域文化协作。</w:t>
      </w:r>
      <w:r>
        <w:rPr>
          <w:rFonts w:hint="eastAsia" w:ascii="仿宋_GB2312" w:eastAsia="仿宋_GB2312"/>
          <w:color w:val="000000"/>
          <w:sz w:val="32"/>
          <w:szCs w:val="32"/>
        </w:rPr>
        <w:t>充分利用现代信息时代的技术手段，通过“互联网＋旅游”协作，与丝绸之路经济带沿线国家和地区共同联手，</w:t>
      </w:r>
      <w:r>
        <w:rPr>
          <w:rFonts w:ascii="仿宋_GB2312" w:eastAsia="仿宋_GB2312"/>
          <w:color w:val="000000"/>
          <w:sz w:val="32"/>
          <w:szCs w:val="32"/>
        </w:rPr>
        <w:t>深化文化遗产保护合作，加强文化市场监管合作，建立</w:t>
      </w:r>
      <w:r>
        <w:rPr>
          <w:rFonts w:hint="eastAsia" w:ascii="仿宋_GB2312" w:eastAsia="仿宋_GB2312"/>
          <w:color w:val="000000"/>
          <w:sz w:val="32"/>
          <w:szCs w:val="32"/>
        </w:rPr>
        <w:t>丝绸之路经济带</w:t>
      </w:r>
      <w:r>
        <w:rPr>
          <w:rFonts w:ascii="仿宋_GB2312" w:eastAsia="仿宋_GB2312"/>
          <w:color w:val="000000"/>
          <w:sz w:val="32"/>
          <w:szCs w:val="32"/>
        </w:rPr>
        <w:t>非物质文化遗产展演展示、公共文化服务体系建设合作交流机制，促进文化产品流通，扩大区域文化消费规模</w:t>
      </w:r>
      <w:r>
        <w:rPr>
          <w:rFonts w:hint="eastAsia" w:ascii="仿宋_GB2312" w:eastAsia="仿宋_GB2312"/>
          <w:color w:val="000000"/>
          <w:sz w:val="32"/>
          <w:szCs w:val="32"/>
        </w:rPr>
        <w:t>，在</w:t>
      </w:r>
      <w:r>
        <w:rPr>
          <w:rFonts w:ascii="仿宋_GB2312" w:eastAsia="仿宋_GB2312"/>
          <w:color w:val="000000"/>
          <w:sz w:val="32"/>
          <w:szCs w:val="32"/>
        </w:rPr>
        <w:t>推动文化市场区域合作和一体化建设</w:t>
      </w:r>
      <w:r>
        <w:rPr>
          <w:rFonts w:hint="eastAsia" w:ascii="仿宋_GB2312" w:eastAsia="仿宋_GB2312"/>
          <w:color w:val="000000"/>
          <w:sz w:val="32"/>
          <w:szCs w:val="32"/>
        </w:rPr>
        <w:t>中</w:t>
      </w:r>
      <w:r>
        <w:rPr>
          <w:rFonts w:ascii="仿宋_GB2312" w:eastAsia="仿宋_GB2312"/>
          <w:color w:val="000000"/>
          <w:sz w:val="32"/>
          <w:szCs w:val="32"/>
        </w:rPr>
        <w:t>凸显</w:t>
      </w:r>
      <w:r>
        <w:rPr>
          <w:rFonts w:hint="eastAsia" w:ascii="仿宋_GB2312" w:eastAsia="仿宋_GB2312"/>
          <w:color w:val="000000"/>
          <w:sz w:val="32"/>
          <w:szCs w:val="32"/>
        </w:rPr>
        <w:t>宝鸡文化特色。</w:t>
      </w:r>
    </w:p>
    <w:p>
      <w:pPr>
        <w:widowControl w:val="0"/>
        <w:pBdr>
          <w:bottom w:val="single" w:color="FFFFFF" w:sz="4" w:space="27"/>
        </w:pBdr>
        <w:topLinePunct/>
        <w:spacing w:after="0" w:line="600" w:lineRule="exact"/>
        <w:jc w:val="center"/>
        <w:rPr>
          <w:rFonts w:ascii="黑体" w:hAnsi="黑体" w:eastAsia="黑体"/>
          <w:sz w:val="32"/>
          <w:szCs w:val="32"/>
        </w:rPr>
      </w:pPr>
      <w:r>
        <w:rPr>
          <w:rFonts w:hint="eastAsia" w:ascii="黑体" w:hAnsi="黑体" w:eastAsia="黑体"/>
          <w:sz w:val="32"/>
          <w:szCs w:val="32"/>
        </w:rPr>
        <w:t>第二十二章</w:t>
      </w:r>
      <w:r>
        <w:rPr>
          <w:rFonts w:ascii="黑体" w:hAnsi="黑体" w:eastAsia="黑体"/>
          <w:sz w:val="32"/>
          <w:szCs w:val="32"/>
        </w:rPr>
        <w:t xml:space="preserve">  </w:t>
      </w:r>
      <w:r>
        <w:rPr>
          <w:rFonts w:hint="eastAsia" w:ascii="黑体" w:hAnsi="黑体" w:eastAsia="黑体"/>
          <w:sz w:val="32"/>
          <w:szCs w:val="32"/>
        </w:rPr>
        <w:t>构建现代文化服务体系</w:t>
      </w:r>
    </w:p>
    <w:p>
      <w:pPr>
        <w:widowControl w:val="0"/>
        <w:pBdr>
          <w:bottom w:val="single" w:color="FFFFFF" w:sz="4" w:space="27"/>
        </w:pBdr>
        <w:topLinePunct/>
        <w:spacing w:after="0" w:line="600" w:lineRule="exact"/>
        <w:jc w:val="center"/>
        <w:rPr>
          <w:rFonts w:hint="eastAsia" w:ascii="楷体_GB2312" w:hAnsi="宋体" w:eastAsia="楷体_GB2312" w:cs="宋体"/>
          <w:b/>
          <w:sz w:val="32"/>
          <w:szCs w:val="32"/>
        </w:rPr>
      </w:pPr>
    </w:p>
    <w:p>
      <w:pPr>
        <w:widowControl w:val="0"/>
        <w:pBdr>
          <w:bottom w:val="single" w:color="FFFFFF" w:sz="4" w:space="27"/>
        </w:pBdr>
        <w:topLinePunct/>
        <w:spacing w:after="0" w:line="600" w:lineRule="exact"/>
        <w:jc w:val="center"/>
        <w:rPr>
          <w:rFonts w:hint="eastAsia" w:ascii="楷体_GB2312" w:hAnsi="宋体" w:eastAsia="楷体_GB2312" w:cs="宋体"/>
          <w:b/>
          <w:sz w:val="32"/>
          <w:szCs w:val="32"/>
        </w:rPr>
      </w:pPr>
      <w:r>
        <w:rPr>
          <w:rFonts w:hint="eastAsia" w:ascii="楷体_GB2312" w:hAnsi="宋体" w:eastAsia="楷体_GB2312" w:cs="宋体"/>
          <w:b/>
          <w:sz w:val="32"/>
          <w:szCs w:val="32"/>
        </w:rPr>
        <w:t>第一节</w:t>
      </w:r>
      <w:r>
        <w:rPr>
          <w:rFonts w:ascii="楷体_GB2312" w:hAnsi="宋体" w:eastAsia="楷体_GB2312" w:cs="宋体"/>
          <w:b/>
          <w:sz w:val="32"/>
          <w:szCs w:val="32"/>
        </w:rPr>
        <w:t xml:space="preserve">  </w:t>
      </w:r>
      <w:r>
        <w:rPr>
          <w:rFonts w:hint="eastAsia" w:ascii="楷体_GB2312" w:hAnsi="宋体" w:eastAsia="楷体_GB2312" w:cs="宋体"/>
          <w:b/>
          <w:sz w:val="32"/>
          <w:szCs w:val="32"/>
        </w:rPr>
        <w:t>健全公共文化服务体系</w:t>
      </w:r>
    </w:p>
    <w:p>
      <w:pPr>
        <w:widowControl w:val="0"/>
        <w:pBdr>
          <w:bottom w:val="single" w:color="FFFFFF" w:sz="4" w:space="27"/>
        </w:pBdr>
        <w:topLinePunct/>
        <w:spacing w:after="0" w:line="600" w:lineRule="exact"/>
        <w:ind w:firstLine="640" w:firstLineChars="200"/>
        <w:jc w:val="both"/>
        <w:rPr>
          <w:rFonts w:hint="eastAsia"/>
        </w:rPr>
      </w:pPr>
      <w:r>
        <w:rPr>
          <w:rFonts w:hint="eastAsia" w:ascii="仿宋_GB2312" w:hAnsi="宋体" w:eastAsia="仿宋_GB2312" w:cs="宋体"/>
          <w:sz w:val="32"/>
          <w:szCs w:val="32"/>
        </w:rPr>
        <w:t>继续推进文化惠民工程，加快建设公共文化基础设施。实施县级图书馆、文化馆、博物馆建设。开展镇级综合文体中心和村级文化广场建设，改造提升镇（街道）文化站。整合基层宣传文化、党员教育、科学普及、体育健身等设施，建设综合性文化服务中心。推进公共数字文化建设，实施文化信息资源共享工程、公共电子阅览室建设计划和数字图书馆推广工程等。公共文化场馆免费开放。继续推进文化设备配送工程，为市、县配送流动服务车等设备，为镇</w:t>
      </w:r>
      <w:r>
        <w:rPr>
          <w:rFonts w:ascii="仿宋_GB2312" w:hAnsi="宋体" w:eastAsia="仿宋_GB2312" w:cs="宋体"/>
          <w:sz w:val="32"/>
          <w:szCs w:val="32"/>
        </w:rPr>
        <w:t>(</w:t>
      </w:r>
      <w:r>
        <w:rPr>
          <w:rFonts w:hint="eastAsia" w:ascii="仿宋_GB2312" w:hAnsi="宋体" w:eastAsia="仿宋_GB2312" w:cs="宋体"/>
          <w:sz w:val="32"/>
          <w:szCs w:val="32"/>
        </w:rPr>
        <w:t>街道</w:t>
      </w:r>
      <w:r>
        <w:rPr>
          <w:rFonts w:ascii="仿宋_GB2312" w:hAnsi="宋体" w:eastAsia="仿宋_GB2312" w:cs="宋体"/>
          <w:sz w:val="32"/>
          <w:szCs w:val="32"/>
        </w:rPr>
        <w:t>)</w:t>
      </w:r>
      <w:r>
        <w:rPr>
          <w:rFonts w:hint="eastAsia" w:ascii="仿宋_GB2312" w:hAnsi="宋体" w:eastAsia="仿宋_GB2312" w:cs="宋体"/>
          <w:sz w:val="32"/>
          <w:szCs w:val="32"/>
        </w:rPr>
        <w:t>、村</w:t>
      </w:r>
      <w:r>
        <w:rPr>
          <w:rFonts w:ascii="仿宋_GB2312" w:hAnsi="宋体" w:eastAsia="仿宋_GB2312" w:cs="宋体"/>
          <w:sz w:val="32"/>
          <w:szCs w:val="32"/>
        </w:rPr>
        <w:t>(</w:t>
      </w:r>
      <w:r>
        <w:rPr>
          <w:rFonts w:hint="eastAsia" w:ascii="仿宋_GB2312" w:hAnsi="宋体" w:eastAsia="仿宋_GB2312" w:cs="宋体"/>
          <w:sz w:val="32"/>
          <w:szCs w:val="32"/>
        </w:rPr>
        <w:t>社区</w:t>
      </w:r>
      <w:r>
        <w:rPr>
          <w:rFonts w:ascii="仿宋_GB2312" w:hAnsi="宋体" w:eastAsia="仿宋_GB2312" w:cs="宋体"/>
          <w:sz w:val="32"/>
          <w:szCs w:val="32"/>
        </w:rPr>
        <w:t>)</w:t>
      </w:r>
      <w:r>
        <w:rPr>
          <w:rFonts w:hint="eastAsia" w:ascii="仿宋_GB2312" w:hAnsi="宋体" w:eastAsia="仿宋_GB2312" w:cs="宋体"/>
          <w:sz w:val="32"/>
          <w:szCs w:val="32"/>
        </w:rPr>
        <w:t>配送文化活动器材。实施“文化关爱”工程，开展面向农民工、残疾人、留守儿童等群体的公益性文化服务。</w:t>
      </w:r>
      <w:r>
        <w:rPr>
          <w:rFonts w:hint="eastAsia" w:ascii="仿宋_GB2312" w:hAnsi="宋体" w:eastAsia="仿宋_GB2312" w:cs="宋体"/>
          <w:bCs/>
          <w:sz w:val="32"/>
          <w:szCs w:val="32"/>
        </w:rPr>
        <w:t>加大非物质文化遗产保护力度，</w:t>
      </w:r>
      <w:r>
        <w:rPr>
          <w:rFonts w:hint="eastAsia" w:ascii="仿宋_GB2312" w:hAnsi="宋体" w:eastAsia="仿宋_GB2312" w:cs="宋体"/>
          <w:sz w:val="32"/>
          <w:szCs w:val="32"/>
        </w:rPr>
        <w:t>实施非物质文化遗产保护利用设施建设，支持艺术性、观赏性较强的国家级非物质文化遗产建设生产传习用房和技艺展示厅，使非物质文化遗产成果得到有效展示。继续实施“广</w:t>
      </w:r>
      <w:r>
        <w:rPr>
          <w:lang/>
        </w:rPr>
        <mc:AlternateContent>
          <mc:Choice Requires="wps">
            <w:drawing>
              <wp:anchor distT="0" distB="0" distL="114300" distR="114300" simplePos="0" relativeHeight="251685888" behindDoc="0" locked="0" layoutInCell="1" allowOverlap="1">
                <wp:simplePos x="0" y="0"/>
                <wp:positionH relativeFrom="column">
                  <wp:posOffset>17145</wp:posOffset>
                </wp:positionH>
                <wp:positionV relativeFrom="paragraph">
                  <wp:posOffset>5366385</wp:posOffset>
                </wp:positionV>
                <wp:extent cx="5600700" cy="2461260"/>
                <wp:effectExtent l="4445" t="4445" r="14605" b="10795"/>
                <wp:wrapSquare wrapText="bothSides"/>
                <wp:docPr id="27" name="文本框 73"/>
                <wp:cNvGraphicFramePr/>
                <a:graphic xmlns:a="http://schemas.openxmlformats.org/drawingml/2006/main">
                  <a:graphicData uri="http://schemas.microsoft.com/office/word/2010/wordprocessingShape">
                    <wps:wsp>
                      <wps:cNvSpPr txBox="1"/>
                      <wps:spPr>
                        <a:xfrm>
                          <a:off x="0" y="0"/>
                          <a:ext cx="5600700" cy="2461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cs="宋体"/>
                                <w:b/>
                                <w:color w:val="000000"/>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8</w:t>
                            </w:r>
                          </w:p>
                          <w:p>
                            <w:pPr>
                              <w:spacing w:after="0" w:line="300" w:lineRule="exact"/>
                              <w:jc w:val="center"/>
                              <w:rPr>
                                <w:rFonts w:ascii="楷体" w:hAnsi="楷体" w:eastAsia="楷体" w:cs="宋体"/>
                                <w:b/>
                                <w:color w:val="000000"/>
                                <w:sz w:val="21"/>
                                <w:szCs w:val="21"/>
                              </w:rPr>
                            </w:pPr>
                            <w:r>
                              <w:rPr>
                                <w:rFonts w:hint="eastAsia" w:ascii="黑体" w:hAnsi="黑体" w:eastAsia="黑体" w:cs="宋体"/>
                                <w:b/>
                                <w:color w:val="000000"/>
                                <w:sz w:val="21"/>
                                <w:szCs w:val="21"/>
                              </w:rPr>
                              <w:t>公共文化服务体系建设重点</w:t>
                            </w:r>
                          </w:p>
                          <w:p>
                            <w:pPr>
                              <w:spacing w:after="0" w:line="300" w:lineRule="exact"/>
                              <w:ind w:firstLine="420" w:firstLineChars="200"/>
                              <w:jc w:val="both"/>
                              <w:rPr>
                                <w:rFonts w:ascii="楷体_GB2312" w:hAnsi="楷体" w:eastAsia="楷体_GB2312" w:cs="宋体"/>
                                <w:color w:val="000000"/>
                                <w:sz w:val="21"/>
                                <w:szCs w:val="21"/>
                              </w:rPr>
                            </w:pPr>
                            <w:r>
                              <w:rPr>
                                <w:rFonts w:hint="eastAsia" w:ascii="楷体_GB2312" w:hAnsi="楷体" w:eastAsia="楷体_GB2312" w:cs="宋体"/>
                                <w:color w:val="000000"/>
                                <w:sz w:val="21"/>
                                <w:szCs w:val="21"/>
                              </w:rPr>
                              <w:t>到</w:t>
                            </w:r>
                            <w:r>
                              <w:rPr>
                                <w:rFonts w:ascii="楷体_GB2312" w:hAnsi="楷体" w:eastAsia="楷体_GB2312" w:cs="宋体"/>
                                <w:color w:val="000000"/>
                                <w:sz w:val="21"/>
                                <w:szCs w:val="21"/>
                              </w:rPr>
                              <w:t>2020</w:t>
                            </w:r>
                            <w:r>
                              <w:rPr>
                                <w:rFonts w:hint="eastAsia" w:ascii="楷体_GB2312" w:hAnsi="楷体" w:eastAsia="楷体_GB2312" w:cs="宋体"/>
                                <w:color w:val="000000"/>
                                <w:sz w:val="21"/>
                                <w:szCs w:val="21"/>
                              </w:rPr>
                              <w:t>年，全市</w:t>
                            </w:r>
                            <w:r>
                              <w:rPr>
                                <w:rFonts w:ascii="楷体_GB2312" w:hAnsi="楷体" w:eastAsia="楷体_GB2312" w:cs="宋体"/>
                                <w:color w:val="000000"/>
                                <w:sz w:val="21"/>
                                <w:szCs w:val="21"/>
                              </w:rPr>
                              <w:t>100%</w:t>
                            </w:r>
                            <w:r>
                              <w:rPr>
                                <w:rFonts w:hint="eastAsia" w:ascii="楷体_GB2312" w:hAnsi="楷体" w:eastAsia="楷体_GB2312" w:cs="宋体"/>
                                <w:color w:val="000000"/>
                                <w:sz w:val="21"/>
                                <w:szCs w:val="21"/>
                              </w:rPr>
                              <w:t>的县（区）达到省级文化先进县，</w:t>
                            </w:r>
                            <w:r>
                              <w:rPr>
                                <w:rFonts w:ascii="楷体_GB2312" w:hAnsi="楷体" w:eastAsia="楷体_GB2312" w:cs="宋体"/>
                                <w:color w:val="000000"/>
                                <w:sz w:val="21"/>
                                <w:szCs w:val="21"/>
                              </w:rPr>
                              <w:t>50%</w:t>
                            </w:r>
                            <w:r>
                              <w:rPr>
                                <w:rFonts w:hint="eastAsia" w:ascii="楷体_GB2312" w:hAnsi="楷体" w:eastAsia="楷体_GB2312" w:cs="宋体"/>
                                <w:color w:val="000000"/>
                                <w:sz w:val="21"/>
                                <w:szCs w:val="21"/>
                              </w:rPr>
                              <w:t>的县（区）达到国家级文化先进县。实现公共文化场馆全时段、零门槛、无障碍向社会免费开放。全市人均公共图书馆藏书量大于</w:t>
                            </w:r>
                            <w:r>
                              <w:rPr>
                                <w:rFonts w:ascii="楷体_GB2312" w:hAnsi="楷体" w:eastAsia="楷体_GB2312" w:cs="宋体"/>
                                <w:color w:val="000000"/>
                                <w:sz w:val="21"/>
                                <w:szCs w:val="21"/>
                              </w:rPr>
                              <w:t>0.6</w:t>
                            </w:r>
                            <w:r>
                              <w:rPr>
                                <w:rFonts w:hint="eastAsia" w:ascii="楷体_GB2312" w:hAnsi="楷体" w:eastAsia="楷体_GB2312" w:cs="宋体"/>
                                <w:color w:val="000000"/>
                                <w:sz w:val="21"/>
                                <w:szCs w:val="21"/>
                              </w:rPr>
                              <w:t>册</w:t>
                            </w:r>
                            <w:r>
                              <w:rPr>
                                <w:rFonts w:ascii="楷体_GB2312" w:hAnsi="楷体" w:eastAsia="楷体_GB2312" w:cs="宋体"/>
                                <w:color w:val="000000"/>
                                <w:sz w:val="21"/>
                                <w:szCs w:val="21"/>
                              </w:rPr>
                              <w:t>,</w:t>
                            </w:r>
                            <w:r>
                              <w:rPr>
                                <w:rFonts w:hint="eastAsia" w:ascii="楷体_GB2312" w:hAnsi="楷体" w:eastAsia="楷体_GB2312" w:cs="宋体"/>
                                <w:color w:val="000000"/>
                                <w:sz w:val="21"/>
                                <w:szCs w:val="21"/>
                              </w:rPr>
                              <w:t>人均购书经费和文化活动经费达到</w:t>
                            </w:r>
                            <w:r>
                              <w:rPr>
                                <w:rFonts w:ascii="楷体_GB2312" w:hAnsi="楷体" w:eastAsia="楷体_GB2312" w:cs="宋体"/>
                                <w:color w:val="000000"/>
                                <w:sz w:val="21"/>
                                <w:szCs w:val="21"/>
                              </w:rPr>
                              <w:t>1.2</w:t>
                            </w:r>
                            <w:r>
                              <w:rPr>
                                <w:rFonts w:hint="eastAsia" w:ascii="楷体_GB2312" w:hAnsi="楷体" w:eastAsia="楷体_GB2312" w:cs="宋体"/>
                                <w:color w:val="000000"/>
                                <w:sz w:val="21"/>
                                <w:szCs w:val="21"/>
                              </w:rPr>
                              <w:t>元</w:t>
                            </w:r>
                            <w:r>
                              <w:rPr>
                                <w:rFonts w:ascii="楷体_GB2312" w:hAnsi="楷体" w:eastAsia="楷体_GB2312" w:cs="宋体"/>
                                <w:color w:val="000000"/>
                                <w:sz w:val="21"/>
                                <w:szCs w:val="21"/>
                              </w:rPr>
                              <w:t>/</w:t>
                            </w:r>
                            <w:r>
                              <w:rPr>
                                <w:rFonts w:hint="eastAsia" w:ascii="楷体_GB2312" w:hAnsi="楷体" w:eastAsia="楷体_GB2312" w:cs="宋体"/>
                                <w:color w:val="000000"/>
                                <w:sz w:val="21"/>
                                <w:szCs w:val="21"/>
                              </w:rPr>
                              <w:t>年，实现县级“两馆”（图书馆、文化馆）</w:t>
                            </w:r>
                            <w:r>
                              <w:rPr>
                                <w:rFonts w:ascii="楷体_GB2312" w:hAnsi="楷体" w:eastAsia="楷体_GB2312" w:cs="宋体"/>
                                <w:color w:val="000000"/>
                                <w:sz w:val="21"/>
                                <w:szCs w:val="21"/>
                              </w:rPr>
                              <w:t>60%</w:t>
                            </w:r>
                            <w:r>
                              <w:rPr>
                                <w:rFonts w:hint="eastAsia" w:ascii="楷体_GB2312" w:hAnsi="楷体" w:eastAsia="楷体_GB2312" w:cs="宋体"/>
                                <w:color w:val="000000"/>
                                <w:sz w:val="21"/>
                                <w:szCs w:val="21"/>
                              </w:rPr>
                              <w:t>以上达到二级馆标准，</w:t>
                            </w:r>
                            <w:r>
                              <w:rPr>
                                <w:rFonts w:ascii="楷体_GB2312" w:hAnsi="楷体" w:eastAsia="楷体_GB2312" w:cs="宋体"/>
                                <w:color w:val="000000"/>
                                <w:sz w:val="21"/>
                                <w:szCs w:val="21"/>
                              </w:rPr>
                              <w:t>100%</w:t>
                            </w:r>
                            <w:r>
                              <w:rPr>
                                <w:rFonts w:hint="eastAsia" w:ascii="楷体_GB2312" w:hAnsi="楷体" w:eastAsia="楷体_GB2312" w:cs="宋体"/>
                                <w:color w:val="000000"/>
                                <w:sz w:val="21"/>
                                <w:szCs w:val="21"/>
                              </w:rPr>
                              <w:t>县级“两馆”达到国家三级馆以上标准，</w:t>
                            </w:r>
                            <w:r>
                              <w:rPr>
                                <w:rFonts w:ascii="楷体_GB2312" w:hAnsi="楷体" w:eastAsia="楷体_GB2312" w:cs="宋体"/>
                                <w:color w:val="000000"/>
                                <w:sz w:val="21"/>
                                <w:szCs w:val="21"/>
                              </w:rPr>
                              <w:t>60%</w:t>
                            </w:r>
                            <w:r>
                              <w:rPr>
                                <w:rFonts w:hint="eastAsia" w:ascii="楷体_GB2312" w:hAnsi="楷体" w:eastAsia="楷体_GB2312" w:cs="宋体"/>
                                <w:color w:val="000000"/>
                                <w:sz w:val="21"/>
                                <w:szCs w:val="21"/>
                              </w:rPr>
                              <w:t>的镇（街道）文化站达到三级站以上标准。</w:t>
                            </w:r>
                          </w:p>
                          <w:p>
                            <w:pPr>
                              <w:spacing w:after="0" w:line="300" w:lineRule="exact"/>
                              <w:ind w:firstLine="420" w:firstLineChars="200"/>
                              <w:jc w:val="both"/>
                              <w:rPr>
                                <w:rFonts w:ascii="楷体_GB2312" w:hAnsi="楷体" w:eastAsia="楷体_GB2312" w:cs="宋体"/>
                                <w:color w:val="000000"/>
                                <w:sz w:val="21"/>
                                <w:szCs w:val="21"/>
                              </w:rPr>
                            </w:pPr>
                            <w:r>
                              <w:rPr>
                                <w:rFonts w:hint="eastAsia" w:ascii="楷体_GB2312" w:hAnsi="楷体" w:eastAsia="楷体_GB2312" w:cs="宋体"/>
                                <w:color w:val="000000"/>
                                <w:sz w:val="21"/>
                                <w:szCs w:val="21"/>
                              </w:rPr>
                              <w:t>文化产业增加值达到</w:t>
                            </w:r>
                            <w:r>
                              <w:rPr>
                                <w:rFonts w:ascii="楷体_GB2312" w:hAnsi="楷体" w:eastAsia="楷体_GB2312" w:cs="宋体"/>
                                <w:color w:val="000000"/>
                                <w:sz w:val="21"/>
                                <w:szCs w:val="21"/>
                              </w:rPr>
                              <w:t>180</w:t>
                            </w:r>
                            <w:r>
                              <w:rPr>
                                <w:rFonts w:hint="eastAsia" w:ascii="楷体_GB2312" w:hAnsi="楷体" w:eastAsia="楷体_GB2312" w:cs="宋体"/>
                                <w:color w:val="000000"/>
                                <w:sz w:val="21"/>
                                <w:szCs w:val="21"/>
                              </w:rPr>
                              <w:t>亿元以上，年均增长</w:t>
                            </w:r>
                            <w:r>
                              <w:rPr>
                                <w:rFonts w:ascii="楷体_GB2312" w:hAnsi="楷体" w:eastAsia="楷体_GB2312" w:cs="宋体"/>
                                <w:color w:val="000000"/>
                                <w:sz w:val="21"/>
                                <w:szCs w:val="21"/>
                              </w:rPr>
                              <w:t>25%</w:t>
                            </w:r>
                            <w:r>
                              <w:rPr>
                                <w:rFonts w:hint="eastAsia" w:ascii="楷体_GB2312" w:hAnsi="楷体" w:eastAsia="楷体_GB2312" w:cs="宋体"/>
                                <w:color w:val="000000"/>
                                <w:sz w:val="21"/>
                                <w:szCs w:val="21"/>
                              </w:rPr>
                              <w:t>以上，占国民经济比重达到</w:t>
                            </w:r>
                            <w:r>
                              <w:rPr>
                                <w:rFonts w:ascii="楷体_GB2312" w:hAnsi="楷体" w:eastAsia="楷体_GB2312" w:cs="宋体"/>
                                <w:color w:val="000000"/>
                                <w:sz w:val="21"/>
                                <w:szCs w:val="21"/>
                              </w:rPr>
                              <w:t>5%-6%</w:t>
                            </w:r>
                            <w:r>
                              <w:rPr>
                                <w:rFonts w:hint="eastAsia" w:ascii="楷体_GB2312" w:hAnsi="楷体" w:eastAsia="楷体_GB2312" w:cs="宋体"/>
                                <w:color w:val="000000"/>
                                <w:sz w:val="21"/>
                                <w:szCs w:val="21"/>
                              </w:rPr>
                              <w:t>。建成</w:t>
                            </w:r>
                            <w:r>
                              <w:rPr>
                                <w:rFonts w:ascii="楷体_GB2312" w:hAnsi="楷体" w:eastAsia="楷体_GB2312" w:cs="宋体"/>
                                <w:color w:val="000000"/>
                                <w:sz w:val="21"/>
                                <w:szCs w:val="21"/>
                              </w:rPr>
                              <w:t>5</w:t>
                            </w:r>
                            <w:r>
                              <w:rPr>
                                <w:rFonts w:hint="eastAsia" w:ascii="楷体_GB2312" w:hAnsi="楷体" w:eastAsia="楷体_GB2312" w:cs="宋体"/>
                                <w:color w:val="000000"/>
                                <w:sz w:val="21"/>
                                <w:szCs w:val="21"/>
                              </w:rPr>
                              <w:t>个国家级文化产业示范园区（基地）、</w:t>
                            </w:r>
                            <w:r>
                              <w:rPr>
                                <w:rFonts w:ascii="楷体_GB2312" w:hAnsi="楷体" w:eastAsia="楷体_GB2312" w:cs="宋体"/>
                                <w:color w:val="000000"/>
                                <w:sz w:val="21"/>
                                <w:szCs w:val="21"/>
                              </w:rPr>
                              <w:t>20</w:t>
                            </w:r>
                            <w:r>
                              <w:rPr>
                                <w:rFonts w:hint="eastAsia" w:ascii="楷体_GB2312" w:hAnsi="楷体" w:eastAsia="楷体_GB2312" w:cs="宋体"/>
                                <w:color w:val="000000"/>
                                <w:sz w:val="21"/>
                                <w:szCs w:val="21"/>
                              </w:rPr>
                              <w:t>个省级文化产业示范基地（单位），培育</w:t>
                            </w:r>
                            <w:r>
                              <w:rPr>
                                <w:rFonts w:ascii="楷体_GB2312" w:hAnsi="楷体" w:eastAsia="楷体_GB2312" w:cs="宋体"/>
                                <w:color w:val="000000"/>
                                <w:sz w:val="21"/>
                                <w:szCs w:val="21"/>
                              </w:rPr>
                              <w:t>3-5</w:t>
                            </w:r>
                            <w:r>
                              <w:rPr>
                                <w:rFonts w:hint="eastAsia" w:ascii="楷体_GB2312" w:hAnsi="楷体" w:eastAsia="楷体_GB2312" w:cs="宋体"/>
                                <w:color w:val="000000"/>
                                <w:sz w:val="21"/>
                                <w:szCs w:val="21"/>
                              </w:rPr>
                              <w:t>个以上年产值过5-</w:t>
                            </w:r>
                            <w:r>
                              <w:rPr>
                                <w:rFonts w:ascii="楷体_GB2312" w:hAnsi="楷体" w:eastAsia="楷体_GB2312" w:cs="宋体"/>
                                <w:color w:val="000000"/>
                                <w:sz w:val="21"/>
                                <w:szCs w:val="21"/>
                              </w:rPr>
                              <w:t>10</w:t>
                            </w:r>
                            <w:r>
                              <w:rPr>
                                <w:rFonts w:hint="eastAsia" w:ascii="楷体_GB2312" w:hAnsi="楷体" w:eastAsia="楷体_GB2312" w:cs="宋体"/>
                                <w:color w:val="000000"/>
                                <w:sz w:val="21"/>
                                <w:szCs w:val="21"/>
                              </w:rPr>
                              <w:t>亿元的文化企业集团。</w:t>
                            </w:r>
                          </w:p>
                          <w:p>
                            <w:pPr>
                              <w:spacing w:after="0" w:line="300" w:lineRule="exact"/>
                              <w:ind w:firstLine="420" w:firstLineChars="200"/>
                              <w:jc w:val="both"/>
                              <w:rPr>
                                <w:rFonts w:ascii="楷体_GB2312" w:hAnsi="楷体" w:eastAsia="楷体_GB2312" w:cs="宋体"/>
                                <w:color w:val="000000"/>
                                <w:sz w:val="21"/>
                                <w:szCs w:val="21"/>
                              </w:rPr>
                            </w:pPr>
                            <w:r>
                              <w:rPr>
                                <w:rFonts w:hint="eastAsia" w:ascii="楷体_GB2312" w:hAnsi="楷体" w:eastAsia="楷体_GB2312" w:cs="宋体"/>
                                <w:color w:val="000000"/>
                                <w:sz w:val="21"/>
                                <w:szCs w:val="21"/>
                              </w:rPr>
                              <w:t>全市广播与电视人口综合覆盖率均达到</w:t>
                            </w:r>
                            <w:r>
                              <w:rPr>
                                <w:rFonts w:ascii="楷体_GB2312" w:hAnsi="楷体" w:eastAsia="楷体_GB2312" w:cs="宋体"/>
                                <w:color w:val="000000"/>
                                <w:sz w:val="21"/>
                                <w:szCs w:val="21"/>
                              </w:rPr>
                              <w:t>100</w:t>
                            </w:r>
                            <w:r>
                              <w:rPr>
                                <w:rFonts w:hint="eastAsia" w:ascii="楷体_GB2312" w:hAnsi="楷体" w:eastAsia="楷体_GB2312" w:cs="宋体"/>
                                <w:color w:val="000000"/>
                                <w:sz w:val="21"/>
                                <w:szCs w:val="21"/>
                              </w:rPr>
                              <w:t>％。全面解决</w:t>
                            </w:r>
                            <w:r>
                              <w:rPr>
                                <w:rFonts w:ascii="楷体_GB2312" w:hAnsi="楷体" w:eastAsia="楷体_GB2312" w:cs="宋体"/>
                                <w:color w:val="000000"/>
                                <w:sz w:val="21"/>
                                <w:szCs w:val="21"/>
                              </w:rPr>
                              <w:t>20</w:t>
                            </w:r>
                            <w:r>
                              <w:rPr>
                                <w:rFonts w:hint="eastAsia" w:ascii="楷体_GB2312" w:hAnsi="楷体" w:eastAsia="楷体_GB2312" w:cs="宋体"/>
                                <w:color w:val="000000"/>
                                <w:sz w:val="21"/>
                                <w:szCs w:val="21"/>
                              </w:rPr>
                              <w:t>户以下已通电自然村盲村广播电视覆盖，做好“户户通”乡镇标准化服务站建设工作。</w:t>
                            </w:r>
                          </w:p>
                          <w:p>
                            <w:pPr>
                              <w:spacing w:after="0" w:line="300" w:lineRule="exact"/>
                              <w:ind w:firstLine="420" w:firstLineChars="200"/>
                              <w:jc w:val="both"/>
                              <w:rPr>
                                <w:rFonts w:ascii="楷体_GB2312" w:hAnsi="楷体" w:eastAsia="楷体_GB2312" w:cs="宋体"/>
                                <w:color w:val="000000"/>
                                <w:sz w:val="21"/>
                                <w:szCs w:val="21"/>
                              </w:rPr>
                            </w:pPr>
                          </w:p>
                        </w:txbxContent>
                      </wps:txbx>
                      <wps:bodyPr wrap="square" upright="1"/>
                    </wps:wsp>
                  </a:graphicData>
                </a:graphic>
              </wp:anchor>
            </w:drawing>
          </mc:Choice>
          <mc:Fallback>
            <w:pict>
              <v:shape id="文本框 73" o:spid="_x0000_s1026" o:spt="202" type="#_x0000_t202" style="position:absolute;left:0pt;margin-left:1.35pt;margin-top:422.55pt;height:193.8pt;width:441pt;mso-wrap-distance-bottom:0pt;mso-wrap-distance-left:9pt;mso-wrap-distance-right:9pt;mso-wrap-distance-top:0pt;z-index:251685888;mso-width-relative:page;mso-height-relative:page;" fillcolor="#FFFFFF" filled="t" stroked="t" coordsize="21600,21600" o:gfxdata="UEsDBAoAAAAAAIdO4kAAAAAAAAAAAAAAAAAEAAAAZHJzL1BLAwQUAAAACACHTuJACx/mJtcAAAAK&#10;AQAADwAAAGRycy9kb3ducmV2LnhtbE2PwU7DMAyG70i8Q2QkLoil7cZWStMdkEBwg4HgmjVeW5E4&#10;Jcm68fZ4Jzja/6fPv+v10VkxYYiDJwX5LAOB1HozUKfg/e3hugQRkyajrSdU8IMR1s35Wa0r4w/0&#10;itMmdYIlFCutoE9prKSMbY9Ox5kfkTjb+eB04jF00gR9YLmzssiypXR6IL7Q6xHve2y/NnunoFw8&#10;TZ/xef7y0S539jZdrabH76DU5UWe3YFIeEx/MJzqc3VouNPW78lEYRUUKwZPqpscBOdlueDNlsFi&#10;zplsavn/heYXUEsDBBQAAAAIAIdO4kDgpXpIGQIAAEcEAAAOAAAAZHJzL2Uyb0RvYy54bWytU02u&#10;0zAQ3iNxB8t7mjTQPoiaPglK2SBAenCAqe0klvyH7TbpBeAGrNiw51w9B2O3r+8HFl2QhTP2jL+Z&#10;75vx4nrUiuyED9Kahk4nJSXCMMul6Rr65fP62UtKQgTDQVkjGroXgV4vnz5ZDK4Wle2t4sITBDGh&#10;HlxD+xhdXRSB9UJDmFgnDDpb6zVE3Pqu4B4GRNeqqMpyXgzWc+ctEyHg6eropCdEfwmgbVvJxMqy&#10;rRYmHlG9UBCRUuilC3SZq21bweLHtg0iEtVQZBrziknQ3qS1WC6g7jy4XrJTCXBJCY84aZAGk56h&#10;VhCBbL38C0pL5m2wbZwwq4sjkawIspiWj7S56cGJzAWlDu4sevh/sOzD7pMnkje0uqLEgMaOH358&#10;P/z8ffj1jVw9TwINLtQYd+MwMo6v7Yhjc3se8DDxHluv0x8ZEfSjvPuzvGKMhOHhbF6WVyW6GPqq&#10;F/NpNc8NKO6uOx/iO2E1SUZDPfYvywq79yFiKRh6G5KyBaskX0ul8sZ3mzfKkx1gr9f5S1XilQdh&#10;ypChoa9m1QwLARzgFgcHTe1QhGC6nO/BjXAfuMzfv4BTYSsI/bGAjJDCoNYyCp+tXgB/aziJe4c6&#10;G3xfNBWjBadECXyOycqREaS6JBLZKYMkU4+OvUhWHDcjwiRzY/ke+zbgiCO9r1vwmHPrvOx6FDj3&#10;MV/G+cpand5CGuD7+5zi7v0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H+Ym1wAAAAoBAAAP&#10;AAAAAAAAAAEAIAAAACIAAABkcnMvZG93bnJldi54bWxQSwECFAAUAAAACACHTuJA4KV6SBkCAABH&#10;BAAADgAAAAAAAAABACAAAAAmAQAAZHJzL2Uyb0RvYy54bWxQSwUGAAAAAAYABgBZAQAAsQUAAAAA&#10;">
                <v:fill on="t" focussize="0,0"/>
                <v:stroke color="#000000" joinstyle="miter"/>
                <v:imagedata o:title=""/>
                <o:lock v:ext="edit" aspectratio="f"/>
                <v:textbox>
                  <w:txbxContent>
                    <w:p>
                      <w:pPr>
                        <w:spacing w:after="0" w:line="300" w:lineRule="exact"/>
                        <w:rPr>
                          <w:rFonts w:hint="eastAsia" w:ascii="黑体" w:hAnsi="黑体" w:eastAsia="黑体" w:cs="宋体"/>
                          <w:b/>
                          <w:color w:val="000000"/>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8</w:t>
                      </w:r>
                    </w:p>
                    <w:p>
                      <w:pPr>
                        <w:spacing w:after="0" w:line="300" w:lineRule="exact"/>
                        <w:jc w:val="center"/>
                        <w:rPr>
                          <w:rFonts w:ascii="楷体" w:hAnsi="楷体" w:eastAsia="楷体" w:cs="宋体"/>
                          <w:b/>
                          <w:color w:val="000000"/>
                          <w:sz w:val="21"/>
                          <w:szCs w:val="21"/>
                        </w:rPr>
                      </w:pPr>
                      <w:r>
                        <w:rPr>
                          <w:rFonts w:hint="eastAsia" w:ascii="黑体" w:hAnsi="黑体" w:eastAsia="黑体" w:cs="宋体"/>
                          <w:b/>
                          <w:color w:val="000000"/>
                          <w:sz w:val="21"/>
                          <w:szCs w:val="21"/>
                        </w:rPr>
                        <w:t>公共文化服务体系建设重点</w:t>
                      </w:r>
                    </w:p>
                    <w:p>
                      <w:pPr>
                        <w:spacing w:after="0" w:line="300" w:lineRule="exact"/>
                        <w:ind w:firstLine="420" w:firstLineChars="200"/>
                        <w:jc w:val="both"/>
                        <w:rPr>
                          <w:rFonts w:ascii="楷体_GB2312" w:hAnsi="楷体" w:eastAsia="楷体_GB2312" w:cs="宋体"/>
                          <w:color w:val="000000"/>
                          <w:sz w:val="21"/>
                          <w:szCs w:val="21"/>
                        </w:rPr>
                      </w:pPr>
                      <w:r>
                        <w:rPr>
                          <w:rFonts w:hint="eastAsia" w:ascii="楷体_GB2312" w:hAnsi="楷体" w:eastAsia="楷体_GB2312" w:cs="宋体"/>
                          <w:color w:val="000000"/>
                          <w:sz w:val="21"/>
                          <w:szCs w:val="21"/>
                        </w:rPr>
                        <w:t>到</w:t>
                      </w:r>
                      <w:r>
                        <w:rPr>
                          <w:rFonts w:ascii="楷体_GB2312" w:hAnsi="楷体" w:eastAsia="楷体_GB2312" w:cs="宋体"/>
                          <w:color w:val="000000"/>
                          <w:sz w:val="21"/>
                          <w:szCs w:val="21"/>
                        </w:rPr>
                        <w:t>2020</w:t>
                      </w:r>
                      <w:r>
                        <w:rPr>
                          <w:rFonts w:hint="eastAsia" w:ascii="楷体_GB2312" w:hAnsi="楷体" w:eastAsia="楷体_GB2312" w:cs="宋体"/>
                          <w:color w:val="000000"/>
                          <w:sz w:val="21"/>
                          <w:szCs w:val="21"/>
                        </w:rPr>
                        <w:t>年，全市</w:t>
                      </w:r>
                      <w:r>
                        <w:rPr>
                          <w:rFonts w:ascii="楷体_GB2312" w:hAnsi="楷体" w:eastAsia="楷体_GB2312" w:cs="宋体"/>
                          <w:color w:val="000000"/>
                          <w:sz w:val="21"/>
                          <w:szCs w:val="21"/>
                        </w:rPr>
                        <w:t>100%</w:t>
                      </w:r>
                      <w:r>
                        <w:rPr>
                          <w:rFonts w:hint="eastAsia" w:ascii="楷体_GB2312" w:hAnsi="楷体" w:eastAsia="楷体_GB2312" w:cs="宋体"/>
                          <w:color w:val="000000"/>
                          <w:sz w:val="21"/>
                          <w:szCs w:val="21"/>
                        </w:rPr>
                        <w:t>的县（区）达到省级文化先进县，</w:t>
                      </w:r>
                      <w:r>
                        <w:rPr>
                          <w:rFonts w:ascii="楷体_GB2312" w:hAnsi="楷体" w:eastAsia="楷体_GB2312" w:cs="宋体"/>
                          <w:color w:val="000000"/>
                          <w:sz w:val="21"/>
                          <w:szCs w:val="21"/>
                        </w:rPr>
                        <w:t>50%</w:t>
                      </w:r>
                      <w:r>
                        <w:rPr>
                          <w:rFonts w:hint="eastAsia" w:ascii="楷体_GB2312" w:hAnsi="楷体" w:eastAsia="楷体_GB2312" w:cs="宋体"/>
                          <w:color w:val="000000"/>
                          <w:sz w:val="21"/>
                          <w:szCs w:val="21"/>
                        </w:rPr>
                        <w:t>的县（区）达到国家级文化先进县。实现公共文化场馆全时段、零门槛、无障碍向社会免费开放。全市人均公共图书馆藏书量大于</w:t>
                      </w:r>
                      <w:r>
                        <w:rPr>
                          <w:rFonts w:ascii="楷体_GB2312" w:hAnsi="楷体" w:eastAsia="楷体_GB2312" w:cs="宋体"/>
                          <w:color w:val="000000"/>
                          <w:sz w:val="21"/>
                          <w:szCs w:val="21"/>
                        </w:rPr>
                        <w:t>0.6</w:t>
                      </w:r>
                      <w:r>
                        <w:rPr>
                          <w:rFonts w:hint="eastAsia" w:ascii="楷体_GB2312" w:hAnsi="楷体" w:eastAsia="楷体_GB2312" w:cs="宋体"/>
                          <w:color w:val="000000"/>
                          <w:sz w:val="21"/>
                          <w:szCs w:val="21"/>
                        </w:rPr>
                        <w:t>册</w:t>
                      </w:r>
                      <w:r>
                        <w:rPr>
                          <w:rFonts w:ascii="楷体_GB2312" w:hAnsi="楷体" w:eastAsia="楷体_GB2312" w:cs="宋体"/>
                          <w:color w:val="000000"/>
                          <w:sz w:val="21"/>
                          <w:szCs w:val="21"/>
                        </w:rPr>
                        <w:t>,</w:t>
                      </w:r>
                      <w:r>
                        <w:rPr>
                          <w:rFonts w:hint="eastAsia" w:ascii="楷体_GB2312" w:hAnsi="楷体" w:eastAsia="楷体_GB2312" w:cs="宋体"/>
                          <w:color w:val="000000"/>
                          <w:sz w:val="21"/>
                          <w:szCs w:val="21"/>
                        </w:rPr>
                        <w:t>人均购书经费和文化活动经费达到</w:t>
                      </w:r>
                      <w:r>
                        <w:rPr>
                          <w:rFonts w:ascii="楷体_GB2312" w:hAnsi="楷体" w:eastAsia="楷体_GB2312" w:cs="宋体"/>
                          <w:color w:val="000000"/>
                          <w:sz w:val="21"/>
                          <w:szCs w:val="21"/>
                        </w:rPr>
                        <w:t>1.2</w:t>
                      </w:r>
                      <w:r>
                        <w:rPr>
                          <w:rFonts w:hint="eastAsia" w:ascii="楷体_GB2312" w:hAnsi="楷体" w:eastAsia="楷体_GB2312" w:cs="宋体"/>
                          <w:color w:val="000000"/>
                          <w:sz w:val="21"/>
                          <w:szCs w:val="21"/>
                        </w:rPr>
                        <w:t>元</w:t>
                      </w:r>
                      <w:r>
                        <w:rPr>
                          <w:rFonts w:ascii="楷体_GB2312" w:hAnsi="楷体" w:eastAsia="楷体_GB2312" w:cs="宋体"/>
                          <w:color w:val="000000"/>
                          <w:sz w:val="21"/>
                          <w:szCs w:val="21"/>
                        </w:rPr>
                        <w:t>/</w:t>
                      </w:r>
                      <w:r>
                        <w:rPr>
                          <w:rFonts w:hint="eastAsia" w:ascii="楷体_GB2312" w:hAnsi="楷体" w:eastAsia="楷体_GB2312" w:cs="宋体"/>
                          <w:color w:val="000000"/>
                          <w:sz w:val="21"/>
                          <w:szCs w:val="21"/>
                        </w:rPr>
                        <w:t>年，实现县级“两馆”（图书馆、文化馆）</w:t>
                      </w:r>
                      <w:r>
                        <w:rPr>
                          <w:rFonts w:ascii="楷体_GB2312" w:hAnsi="楷体" w:eastAsia="楷体_GB2312" w:cs="宋体"/>
                          <w:color w:val="000000"/>
                          <w:sz w:val="21"/>
                          <w:szCs w:val="21"/>
                        </w:rPr>
                        <w:t>60%</w:t>
                      </w:r>
                      <w:r>
                        <w:rPr>
                          <w:rFonts w:hint="eastAsia" w:ascii="楷体_GB2312" w:hAnsi="楷体" w:eastAsia="楷体_GB2312" w:cs="宋体"/>
                          <w:color w:val="000000"/>
                          <w:sz w:val="21"/>
                          <w:szCs w:val="21"/>
                        </w:rPr>
                        <w:t>以上达到二级馆标准，</w:t>
                      </w:r>
                      <w:r>
                        <w:rPr>
                          <w:rFonts w:ascii="楷体_GB2312" w:hAnsi="楷体" w:eastAsia="楷体_GB2312" w:cs="宋体"/>
                          <w:color w:val="000000"/>
                          <w:sz w:val="21"/>
                          <w:szCs w:val="21"/>
                        </w:rPr>
                        <w:t>100%</w:t>
                      </w:r>
                      <w:r>
                        <w:rPr>
                          <w:rFonts w:hint="eastAsia" w:ascii="楷体_GB2312" w:hAnsi="楷体" w:eastAsia="楷体_GB2312" w:cs="宋体"/>
                          <w:color w:val="000000"/>
                          <w:sz w:val="21"/>
                          <w:szCs w:val="21"/>
                        </w:rPr>
                        <w:t>县级“两馆”达到国家三级馆以上标准，</w:t>
                      </w:r>
                      <w:r>
                        <w:rPr>
                          <w:rFonts w:ascii="楷体_GB2312" w:hAnsi="楷体" w:eastAsia="楷体_GB2312" w:cs="宋体"/>
                          <w:color w:val="000000"/>
                          <w:sz w:val="21"/>
                          <w:szCs w:val="21"/>
                        </w:rPr>
                        <w:t>60%</w:t>
                      </w:r>
                      <w:r>
                        <w:rPr>
                          <w:rFonts w:hint="eastAsia" w:ascii="楷体_GB2312" w:hAnsi="楷体" w:eastAsia="楷体_GB2312" w:cs="宋体"/>
                          <w:color w:val="000000"/>
                          <w:sz w:val="21"/>
                          <w:szCs w:val="21"/>
                        </w:rPr>
                        <w:t>的镇（街道）文化站达到三级站以上标准。</w:t>
                      </w:r>
                    </w:p>
                    <w:p>
                      <w:pPr>
                        <w:spacing w:after="0" w:line="300" w:lineRule="exact"/>
                        <w:ind w:firstLine="420" w:firstLineChars="200"/>
                        <w:jc w:val="both"/>
                        <w:rPr>
                          <w:rFonts w:ascii="楷体_GB2312" w:hAnsi="楷体" w:eastAsia="楷体_GB2312" w:cs="宋体"/>
                          <w:color w:val="000000"/>
                          <w:sz w:val="21"/>
                          <w:szCs w:val="21"/>
                        </w:rPr>
                      </w:pPr>
                      <w:r>
                        <w:rPr>
                          <w:rFonts w:hint="eastAsia" w:ascii="楷体_GB2312" w:hAnsi="楷体" w:eastAsia="楷体_GB2312" w:cs="宋体"/>
                          <w:color w:val="000000"/>
                          <w:sz w:val="21"/>
                          <w:szCs w:val="21"/>
                        </w:rPr>
                        <w:t>文化产业增加值达到</w:t>
                      </w:r>
                      <w:r>
                        <w:rPr>
                          <w:rFonts w:ascii="楷体_GB2312" w:hAnsi="楷体" w:eastAsia="楷体_GB2312" w:cs="宋体"/>
                          <w:color w:val="000000"/>
                          <w:sz w:val="21"/>
                          <w:szCs w:val="21"/>
                        </w:rPr>
                        <w:t>180</w:t>
                      </w:r>
                      <w:r>
                        <w:rPr>
                          <w:rFonts w:hint="eastAsia" w:ascii="楷体_GB2312" w:hAnsi="楷体" w:eastAsia="楷体_GB2312" w:cs="宋体"/>
                          <w:color w:val="000000"/>
                          <w:sz w:val="21"/>
                          <w:szCs w:val="21"/>
                        </w:rPr>
                        <w:t>亿元以上，年均增长</w:t>
                      </w:r>
                      <w:r>
                        <w:rPr>
                          <w:rFonts w:ascii="楷体_GB2312" w:hAnsi="楷体" w:eastAsia="楷体_GB2312" w:cs="宋体"/>
                          <w:color w:val="000000"/>
                          <w:sz w:val="21"/>
                          <w:szCs w:val="21"/>
                        </w:rPr>
                        <w:t>25%</w:t>
                      </w:r>
                      <w:r>
                        <w:rPr>
                          <w:rFonts w:hint="eastAsia" w:ascii="楷体_GB2312" w:hAnsi="楷体" w:eastAsia="楷体_GB2312" w:cs="宋体"/>
                          <w:color w:val="000000"/>
                          <w:sz w:val="21"/>
                          <w:szCs w:val="21"/>
                        </w:rPr>
                        <w:t>以上，占国民经济比重达到</w:t>
                      </w:r>
                      <w:r>
                        <w:rPr>
                          <w:rFonts w:ascii="楷体_GB2312" w:hAnsi="楷体" w:eastAsia="楷体_GB2312" w:cs="宋体"/>
                          <w:color w:val="000000"/>
                          <w:sz w:val="21"/>
                          <w:szCs w:val="21"/>
                        </w:rPr>
                        <w:t>5%-6%</w:t>
                      </w:r>
                      <w:r>
                        <w:rPr>
                          <w:rFonts w:hint="eastAsia" w:ascii="楷体_GB2312" w:hAnsi="楷体" w:eastAsia="楷体_GB2312" w:cs="宋体"/>
                          <w:color w:val="000000"/>
                          <w:sz w:val="21"/>
                          <w:szCs w:val="21"/>
                        </w:rPr>
                        <w:t>。建成</w:t>
                      </w:r>
                      <w:r>
                        <w:rPr>
                          <w:rFonts w:ascii="楷体_GB2312" w:hAnsi="楷体" w:eastAsia="楷体_GB2312" w:cs="宋体"/>
                          <w:color w:val="000000"/>
                          <w:sz w:val="21"/>
                          <w:szCs w:val="21"/>
                        </w:rPr>
                        <w:t>5</w:t>
                      </w:r>
                      <w:r>
                        <w:rPr>
                          <w:rFonts w:hint="eastAsia" w:ascii="楷体_GB2312" w:hAnsi="楷体" w:eastAsia="楷体_GB2312" w:cs="宋体"/>
                          <w:color w:val="000000"/>
                          <w:sz w:val="21"/>
                          <w:szCs w:val="21"/>
                        </w:rPr>
                        <w:t>个国家级文化产业示范园区（基地）、</w:t>
                      </w:r>
                      <w:r>
                        <w:rPr>
                          <w:rFonts w:ascii="楷体_GB2312" w:hAnsi="楷体" w:eastAsia="楷体_GB2312" w:cs="宋体"/>
                          <w:color w:val="000000"/>
                          <w:sz w:val="21"/>
                          <w:szCs w:val="21"/>
                        </w:rPr>
                        <w:t>20</w:t>
                      </w:r>
                      <w:r>
                        <w:rPr>
                          <w:rFonts w:hint="eastAsia" w:ascii="楷体_GB2312" w:hAnsi="楷体" w:eastAsia="楷体_GB2312" w:cs="宋体"/>
                          <w:color w:val="000000"/>
                          <w:sz w:val="21"/>
                          <w:szCs w:val="21"/>
                        </w:rPr>
                        <w:t>个省级文化产业示范基地（单位），培育</w:t>
                      </w:r>
                      <w:r>
                        <w:rPr>
                          <w:rFonts w:ascii="楷体_GB2312" w:hAnsi="楷体" w:eastAsia="楷体_GB2312" w:cs="宋体"/>
                          <w:color w:val="000000"/>
                          <w:sz w:val="21"/>
                          <w:szCs w:val="21"/>
                        </w:rPr>
                        <w:t>3-5</w:t>
                      </w:r>
                      <w:r>
                        <w:rPr>
                          <w:rFonts w:hint="eastAsia" w:ascii="楷体_GB2312" w:hAnsi="楷体" w:eastAsia="楷体_GB2312" w:cs="宋体"/>
                          <w:color w:val="000000"/>
                          <w:sz w:val="21"/>
                          <w:szCs w:val="21"/>
                        </w:rPr>
                        <w:t>个以上年产值过5-</w:t>
                      </w:r>
                      <w:r>
                        <w:rPr>
                          <w:rFonts w:ascii="楷体_GB2312" w:hAnsi="楷体" w:eastAsia="楷体_GB2312" w:cs="宋体"/>
                          <w:color w:val="000000"/>
                          <w:sz w:val="21"/>
                          <w:szCs w:val="21"/>
                        </w:rPr>
                        <w:t>10</w:t>
                      </w:r>
                      <w:r>
                        <w:rPr>
                          <w:rFonts w:hint="eastAsia" w:ascii="楷体_GB2312" w:hAnsi="楷体" w:eastAsia="楷体_GB2312" w:cs="宋体"/>
                          <w:color w:val="000000"/>
                          <w:sz w:val="21"/>
                          <w:szCs w:val="21"/>
                        </w:rPr>
                        <w:t>亿元的文化企业集团。</w:t>
                      </w:r>
                    </w:p>
                    <w:p>
                      <w:pPr>
                        <w:spacing w:after="0" w:line="300" w:lineRule="exact"/>
                        <w:ind w:firstLine="420" w:firstLineChars="200"/>
                        <w:jc w:val="both"/>
                        <w:rPr>
                          <w:rFonts w:ascii="楷体_GB2312" w:hAnsi="楷体" w:eastAsia="楷体_GB2312" w:cs="宋体"/>
                          <w:color w:val="000000"/>
                          <w:sz w:val="21"/>
                          <w:szCs w:val="21"/>
                        </w:rPr>
                      </w:pPr>
                      <w:r>
                        <w:rPr>
                          <w:rFonts w:hint="eastAsia" w:ascii="楷体_GB2312" w:hAnsi="楷体" w:eastAsia="楷体_GB2312" w:cs="宋体"/>
                          <w:color w:val="000000"/>
                          <w:sz w:val="21"/>
                          <w:szCs w:val="21"/>
                        </w:rPr>
                        <w:t>全市广播与电视人口综合覆盖率均达到</w:t>
                      </w:r>
                      <w:r>
                        <w:rPr>
                          <w:rFonts w:ascii="楷体_GB2312" w:hAnsi="楷体" w:eastAsia="楷体_GB2312" w:cs="宋体"/>
                          <w:color w:val="000000"/>
                          <w:sz w:val="21"/>
                          <w:szCs w:val="21"/>
                        </w:rPr>
                        <w:t>100</w:t>
                      </w:r>
                      <w:r>
                        <w:rPr>
                          <w:rFonts w:hint="eastAsia" w:ascii="楷体_GB2312" w:hAnsi="楷体" w:eastAsia="楷体_GB2312" w:cs="宋体"/>
                          <w:color w:val="000000"/>
                          <w:sz w:val="21"/>
                          <w:szCs w:val="21"/>
                        </w:rPr>
                        <w:t>％。全面解决</w:t>
                      </w:r>
                      <w:r>
                        <w:rPr>
                          <w:rFonts w:ascii="楷体_GB2312" w:hAnsi="楷体" w:eastAsia="楷体_GB2312" w:cs="宋体"/>
                          <w:color w:val="000000"/>
                          <w:sz w:val="21"/>
                          <w:szCs w:val="21"/>
                        </w:rPr>
                        <w:t>20</w:t>
                      </w:r>
                      <w:r>
                        <w:rPr>
                          <w:rFonts w:hint="eastAsia" w:ascii="楷体_GB2312" w:hAnsi="楷体" w:eastAsia="楷体_GB2312" w:cs="宋体"/>
                          <w:color w:val="000000"/>
                          <w:sz w:val="21"/>
                          <w:szCs w:val="21"/>
                        </w:rPr>
                        <w:t>户以下已通电自然村盲村广播电视覆盖，做好“户户通”乡镇标准化服务站建设工作。</w:t>
                      </w:r>
                    </w:p>
                    <w:p>
                      <w:pPr>
                        <w:spacing w:after="0" w:line="300" w:lineRule="exact"/>
                        <w:ind w:firstLine="420" w:firstLineChars="200"/>
                        <w:jc w:val="both"/>
                        <w:rPr>
                          <w:rFonts w:ascii="楷体_GB2312" w:hAnsi="楷体" w:eastAsia="楷体_GB2312" w:cs="宋体"/>
                          <w:color w:val="000000"/>
                          <w:sz w:val="21"/>
                          <w:szCs w:val="21"/>
                        </w:rPr>
                      </w:pPr>
                    </w:p>
                  </w:txbxContent>
                </v:textbox>
                <w10:wrap type="square"/>
              </v:shape>
            </w:pict>
          </mc:Fallback>
        </mc:AlternateContent>
      </w:r>
      <w:r>
        <w:rPr>
          <w:rFonts w:hint="eastAsia" w:ascii="仿宋_GB2312" w:hAnsi="宋体" w:eastAsia="仿宋_GB2312" w:cs="宋体"/>
          <w:sz w:val="32"/>
          <w:szCs w:val="32"/>
        </w:rPr>
        <w:t>播电视村村通工程”，全面解决</w:t>
      </w:r>
      <w:r>
        <w:rPr>
          <w:rFonts w:ascii="仿宋_GB2312" w:hAnsi="宋体" w:eastAsia="仿宋_GB2312" w:cs="宋体"/>
          <w:sz w:val="32"/>
          <w:szCs w:val="32"/>
        </w:rPr>
        <w:t>20</w:t>
      </w:r>
      <w:r>
        <w:rPr>
          <w:rFonts w:hint="eastAsia" w:ascii="仿宋_GB2312" w:hAnsi="宋体" w:eastAsia="仿宋_GB2312" w:cs="宋体"/>
          <w:sz w:val="32"/>
          <w:szCs w:val="32"/>
        </w:rPr>
        <w:t>户以下已通电自然村广播电视覆盖。</w:t>
      </w:r>
    </w:p>
    <w:p>
      <w:pPr>
        <w:widowControl w:val="0"/>
        <w:spacing w:after="0" w:line="600" w:lineRule="exact"/>
        <w:jc w:val="center"/>
        <w:rPr>
          <w:rFonts w:ascii="楷体_GB2312" w:hAnsi="楷体" w:eastAsia="楷体_GB2312"/>
          <w:b/>
          <w:sz w:val="32"/>
          <w:szCs w:val="32"/>
        </w:rPr>
      </w:pPr>
    </w:p>
    <w:p>
      <w:pPr>
        <w:widowControl w:val="0"/>
        <w:spacing w:after="0" w:line="600" w:lineRule="exact"/>
        <w:jc w:val="center"/>
        <w:rPr>
          <w:rFonts w:ascii="楷体_GB2312" w:hAnsi="楷体" w:eastAsia="楷体_GB2312"/>
          <w:b/>
          <w:sz w:val="32"/>
          <w:szCs w:val="32"/>
        </w:rPr>
      </w:pPr>
    </w:p>
    <w:p>
      <w:pPr>
        <w:widowControl w:val="0"/>
        <w:spacing w:after="0" w:line="600" w:lineRule="exact"/>
        <w:jc w:val="center"/>
        <w:rPr>
          <w:rFonts w:ascii="楷体_GB2312" w:hAnsi="楷体" w:eastAsia="楷体_GB2312"/>
          <w:b/>
          <w:sz w:val="32"/>
          <w:szCs w:val="32"/>
        </w:rPr>
      </w:pPr>
    </w:p>
    <w:p>
      <w:pPr>
        <w:widowControl w:val="0"/>
        <w:spacing w:after="0" w:line="600" w:lineRule="exact"/>
        <w:jc w:val="center"/>
        <w:rPr>
          <w:rFonts w:ascii="楷体_GB2312" w:hAnsi="楷体" w:eastAsia="楷体_GB2312"/>
          <w:b/>
          <w:sz w:val="32"/>
          <w:szCs w:val="32"/>
        </w:rPr>
      </w:pPr>
      <w:r>
        <w:rPr>
          <w:rFonts w:hint="eastAsia" w:ascii="楷体_GB2312" w:hAnsi="楷体" w:eastAsia="楷体_GB2312"/>
          <w:b/>
          <w:sz w:val="32"/>
          <w:szCs w:val="32"/>
        </w:rPr>
        <w:t>第二节</w:t>
      </w:r>
      <w:r>
        <w:rPr>
          <w:rFonts w:ascii="楷体_GB2312" w:hAnsi="楷体" w:eastAsia="楷体_GB2312"/>
          <w:b/>
          <w:sz w:val="32"/>
          <w:szCs w:val="32"/>
        </w:rPr>
        <w:t xml:space="preserve">  </w:t>
      </w:r>
      <w:r>
        <w:rPr>
          <w:rFonts w:hint="eastAsia" w:ascii="楷体_GB2312" w:hAnsi="楷体" w:eastAsia="楷体_GB2312"/>
          <w:b/>
          <w:sz w:val="32"/>
          <w:szCs w:val="32"/>
        </w:rPr>
        <w:t>创新公共文化建设扶持机制</w:t>
      </w:r>
    </w:p>
    <w:p>
      <w:pPr>
        <w:widowControl w:val="0"/>
        <w:spacing w:after="0" w:line="600" w:lineRule="exact"/>
        <w:ind w:firstLine="643" w:firstLineChars="200"/>
        <w:jc w:val="both"/>
        <w:rPr>
          <w:rFonts w:ascii="仿宋_GB2312" w:eastAsia="仿宋_GB2312"/>
          <w:sz w:val="32"/>
          <w:szCs w:val="32"/>
        </w:rPr>
      </w:pPr>
      <w:r>
        <w:rPr>
          <w:rFonts w:hint="eastAsia" w:ascii="仿宋_GB2312" w:eastAsia="仿宋_GB2312"/>
          <w:b/>
          <w:sz w:val="32"/>
          <w:szCs w:val="32"/>
        </w:rPr>
        <w:t>加强</w:t>
      </w:r>
      <w:r>
        <w:rPr>
          <w:rFonts w:hint="eastAsia" w:ascii="仿宋_GB2312" w:hAnsi="宋体" w:eastAsia="仿宋_GB2312" w:cs="宋体"/>
          <w:b/>
          <w:sz w:val="32"/>
          <w:szCs w:val="32"/>
        </w:rPr>
        <w:t>文化人才队伍建设。</w:t>
      </w:r>
      <w:r>
        <w:rPr>
          <w:rFonts w:hint="eastAsia" w:ascii="仿宋_GB2312" w:hAnsi="宋体" w:eastAsia="仿宋_GB2312"/>
          <w:sz w:val="32"/>
          <w:szCs w:val="32"/>
        </w:rPr>
        <w:t>把文化人才培养放在文化产业发展的首要位置，造就一批文化创意产业领域的领军人物。加强在职培训，逐步建立教育培训和岗位实践相结合的文化创意人才培养机制。不断完善文化创意人才的职业培训体系，提高文化创意人才培养的针对性和实用性，满足文化创意产业发展过程中实用人才的需求。</w:t>
      </w:r>
      <w:r>
        <w:rPr>
          <w:rFonts w:hint="eastAsia" w:ascii="仿宋_GB2312" w:hAnsi="宋体" w:eastAsia="仿宋_GB2312" w:cs="宋体"/>
          <w:sz w:val="32"/>
          <w:szCs w:val="32"/>
        </w:rPr>
        <w:t>培养文化领域创新型、复合型、外向型、科技型新型人才，壮大宝鸡文化名家和领军人物队伍。加快培养一支贴近群众、扎根基层的乡土文化能人和民族民间文化传承人队伍。</w:t>
      </w:r>
    </w:p>
    <w:p>
      <w:pPr>
        <w:widowControl w:val="0"/>
        <w:spacing w:after="0" w:line="600" w:lineRule="exact"/>
        <w:ind w:firstLine="803" w:firstLineChars="250"/>
        <w:jc w:val="both"/>
        <w:rPr>
          <w:rFonts w:ascii="仿宋_GB2312" w:hAnsi="宋体" w:eastAsia="仿宋_GB2312" w:cs="宋体"/>
          <w:sz w:val="32"/>
          <w:szCs w:val="32"/>
        </w:rPr>
      </w:pPr>
      <w:r>
        <w:rPr>
          <w:rFonts w:hint="eastAsia" w:ascii="仿宋_GB2312" w:hAnsi="宋体" w:eastAsia="仿宋_GB2312"/>
          <w:b/>
          <w:sz w:val="32"/>
          <w:szCs w:val="32"/>
        </w:rPr>
        <w:t>建立文化产业发展</w:t>
      </w:r>
      <w:r>
        <w:rPr>
          <w:rFonts w:hint="eastAsia" w:ascii="仿宋_GB2312" w:eastAsia="仿宋_GB2312"/>
          <w:b/>
          <w:sz w:val="32"/>
          <w:szCs w:val="32"/>
        </w:rPr>
        <w:t>激励机制。</w:t>
      </w:r>
      <w:r>
        <w:rPr>
          <w:rFonts w:hint="eastAsia" w:ascii="仿宋_GB2312" w:hAnsi="宋体" w:eastAsia="仿宋_GB2312"/>
          <w:sz w:val="32"/>
          <w:szCs w:val="32"/>
        </w:rPr>
        <w:t>制定文化产业集群发展的相关政策，扶持文化产业、特别是创意产业发展。进一步放宽市场准入，降低准入门槛，简化准入程序。支持动漫、电子、网络游戏业，出版发行业，广播影视、数字电视、音像制品业，演艺、会展业，文化旅游业等领域的文化企业发展壮大。</w:t>
      </w:r>
      <w:r>
        <w:rPr>
          <w:rFonts w:hint="eastAsia" w:ascii="仿宋_GB2312" w:eastAsia="仿宋_GB2312"/>
          <w:sz w:val="32"/>
          <w:szCs w:val="32"/>
        </w:rPr>
        <w:t>建立文化产业项目融资担保机构,健全公共文化服务的资金保障体系</w:t>
      </w:r>
      <w:r>
        <w:rPr>
          <w:rFonts w:hint="eastAsia" w:ascii="仿宋_GB2312" w:hAnsi="宋体" w:eastAsia="仿宋_GB2312"/>
          <w:sz w:val="32"/>
          <w:szCs w:val="32"/>
        </w:rPr>
        <w:t>，完善文化产业发展专项基金的相关政策,</w:t>
      </w:r>
      <w:r>
        <w:rPr>
          <w:rFonts w:hint="eastAsia" w:ascii="Times New Roman" w:hAnsi="Times New Roman" w:eastAsia="仿宋_GB2312"/>
          <w:sz w:val="32"/>
          <w:szCs w:val="32"/>
        </w:rPr>
        <w:t>对获得国家、省、市文化产业园</w:t>
      </w:r>
      <w:r>
        <w:rPr>
          <w:rFonts w:hint="eastAsia" w:ascii="仿宋_GB2312" w:hAnsi="宋体" w:eastAsia="仿宋_GB2312" w:cs="宋体"/>
          <w:sz w:val="32"/>
          <w:szCs w:val="32"/>
        </w:rPr>
        <w:t>（基地）和文化旅游景区的，由市政府按获奖层级予以专项奖励，并加大对文化产业园区与文化旅游景区的投入力度。</w:t>
      </w:r>
    </w:p>
    <w:p>
      <w:pPr>
        <w:spacing w:after="0" w:line="600" w:lineRule="exact"/>
        <w:jc w:val="center"/>
        <w:rPr>
          <w:rFonts w:ascii="黑体" w:hAnsi="黑体" w:eastAsia="黑体"/>
          <w:sz w:val="32"/>
          <w:szCs w:val="32"/>
        </w:rPr>
      </w:pPr>
    </w:p>
    <w:p>
      <w:pPr>
        <w:spacing w:after="0" w:line="600" w:lineRule="exact"/>
        <w:jc w:val="center"/>
        <w:rPr>
          <w:rFonts w:ascii="黑体" w:hAnsi="黑体" w:eastAsia="黑体"/>
          <w:sz w:val="32"/>
          <w:szCs w:val="32"/>
        </w:rPr>
      </w:pPr>
    </w:p>
    <w:p>
      <w:pPr>
        <w:spacing w:after="0" w:line="600" w:lineRule="exact"/>
        <w:jc w:val="center"/>
        <w:rPr>
          <w:rFonts w:hint="eastAsia" w:ascii="黑体" w:hAnsi="黑体" w:eastAsia="黑体"/>
          <w:sz w:val="32"/>
          <w:szCs w:val="32"/>
        </w:rPr>
      </w:pPr>
      <w:r>
        <w:rPr>
          <w:lang/>
        </w:rPr>
        <mc:AlternateContent>
          <mc:Choice Requires="wps">
            <w:drawing>
              <wp:anchor distT="0" distB="0" distL="114300" distR="114300" simplePos="0" relativeHeight="251684864" behindDoc="0" locked="0" layoutInCell="1" allowOverlap="1">
                <wp:simplePos x="0" y="0"/>
                <wp:positionH relativeFrom="margin">
                  <wp:posOffset>10795</wp:posOffset>
                </wp:positionH>
                <wp:positionV relativeFrom="margin">
                  <wp:posOffset>3810</wp:posOffset>
                </wp:positionV>
                <wp:extent cx="5600700" cy="3348990"/>
                <wp:effectExtent l="4445" t="4445" r="14605" b="18415"/>
                <wp:wrapSquare wrapText="bothSides"/>
                <wp:docPr id="26" name="文本框 72"/>
                <wp:cNvGraphicFramePr/>
                <a:graphic xmlns:a="http://schemas.openxmlformats.org/drawingml/2006/main">
                  <a:graphicData uri="http://schemas.microsoft.com/office/word/2010/wordprocessingShape">
                    <wps:wsp>
                      <wps:cNvSpPr txBox="1"/>
                      <wps:spPr>
                        <a:xfrm>
                          <a:off x="0" y="0"/>
                          <a:ext cx="5600700" cy="3348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cs="宋体"/>
                                <w:b/>
                                <w:color w:val="000000"/>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9</w:t>
                            </w:r>
                          </w:p>
                          <w:p>
                            <w:pPr>
                              <w:spacing w:after="0" w:line="300" w:lineRule="exact"/>
                              <w:jc w:val="center"/>
                              <w:rPr>
                                <w:rFonts w:ascii="黑体" w:hAnsi="黑体" w:eastAsia="黑体" w:cs="宋体"/>
                                <w:b/>
                                <w:color w:val="000000"/>
                                <w:sz w:val="21"/>
                                <w:szCs w:val="21"/>
                              </w:rPr>
                            </w:pPr>
                            <w:r>
                              <w:rPr>
                                <w:rFonts w:hint="eastAsia" w:ascii="黑体" w:hAnsi="黑体" w:eastAsia="黑体" w:cs="宋体"/>
                                <w:b/>
                                <w:color w:val="000000"/>
                                <w:sz w:val="21"/>
                                <w:szCs w:val="21"/>
                              </w:rPr>
                              <w:t>文化服务体系保障工程</w:t>
                            </w:r>
                          </w:p>
                          <w:p>
                            <w:pPr>
                              <w:spacing w:after="0" w:line="300" w:lineRule="exact"/>
                              <w:ind w:firstLine="422" w:firstLineChars="200"/>
                              <w:jc w:val="both"/>
                              <w:rPr>
                                <w:rFonts w:hint="eastAsia" w:ascii="楷体_GB2312" w:hAnsi="楷体" w:eastAsia="楷体_GB2312" w:cs="宋体"/>
                                <w:color w:val="000000"/>
                                <w:sz w:val="21"/>
                                <w:szCs w:val="21"/>
                              </w:rPr>
                            </w:pPr>
                            <w:r>
                              <w:rPr>
                                <w:rFonts w:hint="eastAsia" w:ascii="楷体_GB2312" w:hAnsi="楷体" w:eastAsia="楷体_GB2312" w:cs="宋体"/>
                                <w:b/>
                                <w:color w:val="000000"/>
                                <w:sz w:val="21"/>
                                <w:szCs w:val="21"/>
                              </w:rPr>
                              <w:t>公共文化服务体系建设工程：</w:t>
                            </w:r>
                            <w:r>
                              <w:rPr>
                                <w:rFonts w:hint="eastAsia" w:ascii="楷体_GB2312" w:hAnsi="楷体" w:eastAsia="楷体_GB2312" w:cs="宋体"/>
                                <w:bCs/>
                                <w:color w:val="000000"/>
                                <w:sz w:val="21"/>
                                <w:szCs w:val="21"/>
                              </w:rPr>
                              <w:t>打造标志性文化工程。</w:t>
                            </w:r>
                            <w:r>
                              <w:rPr>
                                <w:rFonts w:hint="eastAsia" w:ascii="楷体_GB2312" w:hAnsi="楷体" w:eastAsia="楷体_GB2312" w:cs="宋体"/>
                                <w:color w:val="000000"/>
                                <w:sz w:val="21"/>
                                <w:szCs w:val="21"/>
                              </w:rPr>
                              <w:t>积极挖掘宝鸡历史文化资源，建成市文化艺术中心等标志显著和具有城市文化符号性质的重大文化建设项目，彰显历史文化底蕴。争取资金，实施县级图书馆、文化馆、博物馆建设。使全市所有县(区)级图书馆、文化馆达到国家三级馆以上标准。建设重点镇综合文体中心，推进3万人以上镇综合文体中心建设。每万人拥有的公共文化设施面积达到500平方米。充分利用现有村委会、村党组织活动场所、村文体活动中心的等公共文化设施建立农家书屋，积极探索农家书屋建设长效机制，创建品牌工程。实施公共数字文化工程。推进建设文化信息资源共享工程、公共电子阅览室建设工程、数字图书馆和数字博物馆推广工程。覆盖全市的数字图书馆虚拟网络</w:t>
                            </w:r>
                            <w:r>
                              <w:rPr>
                                <w:rFonts w:hint="eastAsia" w:ascii="楷体_GB2312" w:hAnsi="楷体" w:eastAsia="楷体_GB2312" w:cs="宋体"/>
                                <w:sz w:val="21"/>
                                <w:szCs w:val="21"/>
                              </w:rPr>
                              <w:t>基本建成。</w:t>
                            </w:r>
                          </w:p>
                          <w:p>
                            <w:pPr>
                              <w:spacing w:after="0" w:line="300" w:lineRule="exact"/>
                              <w:ind w:firstLine="422" w:firstLineChars="200"/>
                              <w:jc w:val="both"/>
                              <w:rPr>
                                <w:rFonts w:hint="eastAsia" w:ascii="楷体_GB2312" w:hAnsi="楷体" w:eastAsia="楷体_GB2312" w:cs="宋体"/>
                                <w:color w:val="000000"/>
                                <w:sz w:val="21"/>
                                <w:szCs w:val="21"/>
                              </w:rPr>
                            </w:pPr>
                            <w:r>
                              <w:rPr>
                                <w:rFonts w:hint="eastAsia" w:ascii="楷体_GB2312" w:hAnsi="楷体" w:eastAsia="楷体_GB2312" w:cs="宋体"/>
                                <w:b/>
                                <w:color w:val="000000"/>
                                <w:sz w:val="21"/>
                                <w:szCs w:val="21"/>
                              </w:rPr>
                              <w:t>基层文化活动器材配送工程：</w:t>
                            </w:r>
                            <w:r>
                              <w:rPr>
                                <w:rFonts w:hint="eastAsia" w:ascii="楷体_GB2312" w:hAnsi="楷体" w:eastAsia="楷体_GB2312" w:cs="宋体"/>
                                <w:color w:val="000000"/>
                                <w:sz w:val="21"/>
                                <w:szCs w:val="21"/>
                              </w:rPr>
                              <w:t>继续为镇(街道)、行政村(社区)配送文化活动器材。为镇（街道）文化站及综合文体中心、村（社区）文化活动室配送灯光、音响、服装、乐器等设备，为县区配备流动电影放映车、流动演出舞台车、流动文化信息资源共享服务车、流动图书服务车和流动文化服务车。</w:t>
                            </w:r>
                          </w:p>
                          <w:p>
                            <w:pPr>
                              <w:spacing w:after="0" w:line="300" w:lineRule="exact"/>
                              <w:ind w:firstLine="422" w:firstLineChars="200"/>
                              <w:jc w:val="both"/>
                              <w:rPr>
                                <w:rFonts w:hint="eastAsia" w:ascii="楷体_GB2312" w:eastAsia="楷体_GB2312"/>
                              </w:rPr>
                            </w:pPr>
                            <w:r>
                              <w:rPr>
                                <w:rFonts w:hint="eastAsia" w:ascii="楷体_GB2312" w:hAnsi="楷体" w:eastAsia="楷体_GB2312" w:cs="宋体"/>
                                <w:b/>
                                <w:color w:val="000000"/>
                                <w:sz w:val="21"/>
                                <w:szCs w:val="21"/>
                              </w:rPr>
                              <w:t>非物质文化遗产保护工程：</w:t>
                            </w:r>
                            <w:r>
                              <w:rPr>
                                <w:rFonts w:hint="eastAsia" w:ascii="楷体_GB2312" w:hAnsi="楷体" w:eastAsia="楷体_GB2312" w:cs="宋体"/>
                                <w:color w:val="000000"/>
                                <w:sz w:val="21"/>
                                <w:szCs w:val="21"/>
                              </w:rPr>
                              <w:t>尊重非物质文化遗产原真性和文化内涵，保持原有文化生态资源和文化风貌，进一步加大对我市非物质文化遗产的扶持和宣传力度，积极挖掘我市的非物质文化遗产，加大保护力度。</w:t>
                            </w:r>
                          </w:p>
                        </w:txbxContent>
                      </wps:txbx>
                      <wps:bodyPr wrap="square" upright="1"/>
                    </wps:wsp>
                  </a:graphicData>
                </a:graphic>
              </wp:anchor>
            </w:drawing>
          </mc:Choice>
          <mc:Fallback>
            <w:pict>
              <v:shape id="文本框 72" o:spid="_x0000_s1026" o:spt="202" type="#_x0000_t202" style="position:absolute;left:0pt;margin-left:0.85pt;margin-top:0.3pt;height:263.7pt;width:441pt;mso-position-horizontal-relative:margin;mso-position-vertical-relative:margin;mso-wrap-distance-bottom:0pt;mso-wrap-distance-left:9pt;mso-wrap-distance-right:9pt;mso-wrap-distance-top:0pt;z-index:251684864;mso-width-relative:page;mso-height-relative:page;" fillcolor="#FFFFFF" filled="t" stroked="t" coordsize="21600,21600" o:gfxdata="UEsDBAoAAAAAAIdO4kAAAAAAAAAAAAAAAAAEAAAAZHJzL1BLAwQUAAAACACHTuJASjKf+NQAAAAG&#10;AQAADwAAAGRycy9kb3ducmV2LnhtbE2OwU7DMBBE70j8g7VIXBC120JqQpwekEBwg4Lg6sbbJMJe&#10;h9hNy9+znOD4NKOZV62PwYsJx9RHMjCfKRBITXQ9tQbeXu8vNYiULTnrI6GBb0ywrk9PKlu6eKAX&#10;nDa5FTxCqbQGupyHUsrUdBhsmsUBibNdHIPNjGMr3WgPPB68XChVyGB74ofODnjXYfO52QcD+upx&#10;+khPy+f3ptj5m3yxmh6+RmPOz+bqFkTGY/4rw68+q0PNTtu4J5eEZ15x0UABgkOtl4xbA9cLrUDW&#10;lfyvX/8AUEsDBBQAAAAIAIdO4kCAMptZGgIAAEcEAAAOAAAAZHJzL2Uyb0RvYy54bWytU0uOEzEQ&#10;3SNxB8t70j0Zkpm00hkJQtggQBo4QMV2d1vyD9tJdy4AN2DFhv2cK+eg7GQyH1hkQS/cZVf5Vb1X&#10;5fnNoBXZCh+kNTW9GJWUCMMsl6at6dcvq1fXlIQIhoOyRtR0JwK9Wbx8Me9dJca2s4oLTxDEhKp3&#10;Ne1idFVRBNYJDWFknTDobKzXEHHr24J76BFdq2JcltOit547b5kIAU+XByc9IvpzAG3TSCaWlm20&#10;MPGA6oWCiJRCJ12gi1xt0wgWPzVNEJGomiLTmFdMgvY6rcViDlXrwXWSHUuAc0p4xkmDNJj0BLWE&#10;CGTj5V9QWjJvg23iiFldHIhkRZDFRflMm9sOnMhcUOrgTqKH/wfLPm4/eyJ5TcdTSgxo7Pj+54/9&#10;r7v97+/kapwE6l2oMO7WYWQc3tgBx+b+POBh4j00Xqc/MiLoR3l3J3nFEAnDw8m0LK9KdDH0XV6+&#10;vp7NcgOKh+vOh/heWE2SUVOP/cuywvZDiFgKht6HpGzBKslXUqm88e36rfJkC9jrVf5SlXjlSZgy&#10;pK/pbDKeYCGAA9zg4KCpHYoQTJvzPbkRHgOX+fsXcCpsCaE7FJARUhhUWkbhs9UJ4O8MJ3HnUGeD&#10;74umYrTglCiBzzFZOTKCVOdEIjtlkGTq0aEXyYrDekCYZK4t32HfehxxpPdtAx5zbpyXbYcC5z7m&#10;yzhfWavjW0gD/HifUzy8/8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jKf+NQAAAAGAQAADwAA&#10;AAAAAAABACAAAAAiAAAAZHJzL2Rvd25yZXYueG1sUEsBAhQAFAAAAAgAh07iQIAym1kaAgAARwQA&#10;AA4AAAAAAAAAAQAgAAAAIwEAAGRycy9lMm9Eb2MueG1sUEsFBgAAAAAGAAYAWQEAAK8FAAAAAA==&#10;">
                <v:fill on="t" focussize="0,0"/>
                <v:stroke color="#000000" joinstyle="miter"/>
                <v:imagedata o:title=""/>
                <o:lock v:ext="edit" aspectratio="f"/>
                <v:textbox>
                  <w:txbxContent>
                    <w:p>
                      <w:pPr>
                        <w:spacing w:after="0" w:line="300" w:lineRule="exact"/>
                        <w:rPr>
                          <w:rFonts w:hint="eastAsia" w:ascii="黑体" w:hAnsi="黑体" w:eastAsia="黑体" w:cs="宋体"/>
                          <w:b/>
                          <w:color w:val="000000"/>
                          <w:sz w:val="21"/>
                          <w:szCs w:val="21"/>
                        </w:rPr>
                      </w:pPr>
                      <w:r>
                        <w:rPr>
                          <w:rFonts w:hint="eastAsia" w:ascii="楷体_GB2312" w:hAnsi="黑体" w:eastAsia="楷体_GB2312" w:cs="仿宋_GB2312"/>
                          <w:b/>
                          <w:bCs/>
                          <w:sz w:val="21"/>
                          <w:szCs w:val="21"/>
                        </w:rPr>
                        <w:t>专栏2</w:t>
                      </w:r>
                      <w:r>
                        <w:rPr>
                          <w:rFonts w:ascii="楷体_GB2312" w:hAnsi="黑体" w:eastAsia="楷体_GB2312" w:cs="仿宋_GB2312"/>
                          <w:b/>
                          <w:bCs/>
                          <w:sz w:val="21"/>
                          <w:szCs w:val="21"/>
                        </w:rPr>
                        <w:t>9</w:t>
                      </w:r>
                    </w:p>
                    <w:p>
                      <w:pPr>
                        <w:spacing w:after="0" w:line="300" w:lineRule="exact"/>
                        <w:jc w:val="center"/>
                        <w:rPr>
                          <w:rFonts w:ascii="黑体" w:hAnsi="黑体" w:eastAsia="黑体" w:cs="宋体"/>
                          <w:b/>
                          <w:color w:val="000000"/>
                          <w:sz w:val="21"/>
                          <w:szCs w:val="21"/>
                        </w:rPr>
                      </w:pPr>
                      <w:r>
                        <w:rPr>
                          <w:rFonts w:hint="eastAsia" w:ascii="黑体" w:hAnsi="黑体" w:eastAsia="黑体" w:cs="宋体"/>
                          <w:b/>
                          <w:color w:val="000000"/>
                          <w:sz w:val="21"/>
                          <w:szCs w:val="21"/>
                        </w:rPr>
                        <w:t>文化服务体系保障工程</w:t>
                      </w:r>
                    </w:p>
                    <w:p>
                      <w:pPr>
                        <w:spacing w:after="0" w:line="300" w:lineRule="exact"/>
                        <w:ind w:firstLine="422" w:firstLineChars="200"/>
                        <w:jc w:val="both"/>
                        <w:rPr>
                          <w:rFonts w:hint="eastAsia" w:ascii="楷体_GB2312" w:hAnsi="楷体" w:eastAsia="楷体_GB2312" w:cs="宋体"/>
                          <w:color w:val="000000"/>
                          <w:sz w:val="21"/>
                          <w:szCs w:val="21"/>
                        </w:rPr>
                      </w:pPr>
                      <w:r>
                        <w:rPr>
                          <w:rFonts w:hint="eastAsia" w:ascii="楷体_GB2312" w:hAnsi="楷体" w:eastAsia="楷体_GB2312" w:cs="宋体"/>
                          <w:b/>
                          <w:color w:val="000000"/>
                          <w:sz w:val="21"/>
                          <w:szCs w:val="21"/>
                        </w:rPr>
                        <w:t>公共文化服务体系建设工程：</w:t>
                      </w:r>
                      <w:r>
                        <w:rPr>
                          <w:rFonts w:hint="eastAsia" w:ascii="楷体_GB2312" w:hAnsi="楷体" w:eastAsia="楷体_GB2312" w:cs="宋体"/>
                          <w:bCs/>
                          <w:color w:val="000000"/>
                          <w:sz w:val="21"/>
                          <w:szCs w:val="21"/>
                        </w:rPr>
                        <w:t>打造标志性文化工程。</w:t>
                      </w:r>
                      <w:r>
                        <w:rPr>
                          <w:rFonts w:hint="eastAsia" w:ascii="楷体_GB2312" w:hAnsi="楷体" w:eastAsia="楷体_GB2312" w:cs="宋体"/>
                          <w:color w:val="000000"/>
                          <w:sz w:val="21"/>
                          <w:szCs w:val="21"/>
                        </w:rPr>
                        <w:t>积极挖掘宝鸡历史文化资源，建成市文化艺术中心等标志显著和具有城市文化符号性质的重大文化建设项目，彰显历史文化底蕴。争取资金，实施县级图书馆、文化馆、博物馆建设。使全市所有县(区)级图书馆、文化馆达到国家三级馆以上标准。建设重点镇综合文体中心，推进3万人以上镇综合文体中心建设。每万人拥有的公共文化设施面积达到500平方米。充分利用现有村委会、村党组织活动场所、村文体活动中心的等公共文化设施建立农家书屋，积极探索农家书屋建设长效机制，创建品牌工程。实施公共数字文化工程。推进建设文化信息资源共享工程、公共电子阅览室建设工程、数字图书馆和数字博物馆推广工程。覆盖全市的数字图书馆虚拟网络</w:t>
                      </w:r>
                      <w:r>
                        <w:rPr>
                          <w:rFonts w:hint="eastAsia" w:ascii="楷体_GB2312" w:hAnsi="楷体" w:eastAsia="楷体_GB2312" w:cs="宋体"/>
                          <w:sz w:val="21"/>
                          <w:szCs w:val="21"/>
                        </w:rPr>
                        <w:t>基本建成。</w:t>
                      </w:r>
                    </w:p>
                    <w:p>
                      <w:pPr>
                        <w:spacing w:after="0" w:line="300" w:lineRule="exact"/>
                        <w:ind w:firstLine="422" w:firstLineChars="200"/>
                        <w:jc w:val="both"/>
                        <w:rPr>
                          <w:rFonts w:hint="eastAsia" w:ascii="楷体_GB2312" w:hAnsi="楷体" w:eastAsia="楷体_GB2312" w:cs="宋体"/>
                          <w:color w:val="000000"/>
                          <w:sz w:val="21"/>
                          <w:szCs w:val="21"/>
                        </w:rPr>
                      </w:pPr>
                      <w:r>
                        <w:rPr>
                          <w:rFonts w:hint="eastAsia" w:ascii="楷体_GB2312" w:hAnsi="楷体" w:eastAsia="楷体_GB2312" w:cs="宋体"/>
                          <w:b/>
                          <w:color w:val="000000"/>
                          <w:sz w:val="21"/>
                          <w:szCs w:val="21"/>
                        </w:rPr>
                        <w:t>基层文化活动器材配送工程：</w:t>
                      </w:r>
                      <w:r>
                        <w:rPr>
                          <w:rFonts w:hint="eastAsia" w:ascii="楷体_GB2312" w:hAnsi="楷体" w:eastAsia="楷体_GB2312" w:cs="宋体"/>
                          <w:color w:val="000000"/>
                          <w:sz w:val="21"/>
                          <w:szCs w:val="21"/>
                        </w:rPr>
                        <w:t>继续为镇(街道)、行政村(社区)配送文化活动器材。为镇（街道）文化站及综合文体中心、村（社区）文化活动室配送灯光、音响、服装、乐器等设备，为县区配备流动电影放映车、流动演出舞台车、流动文化信息资源共享服务车、流动图书服务车和流动文化服务车。</w:t>
                      </w:r>
                    </w:p>
                    <w:p>
                      <w:pPr>
                        <w:spacing w:after="0" w:line="300" w:lineRule="exact"/>
                        <w:ind w:firstLine="422" w:firstLineChars="200"/>
                        <w:jc w:val="both"/>
                        <w:rPr>
                          <w:rFonts w:hint="eastAsia" w:ascii="楷体_GB2312" w:eastAsia="楷体_GB2312"/>
                        </w:rPr>
                      </w:pPr>
                      <w:r>
                        <w:rPr>
                          <w:rFonts w:hint="eastAsia" w:ascii="楷体_GB2312" w:hAnsi="楷体" w:eastAsia="楷体_GB2312" w:cs="宋体"/>
                          <w:b/>
                          <w:color w:val="000000"/>
                          <w:sz w:val="21"/>
                          <w:szCs w:val="21"/>
                        </w:rPr>
                        <w:t>非物质文化遗产保护工程：</w:t>
                      </w:r>
                      <w:r>
                        <w:rPr>
                          <w:rFonts w:hint="eastAsia" w:ascii="楷体_GB2312" w:hAnsi="楷体" w:eastAsia="楷体_GB2312" w:cs="宋体"/>
                          <w:color w:val="000000"/>
                          <w:sz w:val="21"/>
                          <w:szCs w:val="21"/>
                        </w:rPr>
                        <w:t>尊重非物质文化遗产原真性和文化内涵，保持原有文化生态资源和文化风貌，进一步加大对我市非物质文化遗产的扶持和宣传力度，积极挖掘我市的非物质文化遗产，加大保护力度。</w:t>
                      </w:r>
                    </w:p>
                  </w:txbxContent>
                </v:textbox>
                <w10:wrap type="square"/>
              </v:shape>
            </w:pict>
          </mc:Fallback>
        </mc:AlternateContent>
      </w:r>
      <w:r>
        <w:rPr>
          <w:rFonts w:hint="eastAsia" w:ascii="黑体" w:hAnsi="黑体" w:eastAsia="黑体"/>
          <w:sz w:val="32"/>
          <w:szCs w:val="32"/>
        </w:rPr>
        <w:t xml:space="preserve"> </w:t>
      </w:r>
    </w:p>
    <w:p>
      <w:pPr>
        <w:spacing w:after="0" w:line="600" w:lineRule="exact"/>
        <w:jc w:val="center"/>
        <w:rPr>
          <w:rFonts w:ascii="楷体_GB2312" w:eastAsia="楷体_GB2312"/>
          <w:b/>
          <w:sz w:val="32"/>
          <w:szCs w:val="32"/>
        </w:rPr>
      </w:pPr>
      <w:r>
        <w:rPr>
          <w:rFonts w:hint="eastAsia" w:ascii="黑体" w:hAnsi="黑体" w:eastAsia="黑体"/>
          <w:sz w:val="32"/>
          <w:szCs w:val="32"/>
        </w:rPr>
        <w:t>第二十三章  加快文化旅游产业融合发展</w:t>
      </w:r>
    </w:p>
    <w:p>
      <w:pPr>
        <w:spacing w:after="0" w:line="600" w:lineRule="exact"/>
        <w:jc w:val="center"/>
        <w:rPr>
          <w:rFonts w:ascii="楷体_GB2312" w:eastAsia="楷体_GB2312"/>
          <w:b/>
          <w:sz w:val="32"/>
          <w:szCs w:val="32"/>
        </w:rPr>
      </w:pPr>
    </w:p>
    <w:p>
      <w:pPr>
        <w:spacing w:after="0" w:line="600" w:lineRule="exact"/>
        <w:jc w:val="center"/>
        <w:rPr>
          <w:rFonts w:hint="eastAsia" w:ascii="楷体_GB2312" w:eastAsia="楷体_GB2312"/>
          <w:b/>
          <w:sz w:val="32"/>
          <w:szCs w:val="32"/>
        </w:rPr>
      </w:pPr>
      <w:r>
        <w:rPr>
          <w:rFonts w:hint="eastAsia" w:ascii="楷体_GB2312" w:eastAsia="楷体_GB2312"/>
          <w:b/>
          <w:sz w:val="32"/>
          <w:szCs w:val="32"/>
        </w:rPr>
        <w:t>第一节  优化文化旅游产业发展格局</w:t>
      </w:r>
    </w:p>
    <w:p>
      <w:pPr>
        <w:spacing w:after="0" w:line="600" w:lineRule="exact"/>
        <w:ind w:firstLine="640" w:firstLineChars="200"/>
        <w:jc w:val="both"/>
        <w:rPr>
          <w:rFonts w:ascii="仿宋_GB2312" w:eastAsia="仿宋_GB2312"/>
          <w:color w:val="000000"/>
          <w:sz w:val="32"/>
          <w:szCs w:val="32"/>
        </w:rPr>
      </w:pPr>
      <w:r>
        <w:rPr>
          <w:rFonts w:hint="eastAsia" w:ascii="仿宋_GB2312" w:eastAsia="仿宋_GB2312"/>
          <w:sz w:val="32"/>
          <w:szCs w:val="32"/>
        </w:rPr>
        <w:t>整体考量旅游市场需求、文化资</w:t>
      </w:r>
      <w:r>
        <w:rPr>
          <w:rFonts w:hint="eastAsia" w:ascii="仿宋_GB2312" w:eastAsia="仿宋_GB2312"/>
          <w:color w:val="000000"/>
          <w:sz w:val="32"/>
          <w:szCs w:val="32"/>
        </w:rPr>
        <w:t>源分布和旅游区域合作等因素，构建宝鸡市文化旅游产业“一核一廊两带三区四组团”空间布局（一核：都市休闲旅游核心区；一廊</w:t>
      </w:r>
      <w:r>
        <w:rPr>
          <w:rFonts w:ascii="仿宋_GB2312" w:eastAsia="仿宋_GB2312"/>
          <w:color w:val="000000"/>
          <w:sz w:val="32"/>
          <w:szCs w:val="32"/>
        </w:rPr>
        <w:t>：</w:t>
      </w:r>
      <w:r>
        <w:rPr>
          <w:rFonts w:hint="eastAsia" w:ascii="仿宋_GB2312" w:eastAsia="仿宋_GB2312"/>
          <w:color w:val="000000"/>
          <w:sz w:val="32"/>
          <w:szCs w:val="32"/>
        </w:rPr>
        <w:t>渭河百里生态人文画廊；</w:t>
      </w:r>
      <w:r>
        <w:rPr>
          <w:rFonts w:ascii="仿宋_GB2312" w:eastAsia="仿宋_GB2312"/>
          <w:color w:val="000000"/>
          <w:sz w:val="32"/>
          <w:szCs w:val="32"/>
        </w:rPr>
        <w:t>两带：渭</w:t>
      </w:r>
      <w:r>
        <w:rPr>
          <w:rFonts w:hint="eastAsia" w:ascii="仿宋_GB2312" w:eastAsia="仿宋_GB2312"/>
          <w:color w:val="000000"/>
          <w:sz w:val="32"/>
          <w:szCs w:val="32"/>
        </w:rPr>
        <w:t>北</w:t>
      </w:r>
      <w:r>
        <w:rPr>
          <w:rFonts w:ascii="仿宋_GB2312" w:eastAsia="仿宋_GB2312"/>
          <w:color w:val="000000"/>
          <w:sz w:val="32"/>
          <w:szCs w:val="32"/>
        </w:rPr>
        <w:t>丝路走廊</w:t>
      </w:r>
      <w:r>
        <w:rPr>
          <w:rFonts w:hint="eastAsia" w:ascii="仿宋_GB2312" w:eastAsia="仿宋_GB2312"/>
          <w:color w:val="000000"/>
          <w:sz w:val="32"/>
          <w:szCs w:val="32"/>
        </w:rPr>
        <w:t>人文休闲体验带、秦岭诗画游廊自然生态体验带；三区：大周原文化旅游区、法门寺佛文化旅游区、秦岭中央国家公园太白山旅游区；</w:t>
      </w:r>
      <w:r>
        <w:rPr>
          <w:rFonts w:hint="eastAsia" w:ascii="仿宋_GB2312" w:eastAsia="仿宋_GB2312"/>
          <w:sz w:val="32"/>
          <w:szCs w:val="32"/>
        </w:rPr>
        <w:t>四组团：麟游盛唐避暑旅游组团、太白生态养生旅游组团、岭南凤飞羌舞旅游组团、千陇跑马关山旅游组团）实行重点景区提质升级工程，依托渭河文化，做靓“渭河百里画廊项目”，激活宝鸡都市休闲游；依托秦岭文化，做大“秦岭中央国家公园项目”，在陕西省秦岭旅游开发中率先崛起；依托周文化，做活“大周原文化旅游项目”，彰显华夏早期文明，将岐山打造为国家华夏之源体验圣地的关键节点；依托关山草原、龙门洞景区，推进大关山国家级生态旅游渡假区建设，把陇县打造成</w:t>
      </w:r>
      <w:r>
        <w:rPr>
          <w:rFonts w:hint="eastAsia" w:ascii="仿宋_GB2312" w:eastAsia="仿宋_GB2312"/>
          <w:color w:val="000000"/>
          <w:sz w:val="32"/>
          <w:szCs w:val="32"/>
        </w:rPr>
        <w:t>为关天经济区休闲度假旅游目的地。到2020年，全市拥有5A级旅游景区</w:t>
      </w:r>
      <w:r>
        <w:rPr>
          <w:rFonts w:ascii="仿宋_GB2312" w:eastAsia="仿宋_GB2312"/>
          <w:color w:val="000000"/>
          <w:sz w:val="32"/>
          <w:szCs w:val="32"/>
        </w:rPr>
        <w:t>4</w:t>
      </w:r>
      <w:r>
        <w:rPr>
          <w:rFonts w:hint="eastAsia" w:ascii="仿宋_GB2312" w:eastAsia="仿宋_GB2312"/>
          <w:color w:val="000000"/>
          <w:sz w:val="32"/>
          <w:szCs w:val="32"/>
        </w:rPr>
        <w:t>个以上、4A级旅游景区</w:t>
      </w:r>
      <w:r>
        <w:rPr>
          <w:rFonts w:ascii="仿宋_GB2312" w:eastAsia="仿宋_GB2312"/>
          <w:color w:val="000000"/>
          <w:sz w:val="32"/>
          <w:szCs w:val="32"/>
        </w:rPr>
        <w:t>20</w:t>
      </w:r>
      <w:r>
        <w:rPr>
          <w:rFonts w:hint="eastAsia" w:ascii="仿宋_GB2312" w:eastAsia="仿宋_GB2312"/>
          <w:color w:val="000000"/>
          <w:sz w:val="32"/>
          <w:szCs w:val="32"/>
        </w:rPr>
        <w:t>个以上，省级旅游强县、旅游示范县均达到3家以上，建成国际知名、国内著名的文化旅游目的地和关中—天水经济区重要旅游集散地，实现年接待国内外游客突破8000万人次，旅游综合收入</w:t>
      </w:r>
      <w:r>
        <w:rPr>
          <w:rFonts w:ascii="仿宋_GB2312" w:eastAsia="仿宋_GB2312"/>
          <w:color w:val="000000"/>
          <w:sz w:val="32"/>
          <w:szCs w:val="32"/>
        </w:rPr>
        <w:t>突破</w:t>
      </w:r>
      <w:r>
        <w:rPr>
          <w:rFonts w:hint="eastAsia" w:ascii="仿宋_GB2312" w:eastAsia="仿宋_GB2312"/>
          <w:color w:val="000000"/>
          <w:sz w:val="32"/>
          <w:szCs w:val="32"/>
        </w:rPr>
        <w:t>700亿元，占全市地区生产总值比重提高到25%左右。</w:t>
      </w:r>
    </w:p>
    <w:p>
      <w:pPr>
        <w:spacing w:after="0" w:line="600" w:lineRule="exact"/>
        <w:jc w:val="center"/>
        <w:rPr>
          <w:rFonts w:ascii="楷体_GB2312" w:eastAsia="楷体_GB2312"/>
          <w:b/>
          <w:sz w:val="32"/>
          <w:szCs w:val="32"/>
        </w:rPr>
      </w:pPr>
    </w:p>
    <w:p>
      <w:pPr>
        <w:spacing w:after="0" w:line="600" w:lineRule="exact"/>
        <w:jc w:val="center"/>
        <w:rPr>
          <w:rFonts w:hint="eastAsia" w:ascii="楷体_GB2312" w:eastAsia="楷体_GB2312"/>
          <w:b/>
          <w:sz w:val="32"/>
          <w:szCs w:val="32"/>
        </w:rPr>
      </w:pPr>
      <w:r>
        <w:rPr>
          <w:rFonts w:hint="eastAsia" w:ascii="楷体_GB2312" w:eastAsia="楷体_GB2312"/>
          <w:b/>
          <w:sz w:val="32"/>
          <w:szCs w:val="32"/>
        </w:rPr>
        <w:t>第二节 打造文化旅游产业品牌形象</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围绕“诗画秦岭·周城宝鸡”整体文化旅游品牌形象，打造宝鸡重点文化旅游产品品牌、宝鸡区县旅游子品牌、宝鸡旅游企业品牌，形成宝鸡文化旅游融合整体品牌体系。以“文、山、水、林、城、塬”等为核心元素，打造多姿多彩、动静结合的宝鸡文化旅游核心吸引物，由浅入深地系统打造宝鸡的观光旅游、休闲度假和商务旅游产品，打造文化旅游和生态养生为核心的“人文宝鸡”、“寻秘宝鸡”、“夜游宝鸡”、“动感宝鸡”、“田园宝鸡”、“休闲宝鸡”、“生态宝鸡”、“养生宝鸡”八大旅游产品系列，构建包括眼耳鼻舌身意在内的全方位旅游体验产品体系，从以看、听为主逐步延伸到嗅、味、触、思等体验全面开花，使游客逐渐从一日游为主变为多日游为主，增加吃住行游购娱各环节的收入，提升游客的人均消费</w:t>
      </w:r>
      <w:r>
        <w:rPr>
          <w:rFonts w:hint="eastAsia" w:ascii="仿宋_GB2312" w:eastAsia="仿宋_GB2312"/>
          <w:sz w:val="32"/>
          <w:szCs w:val="32"/>
        </w:rPr>
        <mc:AlternateContent>
          <mc:Choice Requires="wps">
            <w:drawing>
              <wp:anchor distT="45720" distB="45720" distL="114300" distR="114300" simplePos="0" relativeHeight="251687936" behindDoc="0" locked="0" layoutInCell="1" allowOverlap="1">
                <wp:simplePos x="0" y="0"/>
                <wp:positionH relativeFrom="column">
                  <wp:posOffset>10795</wp:posOffset>
                </wp:positionH>
                <wp:positionV relativeFrom="paragraph">
                  <wp:posOffset>1492250</wp:posOffset>
                </wp:positionV>
                <wp:extent cx="5535295" cy="1762125"/>
                <wp:effectExtent l="4445" t="4445" r="22860" b="5080"/>
                <wp:wrapSquare wrapText="bothSides"/>
                <wp:docPr id="29" name="文本框 2"/>
                <wp:cNvGraphicFramePr/>
                <a:graphic xmlns:a="http://schemas.openxmlformats.org/drawingml/2006/main">
                  <a:graphicData uri="http://schemas.microsoft.com/office/word/2010/wordprocessingShape">
                    <wps:wsp>
                      <wps:cNvSpPr txBox="1"/>
                      <wps:spPr>
                        <a:xfrm>
                          <a:off x="0" y="0"/>
                          <a:ext cx="5535295" cy="1762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sz w:val="21"/>
                                <w:szCs w:val="21"/>
                              </w:rPr>
                            </w:pPr>
                            <w:r>
                              <w:rPr>
                                <w:rFonts w:hint="eastAsia" w:ascii="楷体_GB2312" w:hAnsi="黑体" w:eastAsia="楷体_GB2312" w:cs="仿宋_GB2312"/>
                                <w:b/>
                                <w:bCs/>
                                <w:sz w:val="21"/>
                                <w:szCs w:val="21"/>
                              </w:rPr>
                              <w:t>专栏</w:t>
                            </w:r>
                            <w:r>
                              <w:rPr>
                                <w:rFonts w:ascii="楷体_GB2312" w:hAnsi="黑体" w:eastAsia="楷体_GB2312" w:cs="仿宋_GB2312"/>
                                <w:b/>
                                <w:bCs/>
                                <w:sz w:val="21"/>
                                <w:szCs w:val="21"/>
                              </w:rPr>
                              <w:t>30</w:t>
                            </w:r>
                          </w:p>
                          <w:p>
                            <w:pPr>
                              <w:spacing w:after="0" w:line="300" w:lineRule="exact"/>
                              <w:jc w:val="center"/>
                              <w:rPr>
                                <w:rFonts w:hint="eastAsia" w:ascii="黑体" w:hAnsi="黑体" w:eastAsia="黑体"/>
                                <w:b/>
                                <w:sz w:val="21"/>
                                <w:szCs w:val="21"/>
                              </w:rPr>
                            </w:pPr>
                            <w:r>
                              <w:rPr>
                                <w:rFonts w:hint="eastAsia" w:ascii="黑体" w:hAnsi="黑体" w:eastAsia="黑体"/>
                                <w:b/>
                                <w:sz w:val="21"/>
                                <w:szCs w:val="21"/>
                              </w:rPr>
                              <w:t>文化旅游精品线路</w:t>
                            </w:r>
                          </w:p>
                          <w:p>
                            <w:pPr>
                              <w:spacing w:after="0" w:line="300" w:lineRule="exact"/>
                              <w:ind w:firstLine="422" w:firstLineChars="200"/>
                              <w:jc w:val="both"/>
                              <w:rPr>
                                <w:color w:val="000000"/>
                              </w:rPr>
                            </w:pPr>
                            <w:r>
                              <w:rPr>
                                <w:rFonts w:hint="eastAsia" w:ascii="楷体_GB2312" w:eastAsia="楷体_GB2312"/>
                                <w:b/>
                                <w:sz w:val="21"/>
                                <w:szCs w:val="21"/>
                              </w:rPr>
                              <w:t>中部文化生态旅游线路：</w:t>
                            </w:r>
                            <w:r>
                              <w:rPr>
                                <w:rFonts w:hint="eastAsia" w:ascii="楷体_GB2312" w:eastAsia="楷体_GB2312"/>
                                <w:sz w:val="21"/>
                                <w:szCs w:val="21"/>
                              </w:rPr>
                              <w:t>太</w:t>
                            </w:r>
                            <w:r>
                              <w:rPr>
                                <w:rFonts w:hint="eastAsia" w:ascii="楷体_GB2312" w:eastAsia="楷体_GB2312"/>
                                <w:color w:val="000000"/>
                                <w:sz w:val="21"/>
                                <w:szCs w:val="21"/>
                              </w:rPr>
                              <w:t>白山国际旅游休闲度假区——渭河百里画廊——钓鱼台休闲度假区——天台山国家风景名胜区——茵香河文化旅游区；</w:t>
                            </w:r>
                            <w:r>
                              <w:rPr>
                                <w:rFonts w:hint="eastAsia" w:ascii="楷体_GB2312" w:eastAsia="楷体_GB2312"/>
                                <w:b/>
                                <w:color w:val="000000"/>
                                <w:sz w:val="21"/>
                                <w:szCs w:val="21"/>
                              </w:rPr>
                              <w:t>北部历史文化旅游线路：</w:t>
                            </w:r>
                            <w:r>
                              <w:rPr>
                                <w:rFonts w:hint="eastAsia" w:ascii="楷体_GB2312" w:eastAsia="楷体_GB2312"/>
                                <w:color w:val="000000"/>
                                <w:sz w:val="21"/>
                                <w:szCs w:val="21"/>
                              </w:rPr>
                              <w:t>法门寺——中华周城——九成宫——</w:t>
                            </w:r>
                            <w:r>
                              <w:rPr>
                                <w:rFonts w:ascii="楷体_GB2312" w:eastAsia="楷体_GB2312"/>
                                <w:color w:val="000000"/>
                                <w:sz w:val="21"/>
                                <w:szCs w:val="21"/>
                              </w:rPr>
                              <w:t>碑亭景区</w:t>
                            </w:r>
                            <w:r>
                              <w:rPr>
                                <w:rFonts w:hint="eastAsia" w:ascii="楷体_GB2312" w:eastAsia="楷体_GB2312"/>
                                <w:color w:val="000000"/>
                                <w:sz w:val="21"/>
                                <w:szCs w:val="21"/>
                              </w:rPr>
                              <w:t>——大雍城遗址——金台观</w:t>
                            </w:r>
                            <w:bookmarkStart w:id="12" w:name="OLE_LINK2"/>
                            <w:r>
                              <w:rPr>
                                <w:rFonts w:hint="eastAsia" w:ascii="楷体_GB2312" w:eastAsia="楷体_GB2312"/>
                                <w:color w:val="000000"/>
                                <w:sz w:val="21"/>
                                <w:szCs w:val="21"/>
                              </w:rPr>
                              <w:t>——</w:t>
                            </w:r>
                            <w:bookmarkEnd w:id="12"/>
                            <w:r>
                              <w:rPr>
                                <w:rFonts w:hint="eastAsia" w:ascii="楷体_GB2312" w:eastAsia="楷体_GB2312"/>
                                <w:color w:val="000000"/>
                                <w:sz w:val="21"/>
                                <w:szCs w:val="21"/>
                              </w:rPr>
                              <w:t>大唐秦王陵；</w:t>
                            </w:r>
                            <w:r>
                              <w:rPr>
                                <w:rFonts w:hint="eastAsia" w:ascii="楷体_GB2312" w:eastAsia="楷体_GB2312"/>
                                <w:b/>
                                <w:color w:val="000000"/>
                                <w:sz w:val="21"/>
                                <w:szCs w:val="21"/>
                              </w:rPr>
                              <w:t>南部原生态文化旅游线路：</w:t>
                            </w:r>
                            <w:r>
                              <w:rPr>
                                <w:rFonts w:hint="eastAsia" w:ascii="楷体_GB2312" w:eastAsia="楷体_GB2312"/>
                                <w:color w:val="000000"/>
                                <w:sz w:val="21"/>
                                <w:szCs w:val="21"/>
                              </w:rPr>
                              <w:t>通天河国家森林公园——嘉陵江源头景区——</w:t>
                            </w:r>
                            <w:r>
                              <w:rPr>
                                <w:rFonts w:ascii="楷体_GB2312" w:eastAsia="楷体_GB2312"/>
                                <w:color w:val="000000"/>
                                <w:sz w:val="21"/>
                                <w:szCs w:val="21"/>
                              </w:rPr>
                              <w:t>黄柏塬</w:t>
                            </w:r>
                            <w:r>
                              <w:rPr>
                                <w:rFonts w:hint="eastAsia" w:ascii="楷体_GB2312" w:eastAsia="楷体_GB2312"/>
                                <w:color w:val="000000"/>
                                <w:sz w:val="21"/>
                                <w:szCs w:val="21"/>
                              </w:rPr>
                              <w:t>原生态风景区——青峰峡国家森林公园——五丈原——张载祠；</w:t>
                            </w:r>
                            <w:r>
                              <w:rPr>
                                <w:rFonts w:hint="eastAsia" w:ascii="楷体_GB2312" w:eastAsia="楷体_GB2312"/>
                                <w:b/>
                                <w:color w:val="000000"/>
                                <w:sz w:val="21"/>
                                <w:szCs w:val="21"/>
                              </w:rPr>
                              <w:t>西部</w:t>
                            </w:r>
                            <w:r>
                              <w:rPr>
                                <w:rFonts w:ascii="楷体_GB2312" w:eastAsia="楷体_GB2312"/>
                                <w:b/>
                                <w:color w:val="000000"/>
                                <w:sz w:val="21"/>
                                <w:szCs w:val="21"/>
                              </w:rPr>
                              <w:t>自然景观旅游</w:t>
                            </w:r>
                            <w:r>
                              <w:rPr>
                                <w:rFonts w:hint="eastAsia" w:ascii="楷体_GB2312" w:eastAsia="楷体_GB2312"/>
                                <w:b/>
                                <w:color w:val="000000"/>
                                <w:sz w:val="21"/>
                                <w:szCs w:val="21"/>
                              </w:rPr>
                              <w:t>线路</w:t>
                            </w:r>
                            <w:r>
                              <w:rPr>
                                <w:rFonts w:ascii="楷体_GB2312" w:eastAsia="楷体_GB2312"/>
                                <w:b/>
                                <w:color w:val="000000"/>
                                <w:sz w:val="21"/>
                                <w:szCs w:val="21"/>
                              </w:rPr>
                              <w:t>：</w:t>
                            </w:r>
                            <w:r>
                              <w:rPr>
                                <w:rFonts w:hint="eastAsia" w:ascii="楷体_GB2312" w:eastAsia="楷体_GB2312"/>
                                <w:color w:val="000000"/>
                                <w:sz w:val="21"/>
                                <w:szCs w:val="21"/>
                              </w:rPr>
                              <w:t>关山草原——</w:t>
                            </w:r>
                            <w:r>
                              <w:rPr>
                                <w:rFonts w:ascii="楷体_GB2312" w:eastAsia="楷体_GB2312"/>
                                <w:color w:val="000000"/>
                                <w:sz w:val="21"/>
                                <w:szCs w:val="21"/>
                              </w:rPr>
                              <w:t>龙门洞</w:t>
                            </w:r>
                            <w:r>
                              <w:rPr>
                                <w:rFonts w:hint="eastAsia" w:ascii="楷体_GB2312" w:eastAsia="楷体_GB2312"/>
                                <w:color w:val="000000"/>
                                <w:sz w:val="21"/>
                                <w:szCs w:val="21"/>
                              </w:rPr>
                              <w:t>景区——千湖国家湿地公园——</w:t>
                            </w:r>
                            <w:r>
                              <w:rPr>
                                <w:rFonts w:ascii="楷体_GB2312" w:eastAsia="楷体_GB2312"/>
                                <w:color w:val="000000"/>
                                <w:sz w:val="21"/>
                                <w:szCs w:val="21"/>
                              </w:rPr>
                              <w:t>大水川</w:t>
                            </w:r>
                            <w:r>
                              <w:rPr>
                                <w:rFonts w:hint="eastAsia" w:ascii="楷体_GB2312" w:eastAsia="楷体_GB2312"/>
                                <w:color w:val="000000"/>
                                <w:sz w:val="21"/>
                                <w:szCs w:val="21"/>
                              </w:rPr>
                              <w:t>——西镇吴山。</w:t>
                            </w:r>
                          </w:p>
                        </w:txbxContent>
                      </wps:txbx>
                      <wps:bodyPr wrap="square" upright="1"/>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0.85pt;margin-top:117.5pt;height:138.75pt;width:435.85pt;mso-wrap-distance-bottom:3.6pt;mso-wrap-distance-left:9pt;mso-wrap-distance-right:9pt;mso-wrap-distance-top:3.6pt;z-index:251687936;mso-width-relative:margin;mso-height-relative:margin;mso-height-percent:200;" fillcolor="#FFFFFF" filled="t" stroked="t" coordsize="21600,21600" o:gfxdata="UEsDBAoAAAAAAIdO4kAAAAAAAAAAAAAAAAAEAAAAZHJzL1BLAwQUAAAACACHTuJAk6cs7dcAAAAJ&#10;AQAADwAAAGRycy9kb3ducmV2LnhtbE2Py07DMBRE90j8g3WR2FHnQdIqxOkC8VgghNLyAW58sSNi&#10;O7LdNvw9lxVdjmY0c6bdLnZiJwxx9E5AvsqAoRu8Gp0W8Ll/vtsAi0k6JSfvUMAPRth211etbJQ/&#10;ux5Pu6QZlbjYSAEmpbnhPA4GrYwrP6Mj78sHKxPJoLkK8kzlduJFltXcytHRgpEzPhocvndHK+Aj&#10;+pen/n2vdWnellS/5qHucyFub/LsAVjCJf2H4Q+f0KEjpoM/OhXZRHpNQQFFWdEl8jfr8h7YQUCV&#10;FxXwruWXD7pfUEsDBBQAAAAIAIdO4kBYB1D6FgIAAEYEAAAOAAAAZHJzL2Uyb0RvYy54bWytU02u&#10;0zAQ3iNxB8t7mjQoDxo1fRKUskGA9OAAU8dJLPkP223SC8ANWLFhz7l6jjd2+vp+YNEFWThje/zN&#10;fN/MLK9HJcmeOy+Mrul8llPCNTON0F1Nv37ZvHhNiQ+gG5BG85oeuKfXq+fPloOteGF6IxvuCIJo&#10;Xw22pn0Itsoyz3quwM+M5RovW+MUBNy6LmscDIiuZFbk+VU2GNdYZxj3Hk/X0yU9IbpLAE3bCsbX&#10;hu0U12FCdVxCQEq+F9bTVcq2bTkLn9rW80BkTZFpSCsGQXsb12y1hKpzYHvBTinAJSk84aRAaAx6&#10;hlpDALJz4i8oJZgz3rRhxozKJiJJEWQxz59oc9OD5YkLSu3tWXT//2DZx/1nR0RT02JBiQaFFT/+&#10;/HH89ef4+zspoj6D9RW63Vh0DOMbM2LX3J17PIy0x9ap+EdCBO9R3cNZXT4GwvCwLF+WxaKkhOHd&#10;/NVVMS/KiJPdP7fOh/fcKBKNmjosX1IV9h98mFzvXGI0b6RoNkLKtHHd9q10ZA9Y6k36TuiP3KQm&#10;Q00XJcYmDLB/W+wbNJVFDbzuUrxHL/xD4Dx9/wKOia3B91MCCSG6QaVE4C5ZPYfmnW5IOFiUWeN4&#10;0ZiM4g0lkuM0Rit5BhDyEk/UTmqUMNZoqkW0wrgdESaaW9McsG4DdjjS+7YDhzF31omuR4FTHdNj&#10;bK9UidMoxP59uE8h7sd/d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pyzt1wAAAAkBAAAPAAAA&#10;AAAAAAEAIAAAACIAAABkcnMvZG93bnJldi54bWxQSwECFAAUAAAACACHTuJAWAdQ+hYCAABGBAAA&#10;DgAAAAAAAAABACAAAAAmAQAAZHJzL2Uyb0RvYy54bWxQSwUGAAAAAAYABgBZAQAArgUAAAAA&#10;">
                <v:fill on="t" focussize="0,0"/>
                <v:stroke color="#000000" joinstyle="miter"/>
                <v:imagedata o:title=""/>
                <o:lock v:ext="edit" aspectratio="f"/>
                <v:textbox>
                  <w:txbxContent>
                    <w:p>
                      <w:pPr>
                        <w:spacing w:after="0" w:line="300" w:lineRule="exact"/>
                        <w:rPr>
                          <w:rFonts w:hint="eastAsia" w:ascii="黑体" w:hAnsi="黑体" w:eastAsia="黑体"/>
                          <w:sz w:val="21"/>
                          <w:szCs w:val="21"/>
                        </w:rPr>
                      </w:pPr>
                      <w:r>
                        <w:rPr>
                          <w:rFonts w:hint="eastAsia" w:ascii="楷体_GB2312" w:hAnsi="黑体" w:eastAsia="楷体_GB2312" w:cs="仿宋_GB2312"/>
                          <w:b/>
                          <w:bCs/>
                          <w:sz w:val="21"/>
                          <w:szCs w:val="21"/>
                        </w:rPr>
                        <w:t>专栏</w:t>
                      </w:r>
                      <w:r>
                        <w:rPr>
                          <w:rFonts w:ascii="楷体_GB2312" w:hAnsi="黑体" w:eastAsia="楷体_GB2312" w:cs="仿宋_GB2312"/>
                          <w:b/>
                          <w:bCs/>
                          <w:sz w:val="21"/>
                          <w:szCs w:val="21"/>
                        </w:rPr>
                        <w:t>30</w:t>
                      </w:r>
                    </w:p>
                    <w:p>
                      <w:pPr>
                        <w:spacing w:after="0" w:line="300" w:lineRule="exact"/>
                        <w:jc w:val="center"/>
                        <w:rPr>
                          <w:rFonts w:hint="eastAsia" w:ascii="黑体" w:hAnsi="黑体" w:eastAsia="黑体"/>
                          <w:b/>
                          <w:sz w:val="21"/>
                          <w:szCs w:val="21"/>
                        </w:rPr>
                      </w:pPr>
                      <w:r>
                        <w:rPr>
                          <w:rFonts w:hint="eastAsia" w:ascii="黑体" w:hAnsi="黑体" w:eastAsia="黑体"/>
                          <w:b/>
                          <w:sz w:val="21"/>
                          <w:szCs w:val="21"/>
                        </w:rPr>
                        <w:t>文化旅游精品线路</w:t>
                      </w:r>
                    </w:p>
                    <w:p>
                      <w:pPr>
                        <w:spacing w:after="0" w:line="300" w:lineRule="exact"/>
                        <w:ind w:firstLine="422" w:firstLineChars="200"/>
                        <w:jc w:val="both"/>
                        <w:rPr>
                          <w:color w:val="000000"/>
                        </w:rPr>
                      </w:pPr>
                      <w:r>
                        <w:rPr>
                          <w:rFonts w:hint="eastAsia" w:ascii="楷体_GB2312" w:eastAsia="楷体_GB2312"/>
                          <w:b/>
                          <w:sz w:val="21"/>
                          <w:szCs w:val="21"/>
                        </w:rPr>
                        <w:t>中部文化生态旅游线路：</w:t>
                      </w:r>
                      <w:r>
                        <w:rPr>
                          <w:rFonts w:hint="eastAsia" w:ascii="楷体_GB2312" w:eastAsia="楷体_GB2312"/>
                          <w:sz w:val="21"/>
                          <w:szCs w:val="21"/>
                        </w:rPr>
                        <w:t>太</w:t>
                      </w:r>
                      <w:r>
                        <w:rPr>
                          <w:rFonts w:hint="eastAsia" w:ascii="楷体_GB2312" w:eastAsia="楷体_GB2312"/>
                          <w:color w:val="000000"/>
                          <w:sz w:val="21"/>
                          <w:szCs w:val="21"/>
                        </w:rPr>
                        <w:t>白山国际旅游休闲度假区——渭河百里画廊——钓鱼台休闲度假区——天台山国家风景名胜区——茵香河文化旅游区；</w:t>
                      </w:r>
                      <w:r>
                        <w:rPr>
                          <w:rFonts w:hint="eastAsia" w:ascii="楷体_GB2312" w:eastAsia="楷体_GB2312"/>
                          <w:b/>
                          <w:color w:val="000000"/>
                          <w:sz w:val="21"/>
                          <w:szCs w:val="21"/>
                        </w:rPr>
                        <w:t>北部历史文化旅游线路：</w:t>
                      </w:r>
                      <w:r>
                        <w:rPr>
                          <w:rFonts w:hint="eastAsia" w:ascii="楷体_GB2312" w:eastAsia="楷体_GB2312"/>
                          <w:color w:val="000000"/>
                          <w:sz w:val="21"/>
                          <w:szCs w:val="21"/>
                        </w:rPr>
                        <w:t>法门寺——中华周城——九成宫——</w:t>
                      </w:r>
                      <w:r>
                        <w:rPr>
                          <w:rFonts w:ascii="楷体_GB2312" w:eastAsia="楷体_GB2312"/>
                          <w:color w:val="000000"/>
                          <w:sz w:val="21"/>
                          <w:szCs w:val="21"/>
                        </w:rPr>
                        <w:t>碑亭景区</w:t>
                      </w:r>
                      <w:r>
                        <w:rPr>
                          <w:rFonts w:hint="eastAsia" w:ascii="楷体_GB2312" w:eastAsia="楷体_GB2312"/>
                          <w:color w:val="000000"/>
                          <w:sz w:val="21"/>
                          <w:szCs w:val="21"/>
                        </w:rPr>
                        <w:t>——大雍城遗址——金台观</w:t>
                      </w:r>
                      <w:bookmarkStart w:id="12" w:name="OLE_LINK2"/>
                      <w:r>
                        <w:rPr>
                          <w:rFonts w:hint="eastAsia" w:ascii="楷体_GB2312" w:eastAsia="楷体_GB2312"/>
                          <w:color w:val="000000"/>
                          <w:sz w:val="21"/>
                          <w:szCs w:val="21"/>
                        </w:rPr>
                        <w:t>——</w:t>
                      </w:r>
                      <w:bookmarkEnd w:id="12"/>
                      <w:r>
                        <w:rPr>
                          <w:rFonts w:hint="eastAsia" w:ascii="楷体_GB2312" w:eastAsia="楷体_GB2312"/>
                          <w:color w:val="000000"/>
                          <w:sz w:val="21"/>
                          <w:szCs w:val="21"/>
                        </w:rPr>
                        <w:t>大唐秦王陵；</w:t>
                      </w:r>
                      <w:r>
                        <w:rPr>
                          <w:rFonts w:hint="eastAsia" w:ascii="楷体_GB2312" w:eastAsia="楷体_GB2312"/>
                          <w:b/>
                          <w:color w:val="000000"/>
                          <w:sz w:val="21"/>
                          <w:szCs w:val="21"/>
                        </w:rPr>
                        <w:t>南部原生态文化旅游线路：</w:t>
                      </w:r>
                      <w:r>
                        <w:rPr>
                          <w:rFonts w:hint="eastAsia" w:ascii="楷体_GB2312" w:eastAsia="楷体_GB2312"/>
                          <w:color w:val="000000"/>
                          <w:sz w:val="21"/>
                          <w:szCs w:val="21"/>
                        </w:rPr>
                        <w:t>通天河国家森林公园——嘉陵江源头景区——</w:t>
                      </w:r>
                      <w:r>
                        <w:rPr>
                          <w:rFonts w:ascii="楷体_GB2312" w:eastAsia="楷体_GB2312"/>
                          <w:color w:val="000000"/>
                          <w:sz w:val="21"/>
                          <w:szCs w:val="21"/>
                        </w:rPr>
                        <w:t>黄柏塬</w:t>
                      </w:r>
                      <w:r>
                        <w:rPr>
                          <w:rFonts w:hint="eastAsia" w:ascii="楷体_GB2312" w:eastAsia="楷体_GB2312"/>
                          <w:color w:val="000000"/>
                          <w:sz w:val="21"/>
                          <w:szCs w:val="21"/>
                        </w:rPr>
                        <w:t>原生态风景区——青峰峡国家森林公园——五丈原——张载祠；</w:t>
                      </w:r>
                      <w:r>
                        <w:rPr>
                          <w:rFonts w:hint="eastAsia" w:ascii="楷体_GB2312" w:eastAsia="楷体_GB2312"/>
                          <w:b/>
                          <w:color w:val="000000"/>
                          <w:sz w:val="21"/>
                          <w:szCs w:val="21"/>
                        </w:rPr>
                        <w:t>西部</w:t>
                      </w:r>
                      <w:r>
                        <w:rPr>
                          <w:rFonts w:ascii="楷体_GB2312" w:eastAsia="楷体_GB2312"/>
                          <w:b/>
                          <w:color w:val="000000"/>
                          <w:sz w:val="21"/>
                          <w:szCs w:val="21"/>
                        </w:rPr>
                        <w:t>自然景观旅游</w:t>
                      </w:r>
                      <w:r>
                        <w:rPr>
                          <w:rFonts w:hint="eastAsia" w:ascii="楷体_GB2312" w:eastAsia="楷体_GB2312"/>
                          <w:b/>
                          <w:color w:val="000000"/>
                          <w:sz w:val="21"/>
                          <w:szCs w:val="21"/>
                        </w:rPr>
                        <w:t>线路</w:t>
                      </w:r>
                      <w:r>
                        <w:rPr>
                          <w:rFonts w:ascii="楷体_GB2312" w:eastAsia="楷体_GB2312"/>
                          <w:b/>
                          <w:color w:val="000000"/>
                          <w:sz w:val="21"/>
                          <w:szCs w:val="21"/>
                        </w:rPr>
                        <w:t>：</w:t>
                      </w:r>
                      <w:r>
                        <w:rPr>
                          <w:rFonts w:hint="eastAsia" w:ascii="楷体_GB2312" w:eastAsia="楷体_GB2312"/>
                          <w:color w:val="000000"/>
                          <w:sz w:val="21"/>
                          <w:szCs w:val="21"/>
                        </w:rPr>
                        <w:t>关山草原——</w:t>
                      </w:r>
                      <w:r>
                        <w:rPr>
                          <w:rFonts w:ascii="楷体_GB2312" w:eastAsia="楷体_GB2312"/>
                          <w:color w:val="000000"/>
                          <w:sz w:val="21"/>
                          <w:szCs w:val="21"/>
                        </w:rPr>
                        <w:t>龙门洞</w:t>
                      </w:r>
                      <w:r>
                        <w:rPr>
                          <w:rFonts w:hint="eastAsia" w:ascii="楷体_GB2312" w:eastAsia="楷体_GB2312"/>
                          <w:color w:val="000000"/>
                          <w:sz w:val="21"/>
                          <w:szCs w:val="21"/>
                        </w:rPr>
                        <w:t>景区——千湖国家湿地公园——</w:t>
                      </w:r>
                      <w:r>
                        <w:rPr>
                          <w:rFonts w:ascii="楷体_GB2312" w:eastAsia="楷体_GB2312"/>
                          <w:color w:val="000000"/>
                          <w:sz w:val="21"/>
                          <w:szCs w:val="21"/>
                        </w:rPr>
                        <w:t>大水川</w:t>
                      </w:r>
                      <w:r>
                        <w:rPr>
                          <w:rFonts w:hint="eastAsia" w:ascii="楷体_GB2312" w:eastAsia="楷体_GB2312"/>
                          <w:color w:val="000000"/>
                          <w:sz w:val="21"/>
                          <w:szCs w:val="21"/>
                        </w:rPr>
                        <w:t>——西镇吴山。</w:t>
                      </w:r>
                    </w:p>
                  </w:txbxContent>
                </v:textbox>
                <w10:wrap type="square"/>
              </v:shape>
            </w:pict>
          </mc:Fallback>
        </mc:AlternateContent>
      </w:r>
      <w:r>
        <w:rPr>
          <w:rFonts w:hint="eastAsia" w:ascii="仿宋_GB2312" w:eastAsia="仿宋_GB2312"/>
          <w:sz w:val="32"/>
          <w:szCs w:val="32"/>
        </w:rPr>
        <w:t>水平，树立游客享受宝鸡的口碑，逐步实现宝鸡文化旅游多元化转变。</w:t>
      </w:r>
    </w:p>
    <w:p>
      <w:pPr>
        <w:shd w:val="clear" w:color="auto" w:fill="FFFFFF"/>
        <w:spacing w:after="0" w:line="600" w:lineRule="exact"/>
        <w:ind w:firstLine="560" w:firstLineChars="200"/>
        <w:contextualSpacing/>
        <w:jc w:val="both"/>
        <w:rPr>
          <w:rFonts w:hint="eastAsia" w:ascii="华文中宋" w:hAnsi="华文中宋" w:eastAsia="华文中宋"/>
          <w:b/>
          <w:sz w:val="36"/>
          <w:szCs w:val="36"/>
        </w:rPr>
      </w:pPr>
      <w:r>
        <w:rPr>
          <w:rFonts w:hint="eastAsia" w:ascii="仿宋_GB2312" w:eastAsia="仿宋_GB2312"/>
          <w:spacing w:val="-20"/>
          <w:sz w:val="32"/>
          <w:szCs w:val="32"/>
          <w:lang/>
        </w:rPr>
        <mc:AlternateContent>
          <mc:Choice Requires="wps">
            <w:drawing>
              <wp:anchor distT="0" distB="0" distL="114300" distR="114300" simplePos="0" relativeHeight="251686912" behindDoc="0" locked="0" layoutInCell="1" allowOverlap="1">
                <wp:simplePos x="0" y="0"/>
                <wp:positionH relativeFrom="margin">
                  <wp:posOffset>16510</wp:posOffset>
                </wp:positionH>
                <wp:positionV relativeFrom="margin">
                  <wp:posOffset>3533140</wp:posOffset>
                </wp:positionV>
                <wp:extent cx="5535295" cy="2734945"/>
                <wp:effectExtent l="4445" t="4445" r="22860" b="22860"/>
                <wp:wrapSquare wrapText="bothSides"/>
                <wp:docPr id="28" name="文本框 75"/>
                <wp:cNvGraphicFramePr/>
                <a:graphic xmlns:a="http://schemas.openxmlformats.org/drawingml/2006/main">
                  <a:graphicData uri="http://schemas.microsoft.com/office/word/2010/wordprocessingShape">
                    <wps:wsp>
                      <wps:cNvSpPr txBox="1"/>
                      <wps:spPr>
                        <a:xfrm>
                          <a:off x="0" y="0"/>
                          <a:ext cx="5535295" cy="27349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sz w:val="21"/>
                                <w:szCs w:val="21"/>
                              </w:rPr>
                            </w:pPr>
                            <w:r>
                              <w:rPr>
                                <w:rFonts w:hint="eastAsia" w:ascii="楷体_GB2312" w:hAnsi="黑体" w:eastAsia="楷体_GB2312" w:cs="仿宋_GB2312"/>
                                <w:b/>
                                <w:bCs/>
                                <w:sz w:val="21"/>
                                <w:szCs w:val="21"/>
                              </w:rPr>
                              <w:t>专栏</w:t>
                            </w:r>
                            <w:r>
                              <w:rPr>
                                <w:rFonts w:ascii="楷体_GB2312" w:hAnsi="黑体" w:eastAsia="楷体_GB2312" w:cs="仿宋_GB2312"/>
                                <w:b/>
                                <w:bCs/>
                                <w:sz w:val="21"/>
                                <w:szCs w:val="21"/>
                              </w:rPr>
                              <w:t>31</w:t>
                            </w:r>
                          </w:p>
                          <w:p>
                            <w:pPr>
                              <w:spacing w:after="0" w:line="300" w:lineRule="exact"/>
                              <w:jc w:val="center"/>
                              <w:rPr>
                                <w:rFonts w:hint="eastAsia" w:ascii="黑体" w:hAnsi="黑体" w:eastAsia="黑体"/>
                                <w:b/>
                                <w:sz w:val="21"/>
                                <w:szCs w:val="21"/>
                              </w:rPr>
                            </w:pPr>
                            <w:r>
                              <w:rPr>
                                <w:rFonts w:hint="eastAsia" w:ascii="黑体" w:hAnsi="黑体" w:eastAsia="黑体"/>
                                <w:b/>
                                <w:sz w:val="21"/>
                                <w:szCs w:val="21"/>
                              </w:rPr>
                              <w:t>文化旅游重点工程</w:t>
                            </w:r>
                          </w:p>
                          <w:p>
                            <w:pPr>
                              <w:pBdr>
                                <w:bottom w:val="single" w:color="FFFFFF" w:sz="4" w:space="31"/>
                              </w:pBdr>
                              <w:topLinePunct/>
                              <w:spacing w:after="0" w:line="300" w:lineRule="exact"/>
                              <w:ind w:firstLine="422" w:firstLineChars="200"/>
                              <w:jc w:val="both"/>
                              <w:rPr>
                                <w:rFonts w:hint="eastAsia"/>
                              </w:rPr>
                            </w:pPr>
                            <w:r>
                              <w:rPr>
                                <w:rFonts w:hint="eastAsia" w:ascii="楷体_GB2312" w:eastAsia="楷体_GB2312"/>
                                <w:b/>
                                <w:sz w:val="21"/>
                                <w:szCs w:val="21"/>
                              </w:rPr>
                              <w:t>文化资源“活化”工程，</w:t>
                            </w:r>
                            <w:r>
                              <w:rPr>
                                <w:rFonts w:hint="eastAsia" w:ascii="楷体_GB2312" w:eastAsia="楷体_GB2312"/>
                                <w:sz w:val="21"/>
                                <w:szCs w:val="21"/>
                              </w:rPr>
                              <w:t>让宝鸡博物馆“活起来”，增强游客和市民，尤其是青少年走进博物馆的动力；第二，借助创意设计，以满足现代人生活需求为第一出发点，让宝鸡旅游纪念品“活起来”；第三，借助影视、演艺等形式，让宝鸡丰富的历史故事“活起来”。</w:t>
                            </w:r>
                            <w:r>
                              <w:rPr>
                                <w:rFonts w:hint="eastAsia" w:ascii="楷体_GB2312" w:eastAsia="楷体_GB2312"/>
                                <w:b/>
                                <w:sz w:val="21"/>
                                <w:szCs w:val="21"/>
                              </w:rPr>
                              <w:t>“智游宝鸡”—智慧旅游工程，</w:t>
                            </w:r>
                            <w:r>
                              <w:rPr>
                                <w:rFonts w:hint="eastAsia" w:ascii="楷体_GB2312" w:eastAsia="楷体_GB2312"/>
                                <w:sz w:val="21"/>
                                <w:szCs w:val="21"/>
                              </w:rPr>
                              <w:t>具体包括提升宝鸡景区网络基础，打造宝鸡生态环境智能监测系统，构建旅游大数据平台，加强旅游推广自媒体建设，推动智慧景区、智慧酒店建设。</w:t>
                            </w:r>
                            <w:r>
                              <w:rPr>
                                <w:rFonts w:hint="eastAsia" w:ascii="楷体_GB2312" w:eastAsia="楷体_GB2312"/>
                                <w:b/>
                                <w:sz w:val="21"/>
                                <w:szCs w:val="21"/>
                              </w:rPr>
                              <w:t>“畅游宝鸡”—旅游公共服务体系提升工程，</w:t>
                            </w:r>
                            <w:r>
                              <w:rPr>
                                <w:rFonts w:hint="eastAsia" w:ascii="楷体_GB2312" w:eastAsia="楷体_GB2312"/>
                                <w:sz w:val="21"/>
                                <w:szCs w:val="21"/>
                              </w:rPr>
                              <w:t>重点包括旅游便捷交通体系、旅游信息咨询体系、旅游安全保障体系、旅游便民惠民服务体系。</w:t>
                            </w:r>
                            <w:r>
                              <w:rPr>
                                <w:rFonts w:hint="eastAsia" w:ascii="楷体_GB2312" w:eastAsia="楷体_GB2312"/>
                                <w:b/>
                                <w:sz w:val="21"/>
                                <w:szCs w:val="21"/>
                              </w:rPr>
                              <w:t>旅游人才培养工程，</w:t>
                            </w:r>
                            <w:r>
                              <w:rPr>
                                <w:rFonts w:hint="eastAsia" w:ascii="楷体_GB2312" w:eastAsia="楷体_GB2312"/>
                                <w:sz w:val="21"/>
                                <w:szCs w:val="21"/>
                              </w:rPr>
                              <w:t>完善旅游管理干部选拔与培养、人才培养与引进机制。引导宝鸡“当地人做导游”，开启宝鸡 “大众创业、万众创新” 旅游新时代。</w:t>
                            </w:r>
                            <w:r>
                              <w:rPr>
                                <w:rFonts w:hint="eastAsia" w:ascii="楷体_GB2312" w:eastAsia="楷体_GB2312"/>
                                <w:b/>
                                <w:sz w:val="21"/>
                                <w:szCs w:val="21"/>
                              </w:rPr>
                              <w:t>乡村旅游提升工程，</w:t>
                            </w:r>
                            <w:r>
                              <w:rPr>
                                <w:rFonts w:hint="eastAsia" w:ascii="楷体_GB2312" w:eastAsia="楷体_GB2312"/>
                                <w:sz w:val="21"/>
                                <w:szCs w:val="21"/>
                              </w:rPr>
                              <w:t>“十三五”期间，打造本色田园、创意田园、智慧田园、优雅田园，从乡村生态环境、生产方式、经营模式，以及乡村旅游软硬件提升等四个维度进行创新，开启宝鸡乡村旅游新篇章。</w:t>
                            </w:r>
                          </w:p>
                        </w:txbxContent>
                      </wps:txbx>
                      <wps:bodyPr wrap="square" upright="1"/>
                    </wps:wsp>
                  </a:graphicData>
                </a:graphic>
              </wp:anchor>
            </w:drawing>
          </mc:Choice>
          <mc:Fallback>
            <w:pict>
              <v:shape id="文本框 75" o:spid="_x0000_s1026" o:spt="202" type="#_x0000_t202" style="position:absolute;left:0pt;margin-left:1.3pt;margin-top:278.2pt;height:215.35pt;width:435.85pt;mso-position-horizontal-relative:margin;mso-position-vertical-relative:margin;mso-wrap-distance-bottom:0pt;mso-wrap-distance-left:9pt;mso-wrap-distance-right:9pt;mso-wrap-distance-top:0pt;z-index:251686912;mso-width-relative:page;mso-height-relative:page;" fillcolor="#FFFFFF" filled="t" stroked="t" coordsize="21600,21600" o:gfxdata="UEsDBAoAAAAAAIdO4kAAAAAAAAAAAAAAAAAEAAAAZHJzL1BLAwQUAAAACACHTuJAr9lEv9kAAAAJ&#10;AQAADwAAAGRycy9kb3ducmV2LnhtbE2PMU/DMBSEdyT+g/WQWBB10qZJGvLSAQkEWylVWd3YTSLs&#10;52C7afn3mAnG053uvqvXF6PZpJwfLCGkswSYotbKgTqE3fvTfQnMB0FSaEsK4Vt5WDfXV7WopD3T&#10;m5q2oWOxhHwlEPoQxopz3/bKCD+zo6LoHa0zIkTpOi6dOMdyo/k8SXJuxEBxoRejeuxV+7k9GYQy&#10;e5k+/Otis2/zo16Fu2J6/nKItzdp8gAsqEv4C8MvfkSHJjId7ImkZxphnscgwnKZZ8CiXxbZAtgB&#10;YVUWKfCm5v8fND9QSwMEFAAAAAgAh07iQHbWkikZAgAARwQAAA4AAABkcnMvZTJvRG9jLnhtbK1T&#10;S5LTMBDdU8UdVNoTZzxjhrjiTBWEsKGAqoEDKJJsq0o/1ErsXABuwIoNe86Vc9BSMpkPLLLAC7kl&#10;tV73e909vxmNJlsZQDnb0IvJlBJpuRPKdg398nn14hUlEJkVTDsrG7qTQG8Wz5/NB1/L0vVOCxkI&#10;glioB9/QPkZfFwXwXhoGE+elxcvWBcMibkNXiMAGRDe6KKfTl8XggvDBcQmAp8vDJT0ihnMAXdsq&#10;LpeOb4y08YAapGYRKUGvPNBFzrZtJY8f2xZkJLqhyDTmFYOgvU5rsZizugvM94ofU2DnpPCEk2HK&#10;YtAT1JJFRjZB/QVlFA8OXBsn3JniQCQrgiwupk+0ue2Zl5kLSg3+JDr8P1j+YfspECUaWmLdLTNY&#10;8f2P7/ufv/e/vpHrKgk0eKjR79ajZxxfuxHb5u4c8DDxHttg0h8ZEbxHeXcneeUYCcfDqrqsyllF&#10;Cce78vryanaV8Yv75z5AfCedIcloaMD6ZVnZ9j1ETAVd71xSNHBaiZXSOm9Ct36jA9kyrPUqfylL&#10;fPLITVsyNHRWlSkRhg3cYuOgaTyKALbL8R69gIfA0/z9CzgltmTQHxLICMmN1UZFGbLVSybeWkHi&#10;zqPOFueLpmSMFJRoieOYrOwZmdLneCI7bZFkqtGhFsmK43pEmGSundhh3QZscaT3dcMCxtz4oLoe&#10;Bc51zI+xv7JWx1lIDfxwn0Pcz//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ZRL/ZAAAACQEA&#10;AA8AAAAAAAAAAQAgAAAAIgAAAGRycy9kb3ducmV2LnhtbFBLAQIUABQAAAAIAIdO4kB21pIpGQIA&#10;AEcEAAAOAAAAAAAAAAEAIAAAACgBAABkcnMvZTJvRG9jLnhtbFBLBQYAAAAABgAGAFkBAACzBQAA&#10;AAA=&#10;">
                <v:fill on="t" focussize="0,0"/>
                <v:stroke color="#000000" joinstyle="miter"/>
                <v:imagedata o:title=""/>
                <o:lock v:ext="edit" aspectratio="f"/>
                <v:textbox>
                  <w:txbxContent>
                    <w:p>
                      <w:pPr>
                        <w:spacing w:after="0" w:line="300" w:lineRule="exact"/>
                        <w:rPr>
                          <w:rFonts w:hint="eastAsia" w:ascii="黑体" w:hAnsi="黑体" w:eastAsia="黑体"/>
                          <w:sz w:val="21"/>
                          <w:szCs w:val="21"/>
                        </w:rPr>
                      </w:pPr>
                      <w:r>
                        <w:rPr>
                          <w:rFonts w:hint="eastAsia" w:ascii="楷体_GB2312" w:hAnsi="黑体" w:eastAsia="楷体_GB2312" w:cs="仿宋_GB2312"/>
                          <w:b/>
                          <w:bCs/>
                          <w:sz w:val="21"/>
                          <w:szCs w:val="21"/>
                        </w:rPr>
                        <w:t>专栏</w:t>
                      </w:r>
                      <w:r>
                        <w:rPr>
                          <w:rFonts w:ascii="楷体_GB2312" w:hAnsi="黑体" w:eastAsia="楷体_GB2312" w:cs="仿宋_GB2312"/>
                          <w:b/>
                          <w:bCs/>
                          <w:sz w:val="21"/>
                          <w:szCs w:val="21"/>
                        </w:rPr>
                        <w:t>31</w:t>
                      </w:r>
                    </w:p>
                    <w:p>
                      <w:pPr>
                        <w:spacing w:after="0" w:line="300" w:lineRule="exact"/>
                        <w:jc w:val="center"/>
                        <w:rPr>
                          <w:rFonts w:hint="eastAsia" w:ascii="黑体" w:hAnsi="黑体" w:eastAsia="黑体"/>
                          <w:b/>
                          <w:sz w:val="21"/>
                          <w:szCs w:val="21"/>
                        </w:rPr>
                      </w:pPr>
                      <w:r>
                        <w:rPr>
                          <w:rFonts w:hint="eastAsia" w:ascii="黑体" w:hAnsi="黑体" w:eastAsia="黑体"/>
                          <w:b/>
                          <w:sz w:val="21"/>
                          <w:szCs w:val="21"/>
                        </w:rPr>
                        <w:t>文化旅游重点工程</w:t>
                      </w:r>
                    </w:p>
                    <w:p>
                      <w:pPr>
                        <w:pBdr>
                          <w:bottom w:val="single" w:color="FFFFFF" w:sz="4" w:space="31"/>
                        </w:pBdr>
                        <w:topLinePunct/>
                        <w:spacing w:after="0" w:line="300" w:lineRule="exact"/>
                        <w:ind w:firstLine="422" w:firstLineChars="200"/>
                        <w:jc w:val="both"/>
                        <w:rPr>
                          <w:rFonts w:hint="eastAsia"/>
                        </w:rPr>
                      </w:pPr>
                      <w:r>
                        <w:rPr>
                          <w:rFonts w:hint="eastAsia" w:ascii="楷体_GB2312" w:eastAsia="楷体_GB2312"/>
                          <w:b/>
                          <w:sz w:val="21"/>
                          <w:szCs w:val="21"/>
                        </w:rPr>
                        <w:t>文化资源“活化”工程，</w:t>
                      </w:r>
                      <w:r>
                        <w:rPr>
                          <w:rFonts w:hint="eastAsia" w:ascii="楷体_GB2312" w:eastAsia="楷体_GB2312"/>
                          <w:sz w:val="21"/>
                          <w:szCs w:val="21"/>
                        </w:rPr>
                        <w:t>让宝鸡博物馆“活起来”，增强游客和市民，尤其是青少年走进博物馆的动力；第二，借助创意设计，以满足现代人生活需求为第一出发点，让宝鸡旅游纪念品“活起来”；第三，借助影视、演艺等形式，让宝鸡丰富的历史故事“活起来”。</w:t>
                      </w:r>
                      <w:r>
                        <w:rPr>
                          <w:rFonts w:hint="eastAsia" w:ascii="楷体_GB2312" w:eastAsia="楷体_GB2312"/>
                          <w:b/>
                          <w:sz w:val="21"/>
                          <w:szCs w:val="21"/>
                        </w:rPr>
                        <w:t>“智游宝鸡”—智慧旅游工程，</w:t>
                      </w:r>
                      <w:r>
                        <w:rPr>
                          <w:rFonts w:hint="eastAsia" w:ascii="楷体_GB2312" w:eastAsia="楷体_GB2312"/>
                          <w:sz w:val="21"/>
                          <w:szCs w:val="21"/>
                        </w:rPr>
                        <w:t>具体包括提升宝鸡景区网络基础，打造宝鸡生态环境智能监测系统，构建旅游大数据平台，加强旅游推广自媒体建设，推动智慧景区、智慧酒店建设。</w:t>
                      </w:r>
                      <w:r>
                        <w:rPr>
                          <w:rFonts w:hint="eastAsia" w:ascii="楷体_GB2312" w:eastAsia="楷体_GB2312"/>
                          <w:b/>
                          <w:sz w:val="21"/>
                          <w:szCs w:val="21"/>
                        </w:rPr>
                        <w:t>“畅游宝鸡”—旅游公共服务体系提升工程，</w:t>
                      </w:r>
                      <w:r>
                        <w:rPr>
                          <w:rFonts w:hint="eastAsia" w:ascii="楷体_GB2312" w:eastAsia="楷体_GB2312"/>
                          <w:sz w:val="21"/>
                          <w:szCs w:val="21"/>
                        </w:rPr>
                        <w:t>重点包括旅游便捷交通体系、旅游信息咨询体系、旅游安全保障体系、旅游便民惠民服务体系。</w:t>
                      </w:r>
                      <w:r>
                        <w:rPr>
                          <w:rFonts w:hint="eastAsia" w:ascii="楷体_GB2312" w:eastAsia="楷体_GB2312"/>
                          <w:b/>
                          <w:sz w:val="21"/>
                          <w:szCs w:val="21"/>
                        </w:rPr>
                        <w:t>旅游人才培养工程，</w:t>
                      </w:r>
                      <w:r>
                        <w:rPr>
                          <w:rFonts w:hint="eastAsia" w:ascii="楷体_GB2312" w:eastAsia="楷体_GB2312"/>
                          <w:sz w:val="21"/>
                          <w:szCs w:val="21"/>
                        </w:rPr>
                        <w:t>完善旅游管理干部选拔与培养、人才培养与引进机制。引导宝鸡“当地人做导游”，开启宝鸡 “大众创业、万众创新” 旅游新时代。</w:t>
                      </w:r>
                      <w:r>
                        <w:rPr>
                          <w:rFonts w:hint="eastAsia" w:ascii="楷体_GB2312" w:eastAsia="楷体_GB2312"/>
                          <w:b/>
                          <w:sz w:val="21"/>
                          <w:szCs w:val="21"/>
                        </w:rPr>
                        <w:t>乡村旅游提升工程，</w:t>
                      </w:r>
                      <w:r>
                        <w:rPr>
                          <w:rFonts w:hint="eastAsia" w:ascii="楷体_GB2312" w:eastAsia="楷体_GB2312"/>
                          <w:sz w:val="21"/>
                          <w:szCs w:val="21"/>
                        </w:rPr>
                        <w:t>“十三五”期间，打造本色田园、创意田园、智慧田园、优雅田园，从乡村生态环境、生产方式、经营模式，以及乡村旅游软硬件提升等四个维度进行创新，开启宝鸡乡村旅游新篇章。</w:t>
                      </w:r>
                    </w:p>
                  </w:txbxContent>
                </v:textbox>
                <w10:wrap type="square"/>
              </v:shape>
            </w:pict>
          </mc:Fallback>
        </mc:AlternateContent>
      </w:r>
    </w:p>
    <w:p>
      <w:pPr>
        <w:shd w:val="clear" w:color="auto" w:fill="FFFFFF"/>
        <w:spacing w:after="0" w:line="600" w:lineRule="exact"/>
        <w:jc w:val="center"/>
        <w:rPr>
          <w:rFonts w:ascii="华文中宋" w:hAnsi="华文中宋" w:eastAsia="华文中宋"/>
          <w:b/>
          <w:sz w:val="36"/>
          <w:szCs w:val="36"/>
        </w:rPr>
      </w:pPr>
      <w:r>
        <w:rPr>
          <w:rFonts w:hint="eastAsia" w:ascii="华文中宋" w:hAnsi="华文中宋" w:eastAsia="华文中宋"/>
          <w:b/>
          <w:sz w:val="36"/>
          <w:szCs w:val="36"/>
        </w:rPr>
        <w:t>第七篇   推进生态文明建设</w:t>
      </w:r>
    </w:p>
    <w:p>
      <w:pPr>
        <w:shd w:val="clear" w:color="auto" w:fill="FFFFFF"/>
        <w:spacing w:after="0" w:line="600" w:lineRule="exact"/>
        <w:jc w:val="center"/>
        <w:rPr>
          <w:rFonts w:hint="eastAsia" w:ascii="方正小标宋简体" w:hAnsi="华文中宋" w:eastAsia="方正小标宋简体"/>
          <w:b/>
          <w:sz w:val="36"/>
          <w:szCs w:val="36"/>
        </w:rPr>
      </w:pPr>
    </w:p>
    <w:p>
      <w:pPr>
        <w:shd w:val="clear" w:color="auto" w:fill="FFFFFF"/>
        <w:spacing w:after="0" w:line="600" w:lineRule="exact"/>
        <w:ind w:firstLine="640" w:firstLineChars="200"/>
        <w:jc w:val="both"/>
        <w:rPr>
          <w:rFonts w:hint="eastAsia" w:ascii="仿宋_GB2312" w:hAnsi="宋体" w:eastAsia="仿宋_GB2312"/>
          <w:sz w:val="32"/>
          <w:szCs w:val="32"/>
        </w:rPr>
      </w:pPr>
      <w:r>
        <w:rPr>
          <w:rFonts w:hint="eastAsia" w:ascii="仿宋_GB2312" w:hAnsi="宋体" w:eastAsia="仿宋_GB2312"/>
          <w:sz w:val="32"/>
          <w:szCs w:val="32"/>
        </w:rPr>
        <w:t>坚持绿色、循环、低碳发展，严格落实主体功能区规划，严守环境安全底线和生态保护红线，强化环境监督执法，着力生态文明制度建设，扎实推进经济发展方式根本转变；实施蓝天、清水、绿地、绿色发展、清洁能源、美丽乡村和生态屏障工程，建立改善生态环境长效机制，着力提升城乡生态环境，推动形成人与自然和谐发展的现代化建设新格局。</w:t>
      </w:r>
    </w:p>
    <w:p>
      <w:pPr>
        <w:shd w:val="clear" w:color="auto" w:fill="FFFFFF"/>
        <w:spacing w:after="0" w:line="600" w:lineRule="exact"/>
        <w:jc w:val="center"/>
        <w:rPr>
          <w:rFonts w:ascii="黑体" w:hAnsi="黑体" w:eastAsia="黑体"/>
          <w:sz w:val="32"/>
          <w:szCs w:val="32"/>
        </w:rPr>
      </w:pPr>
    </w:p>
    <w:p>
      <w:pPr>
        <w:shd w:val="clear" w:color="auto" w:fill="FFFFFF"/>
        <w:spacing w:after="0" w:line="600" w:lineRule="exact"/>
        <w:jc w:val="center"/>
        <w:rPr>
          <w:rFonts w:hint="eastAsia" w:ascii="黑体" w:hAnsi="黑体" w:eastAsia="黑体"/>
          <w:sz w:val="32"/>
          <w:szCs w:val="32"/>
        </w:rPr>
      </w:pPr>
      <w:r>
        <w:rPr>
          <w:rFonts w:hint="eastAsia" w:ascii="黑体" w:hAnsi="黑体" w:eastAsia="黑体"/>
          <w:sz w:val="32"/>
          <w:szCs w:val="32"/>
        </w:rPr>
        <w:t>第二十四章</w:t>
      </w:r>
      <w:r>
        <w:rPr>
          <w:rFonts w:ascii="黑体" w:hAnsi="黑体" w:eastAsia="黑体"/>
          <w:sz w:val="32"/>
          <w:szCs w:val="32"/>
        </w:rPr>
        <w:t xml:space="preserve">  </w:t>
      </w:r>
      <w:r>
        <w:rPr>
          <w:rFonts w:hint="eastAsia" w:ascii="黑体" w:hAnsi="黑体" w:eastAsia="黑体"/>
          <w:sz w:val="32"/>
          <w:szCs w:val="32"/>
        </w:rPr>
        <w:t>推动资源节约和循环利用</w:t>
      </w:r>
    </w:p>
    <w:p>
      <w:pPr>
        <w:shd w:val="clear" w:color="auto" w:fill="FFFFFF"/>
        <w:spacing w:after="0" w:line="600" w:lineRule="exact"/>
        <w:jc w:val="center"/>
        <w:rPr>
          <w:rFonts w:hint="eastAsia" w:ascii="楷体_GB2312" w:eastAsia="楷体_GB2312"/>
          <w:b/>
          <w:sz w:val="32"/>
          <w:szCs w:val="32"/>
        </w:rPr>
      </w:pPr>
    </w:p>
    <w:p>
      <w:pPr>
        <w:shd w:val="clear" w:color="auto" w:fill="FFFFFF"/>
        <w:spacing w:after="0" w:line="600" w:lineRule="exact"/>
        <w:jc w:val="center"/>
        <w:rPr>
          <w:rFonts w:hint="eastAsia" w:ascii="楷体_GB2312" w:eastAsia="楷体_GB2312"/>
          <w:b/>
          <w:sz w:val="32"/>
          <w:szCs w:val="32"/>
        </w:rPr>
      </w:pPr>
      <w:r>
        <w:rPr>
          <w:rFonts w:hint="eastAsia" w:ascii="楷体_GB2312" w:eastAsia="楷体_GB2312"/>
          <w:b/>
          <w:sz w:val="32"/>
          <w:szCs w:val="32"/>
        </w:rPr>
        <w:t>第一节</w:t>
      </w:r>
      <w:r>
        <w:rPr>
          <w:rFonts w:ascii="楷体_GB2312" w:eastAsia="楷体_GB2312"/>
          <w:b/>
          <w:sz w:val="32"/>
          <w:szCs w:val="32"/>
        </w:rPr>
        <w:t xml:space="preserve">  </w:t>
      </w:r>
      <w:r>
        <w:rPr>
          <w:rFonts w:hint="eastAsia" w:ascii="楷体_GB2312" w:eastAsia="楷体_GB2312"/>
          <w:b/>
          <w:sz w:val="32"/>
          <w:szCs w:val="32"/>
        </w:rPr>
        <w:t>强力推进节能减排</w:t>
      </w:r>
    </w:p>
    <w:p>
      <w:pPr>
        <w:shd w:val="clear" w:color="auto" w:fill="FFFFFF"/>
        <w:spacing w:after="0" w:line="600" w:lineRule="exact"/>
        <w:ind w:firstLine="640" w:firstLineChars="200"/>
        <w:jc w:val="both"/>
        <w:rPr>
          <w:rFonts w:ascii="仿宋_GB2312" w:hAnsi="宋体" w:eastAsia="仿宋_GB2312"/>
          <w:sz w:val="32"/>
          <w:szCs w:val="32"/>
        </w:rPr>
      </w:pPr>
      <w:r>
        <w:rPr>
          <w:rFonts w:hint="eastAsia" w:ascii="仿宋_GB2312" w:hAnsi="宋体" w:eastAsia="仿宋_GB2312"/>
          <w:sz w:val="32"/>
          <w:szCs w:val="32"/>
        </w:rPr>
        <w:t>以建设资源节约型、环境友好型社会为目标，推动能源生产和消费革命，加强资源的节约集约利用，优化能源结构，逐步</w:t>
      </w:r>
      <w:r>
        <w:rPr>
          <w:rFonts w:hint="eastAsia" w:ascii="仿宋_GB2312" w:hAnsi="宋体" w:eastAsia="仿宋_GB2312"/>
          <w:color w:val="000000"/>
          <w:sz w:val="32"/>
          <w:szCs w:val="32"/>
        </w:rPr>
        <w:t>提高地热</w:t>
      </w:r>
      <w:r>
        <w:rPr>
          <w:rFonts w:ascii="仿宋_GB2312" w:hAnsi="宋体" w:eastAsia="仿宋_GB2312"/>
          <w:color w:val="000000"/>
          <w:sz w:val="32"/>
          <w:szCs w:val="32"/>
        </w:rPr>
        <w:t>等</w:t>
      </w:r>
      <w:r>
        <w:rPr>
          <w:rFonts w:hint="eastAsia" w:ascii="仿宋_GB2312" w:hAnsi="宋体" w:eastAsia="仿宋_GB2312"/>
          <w:color w:val="000000"/>
          <w:sz w:val="32"/>
          <w:szCs w:val="32"/>
        </w:rPr>
        <w:t>清</w:t>
      </w:r>
      <w:r>
        <w:rPr>
          <w:rFonts w:hint="eastAsia" w:ascii="仿宋_GB2312" w:hAnsi="宋体" w:eastAsia="仿宋_GB2312"/>
          <w:sz w:val="32"/>
          <w:szCs w:val="32"/>
        </w:rPr>
        <w:t>洁能源使用比重，推进可再生能源的开发使用，建立“安全、清洁、高效、可持续”的现代能源体系，提高能源资源利用效率和效益。全面落实能耗强度和能源消费总量控制制度，建立健全监测、统计、考核三大体系，抓好工业、建筑、交通、公共机构等重点领域节能，强化重点耗能企业监管。到</w:t>
      </w:r>
      <w:r>
        <w:rPr>
          <w:rFonts w:ascii="仿宋_GB2312" w:hAnsi="宋体" w:eastAsia="仿宋_GB2312"/>
          <w:sz w:val="32"/>
          <w:szCs w:val="32"/>
        </w:rPr>
        <w:t>2020</w:t>
      </w:r>
      <w:r>
        <w:rPr>
          <w:rFonts w:hint="eastAsia" w:ascii="仿宋_GB2312" w:hAnsi="宋体" w:eastAsia="仿宋_GB2312"/>
          <w:sz w:val="32"/>
          <w:szCs w:val="32"/>
        </w:rPr>
        <w:t>年，单位生产总值能耗比</w:t>
      </w:r>
      <w:r>
        <w:rPr>
          <w:rFonts w:ascii="仿宋_GB2312" w:hAnsi="宋体" w:eastAsia="仿宋_GB2312"/>
          <w:sz w:val="32"/>
          <w:szCs w:val="32"/>
        </w:rPr>
        <w:t>2015</w:t>
      </w:r>
      <w:r>
        <w:rPr>
          <w:rFonts w:hint="eastAsia" w:ascii="仿宋_GB2312" w:hAnsi="宋体" w:eastAsia="仿宋_GB2312"/>
          <w:sz w:val="32"/>
          <w:szCs w:val="32"/>
        </w:rPr>
        <w:t>年下降</w:t>
      </w:r>
      <w:r>
        <w:rPr>
          <w:rFonts w:ascii="仿宋_GB2312" w:hAnsi="宋体" w:eastAsia="仿宋_GB2312"/>
          <w:sz w:val="32"/>
          <w:szCs w:val="32"/>
        </w:rPr>
        <w:t>16%</w:t>
      </w:r>
      <w:r>
        <w:rPr>
          <w:rFonts w:hint="eastAsia" w:ascii="仿宋_GB2312" w:hAnsi="宋体" w:eastAsia="仿宋_GB2312"/>
          <w:sz w:val="32"/>
          <w:szCs w:val="32"/>
        </w:rPr>
        <w:t>左右。合理控制城市机动车保有量，加快新能源汽车和清洁能源汽车的推广应用，积极发展多种形式的大容量公共交通，打造绿色、低碳、多元的交通模式。“十三五”末，能源消费总量控制在</w:t>
      </w:r>
      <w:r>
        <w:rPr>
          <w:rFonts w:ascii="仿宋_GB2312" w:hAnsi="宋体" w:eastAsia="仿宋_GB2312"/>
          <w:sz w:val="32"/>
          <w:szCs w:val="32"/>
        </w:rPr>
        <w:t>1800</w:t>
      </w:r>
      <w:r>
        <w:rPr>
          <w:rFonts w:hint="eastAsia" w:ascii="仿宋_GB2312" w:hAnsi="宋体" w:eastAsia="仿宋_GB2312"/>
          <w:sz w:val="32"/>
          <w:szCs w:val="32"/>
        </w:rPr>
        <w:t>万吨标准煤，非化石能源占能源消费比重提高到</w:t>
      </w:r>
      <w:r>
        <w:rPr>
          <w:rFonts w:ascii="仿宋_GB2312" w:hAnsi="宋体" w:eastAsia="仿宋_GB2312"/>
          <w:sz w:val="32"/>
          <w:szCs w:val="32"/>
        </w:rPr>
        <w:t>11%</w:t>
      </w:r>
      <w:r>
        <w:rPr>
          <w:rFonts w:hint="eastAsia" w:ascii="仿宋_GB2312" w:hAnsi="宋体" w:eastAsia="仿宋_GB2312"/>
          <w:sz w:val="32"/>
          <w:szCs w:val="32"/>
        </w:rPr>
        <w:t>以上，碳排放强度累计下降15%。到</w:t>
      </w:r>
      <w:r>
        <w:rPr>
          <w:rFonts w:ascii="仿宋_GB2312" w:hAnsi="宋体" w:eastAsia="仿宋_GB2312"/>
          <w:sz w:val="32"/>
          <w:szCs w:val="32"/>
        </w:rPr>
        <w:t>2020</w:t>
      </w:r>
      <w:r>
        <w:rPr>
          <w:rFonts w:hint="eastAsia" w:ascii="仿宋_GB2312" w:hAnsi="宋体" w:eastAsia="仿宋_GB2312"/>
          <w:sz w:val="32"/>
          <w:szCs w:val="32"/>
        </w:rPr>
        <w:t>年，煤炭占能源消费总量比重降低到</w:t>
      </w:r>
      <w:r>
        <w:rPr>
          <w:rFonts w:ascii="仿宋_GB2312" w:hAnsi="宋体" w:eastAsia="仿宋_GB2312"/>
          <w:sz w:val="32"/>
          <w:szCs w:val="32"/>
        </w:rPr>
        <w:t>65%</w:t>
      </w:r>
      <w:r>
        <w:rPr>
          <w:rFonts w:hint="eastAsia" w:ascii="仿宋_GB2312" w:hAnsi="宋体" w:eastAsia="仿宋_GB2312"/>
          <w:sz w:val="32"/>
          <w:szCs w:val="32"/>
        </w:rPr>
        <w:t>以下。</w:t>
      </w:r>
    </w:p>
    <w:p>
      <w:pPr>
        <w:widowControl w:val="0"/>
        <w:pBdr>
          <w:bottom w:val="single" w:color="FFFFFF" w:sz="4" w:space="31"/>
        </w:pBdr>
        <w:topLinePunct/>
        <w:spacing w:after="0" w:line="600" w:lineRule="exact"/>
        <w:jc w:val="center"/>
        <w:rPr>
          <w:rFonts w:ascii="楷体_GB2312" w:eastAsia="楷体_GB2312"/>
          <w:b/>
          <w:sz w:val="32"/>
          <w:szCs w:val="32"/>
        </w:rPr>
      </w:pPr>
    </w:p>
    <w:p>
      <w:pPr>
        <w:widowControl w:val="0"/>
        <w:pBdr>
          <w:bottom w:val="single" w:color="FFFFFF" w:sz="4" w:space="31"/>
        </w:pBdr>
        <w:topLinePunct/>
        <w:spacing w:after="0" w:line="600" w:lineRule="exact"/>
        <w:jc w:val="center"/>
        <w:rPr>
          <w:rFonts w:ascii="楷体_GB2312" w:eastAsia="楷体_GB2312"/>
          <w:b/>
          <w:sz w:val="32"/>
          <w:szCs w:val="32"/>
        </w:rPr>
      </w:pPr>
      <w:r>
        <w:rPr>
          <w:rFonts w:hint="eastAsia" w:ascii="楷体_GB2312" w:eastAsia="楷体_GB2312"/>
          <w:b/>
          <w:sz w:val="32"/>
          <w:szCs w:val="32"/>
        </w:rPr>
        <w:t>第二节</w:t>
      </w:r>
      <w:r>
        <w:rPr>
          <w:rFonts w:ascii="楷体_GB2312" w:eastAsia="楷体_GB2312"/>
          <w:b/>
          <w:sz w:val="32"/>
          <w:szCs w:val="32"/>
        </w:rPr>
        <w:t xml:space="preserve">  </w:t>
      </w:r>
      <w:r>
        <w:rPr>
          <w:rFonts w:hint="eastAsia" w:ascii="楷体_GB2312" w:eastAsia="楷体_GB2312"/>
          <w:b/>
          <w:sz w:val="32"/>
          <w:szCs w:val="32"/>
        </w:rPr>
        <w:t>大力发展循环经济</w:t>
      </w:r>
    </w:p>
    <w:p>
      <w:pPr>
        <w:widowControl w:val="0"/>
        <w:pBdr>
          <w:bottom w:val="single" w:color="FFFFFF" w:sz="4" w:space="31"/>
        </w:pBdr>
        <w:topLinePunct/>
        <w:spacing w:after="0" w:line="600" w:lineRule="exact"/>
        <w:ind w:firstLine="630" w:firstLineChars="197"/>
        <w:jc w:val="both"/>
        <w:rPr>
          <w:rFonts w:hint="eastAsia" w:ascii="仿宋_GB2312" w:hAnsi="宋体" w:eastAsia="仿宋_GB2312"/>
          <w:sz w:val="32"/>
          <w:szCs w:val="32"/>
        </w:rPr>
      </w:pPr>
      <w:r>
        <w:rPr>
          <w:rFonts w:hint="eastAsia" w:ascii="仿宋_GB2312" w:hAnsi="宋体" w:eastAsia="仿宋_GB2312"/>
          <w:sz w:val="32"/>
          <w:szCs w:val="32"/>
        </w:rPr>
        <w:t>实施循环发展引领计划，推行企业循环式生产、产业循环式组合、园区循环式改造、单位产出物质消耗明显减少。推进循环经济试点示范，鼓励县（区）、园区、企业创建省级循环经济试点，培育一批循环经济示范单位；实施一批重点工程，推动全市循环经济规模化、产业化发展。开展陕西法士特汽车传动集团公司再制造产品“以旧换再”试点工作。积极申报国家“城市矿产”示范基地备选园区；支持利用尾矿渣生产建材、化工等项目建设，抓好再生资源加工利用项目，实施农林废弃物利用工程；搭建促进资源循环利用的公共服务平台，建设汽车及家电回收处理中心，废金属、废旧橡胶等资源再生利用及城市建筑垃圾处理中心；争取郭家河煤矿列入国家循环经济试点，支持长青工业园区循环经济发展和麟游天堂煤炭产业循环经济科技工业园建设。</w:t>
      </w:r>
    </w:p>
    <w:p>
      <w:pPr>
        <w:widowControl w:val="0"/>
        <w:pBdr>
          <w:bottom w:val="single" w:color="FFFFFF" w:sz="4" w:space="31"/>
        </w:pBdr>
        <w:topLinePunct/>
        <w:spacing w:after="0" w:line="600" w:lineRule="exact"/>
        <w:jc w:val="center"/>
        <w:rPr>
          <w:rFonts w:hint="eastAsia" w:ascii="楷体_GB2312" w:eastAsia="楷体_GB2312"/>
          <w:b/>
          <w:sz w:val="32"/>
          <w:szCs w:val="32"/>
        </w:rPr>
      </w:pPr>
    </w:p>
    <w:p>
      <w:pPr>
        <w:widowControl w:val="0"/>
        <w:pBdr>
          <w:bottom w:val="single" w:color="FFFFFF" w:sz="4" w:space="31"/>
        </w:pBdr>
        <w:topLinePunct/>
        <w:spacing w:after="0" w:line="600" w:lineRule="exact"/>
        <w:jc w:val="center"/>
        <w:rPr>
          <w:rFonts w:ascii="楷体_GB2312" w:eastAsia="楷体_GB2312"/>
          <w:b/>
          <w:sz w:val="32"/>
          <w:szCs w:val="32"/>
        </w:rPr>
      </w:pPr>
      <w:r>
        <w:rPr>
          <w:rFonts w:hint="eastAsia" w:ascii="楷体_GB2312" w:eastAsia="楷体_GB2312"/>
          <w:b/>
          <w:sz w:val="32"/>
          <w:szCs w:val="32"/>
        </w:rPr>
        <w:t>第三节</w:t>
      </w:r>
      <w:r>
        <w:rPr>
          <w:rFonts w:ascii="楷体_GB2312" w:eastAsia="楷体_GB2312"/>
          <w:b/>
          <w:sz w:val="32"/>
          <w:szCs w:val="32"/>
        </w:rPr>
        <w:t xml:space="preserve">  </w:t>
      </w:r>
      <w:r>
        <w:rPr>
          <w:rFonts w:hint="eastAsia" w:ascii="楷体_GB2312" w:eastAsia="楷体_GB2312"/>
          <w:b/>
          <w:sz w:val="32"/>
          <w:szCs w:val="32"/>
        </w:rPr>
        <w:t>强化资源节约利用</w:t>
      </w:r>
    </w:p>
    <w:p>
      <w:pPr>
        <w:widowControl w:val="0"/>
        <w:pBdr>
          <w:bottom w:val="single" w:color="FFFFFF" w:sz="4" w:space="31"/>
        </w:pBdr>
        <w:topLinePunct/>
        <w:spacing w:after="0" w:line="600" w:lineRule="exact"/>
        <w:ind w:firstLine="643" w:firstLineChars="200"/>
        <w:jc w:val="both"/>
        <w:rPr>
          <w:rFonts w:ascii="仿宋_GB2312" w:hAnsi="宋体" w:eastAsia="仿宋_GB2312"/>
          <w:sz w:val="32"/>
          <w:szCs w:val="32"/>
        </w:rPr>
      </w:pPr>
      <w:r>
        <w:rPr>
          <w:rFonts w:hint="eastAsia" w:ascii="仿宋_GB2312" w:hAnsi="宋体" w:eastAsia="仿宋_GB2312"/>
          <w:b/>
          <w:sz w:val="32"/>
          <w:szCs w:val="32"/>
        </w:rPr>
        <w:t>水资源。</w:t>
      </w:r>
      <w:r>
        <w:rPr>
          <w:rFonts w:hint="eastAsia" w:ascii="仿宋_GB2312" w:hAnsi="宋体" w:eastAsia="仿宋_GB2312"/>
          <w:sz w:val="32"/>
          <w:szCs w:val="32"/>
        </w:rPr>
        <w:t>实施最严格的水资源管理制度，实行用水总量控制，完善制度加强用水需求管理，制定分地区、分行业用水效率定额标准，以水定需、量水而行，抵制不合理用水需求，促进人口、经济社会与水资源协调发展。加强节水型社会建设，推广农业高效节水灌溉技术，推进高耗水工业节水改造，加强城市生活节水，强化全面节水意识，树立一批节水型示范单位。继续推进污水处理设施建设，加强再生水、矿井水、空中云水等非常规水源利用。单位</w:t>
      </w:r>
      <w:r>
        <w:rPr>
          <w:rFonts w:ascii="仿宋_GB2312" w:hAnsi="宋体" w:eastAsia="仿宋_GB2312"/>
          <w:sz w:val="32"/>
          <w:szCs w:val="32"/>
        </w:rPr>
        <w:t>生产总值</w:t>
      </w:r>
      <w:r>
        <w:rPr>
          <w:rFonts w:hint="eastAsia" w:ascii="仿宋_GB2312" w:hAnsi="宋体" w:eastAsia="仿宋_GB2312"/>
          <w:sz w:val="32"/>
          <w:szCs w:val="32"/>
        </w:rPr>
        <w:t>用水量</w:t>
      </w:r>
      <w:r>
        <w:rPr>
          <w:rFonts w:ascii="仿宋_GB2312" w:hAnsi="宋体" w:eastAsia="仿宋_GB2312"/>
          <w:sz w:val="32"/>
          <w:szCs w:val="32"/>
        </w:rPr>
        <w:t>累计下降</w:t>
      </w:r>
      <w:r>
        <w:rPr>
          <w:rFonts w:hint="eastAsia" w:ascii="仿宋_GB2312" w:hAnsi="宋体" w:eastAsia="仿宋_GB2312"/>
          <w:sz w:val="32"/>
          <w:szCs w:val="32"/>
        </w:rPr>
        <w:t>3</w:t>
      </w:r>
      <w:r>
        <w:rPr>
          <w:rFonts w:ascii="仿宋_GB2312" w:hAnsi="宋体" w:eastAsia="仿宋_GB2312"/>
          <w:sz w:val="32"/>
          <w:szCs w:val="32"/>
        </w:rPr>
        <w:t>8</w:t>
      </w:r>
      <w:r>
        <w:rPr>
          <w:rFonts w:hint="eastAsia" w:ascii="仿宋_GB2312" w:hAnsi="宋体" w:eastAsia="仿宋_GB2312"/>
          <w:sz w:val="32"/>
          <w:szCs w:val="32"/>
        </w:rPr>
        <w:t>.8</w:t>
      </w:r>
      <w:r>
        <w:rPr>
          <w:rFonts w:ascii="仿宋_GB2312" w:hAnsi="宋体" w:eastAsia="仿宋_GB2312"/>
          <w:sz w:val="32"/>
          <w:szCs w:val="32"/>
        </w:rPr>
        <w:t>%</w:t>
      </w:r>
      <w:r>
        <w:rPr>
          <w:rFonts w:hint="eastAsia" w:ascii="仿宋_GB2312" w:hAnsi="宋体" w:eastAsia="仿宋_GB2312"/>
          <w:sz w:val="32"/>
          <w:szCs w:val="32"/>
        </w:rPr>
        <w:t>。</w:t>
      </w:r>
      <w:r>
        <w:rPr>
          <w:rFonts w:ascii="仿宋_GB2312" w:hAnsi="宋体" w:eastAsia="仿宋_GB2312"/>
          <w:sz w:val="32"/>
          <w:szCs w:val="32"/>
        </w:rPr>
        <w:t>2020</w:t>
      </w:r>
      <w:r>
        <w:rPr>
          <w:rFonts w:hint="eastAsia" w:ascii="仿宋_GB2312" w:hAnsi="宋体" w:eastAsia="仿宋_GB2312"/>
          <w:sz w:val="32"/>
          <w:szCs w:val="32"/>
        </w:rPr>
        <w:t>年，金渭（高新区）再生水回用率达到</w:t>
      </w:r>
      <w:r>
        <w:rPr>
          <w:rFonts w:ascii="仿宋_GB2312" w:hAnsi="宋体" w:eastAsia="仿宋_GB2312"/>
          <w:sz w:val="32"/>
          <w:szCs w:val="32"/>
        </w:rPr>
        <w:t>30%</w:t>
      </w:r>
      <w:r>
        <w:rPr>
          <w:rFonts w:hint="eastAsia" w:ascii="仿宋_GB2312" w:hAnsi="宋体" w:eastAsia="仿宋_GB2312"/>
          <w:sz w:val="32"/>
          <w:szCs w:val="32"/>
        </w:rPr>
        <w:t>以上，陈仓区和蔡家坡达到</w:t>
      </w:r>
      <w:r>
        <w:rPr>
          <w:rFonts w:ascii="仿宋_GB2312" w:hAnsi="宋体" w:eastAsia="仿宋_GB2312"/>
          <w:sz w:val="32"/>
          <w:szCs w:val="32"/>
        </w:rPr>
        <w:t xml:space="preserve"> 20%</w:t>
      </w:r>
      <w:r>
        <w:rPr>
          <w:rFonts w:hint="eastAsia" w:ascii="仿宋_GB2312" w:hAnsi="宋体" w:eastAsia="仿宋_GB2312"/>
          <w:sz w:val="32"/>
          <w:szCs w:val="32"/>
        </w:rPr>
        <w:t>以上。</w:t>
      </w:r>
    </w:p>
    <w:p>
      <w:pPr>
        <w:widowControl w:val="0"/>
        <w:pBdr>
          <w:bottom w:val="single" w:color="FFFFFF" w:sz="4" w:space="31"/>
        </w:pBdr>
        <w:topLinePunct/>
        <w:spacing w:after="0" w:line="600" w:lineRule="exact"/>
        <w:ind w:firstLine="646"/>
        <w:jc w:val="both"/>
        <w:rPr>
          <w:rFonts w:ascii="仿宋_GB2312" w:hAnsi="宋体" w:eastAsia="仿宋_GB2312"/>
          <w:sz w:val="32"/>
          <w:szCs w:val="32"/>
        </w:rPr>
      </w:pPr>
      <w:r>
        <w:rPr>
          <w:rFonts w:hint="eastAsia" w:ascii="仿宋_GB2312" w:hAnsi="宋体" w:eastAsia="仿宋_GB2312"/>
          <w:b/>
          <w:sz w:val="32"/>
          <w:szCs w:val="32"/>
        </w:rPr>
        <w:t>土地资源。</w:t>
      </w:r>
      <w:r>
        <w:rPr>
          <w:rFonts w:hint="eastAsia" w:ascii="仿宋_GB2312" w:hAnsi="宋体" w:eastAsia="仿宋_GB2312"/>
          <w:sz w:val="32"/>
          <w:szCs w:val="32"/>
        </w:rPr>
        <w:t>按照严控增量、盘活存量、优化结构、提高效率的原则，加强土地利用的规划管控、市场调节、标准控制和考核监管，严格土地用途管制，节约集约利用国土资源。严格耕地保护红线，公布永久性基本农田目录，对新增建设用地占用耕地规模实行总量控制，严格落实耕地占补平衡，确保耕地数量不减少、质量不降低。科学确定新增建设用地规模、结构和时序，盘活存量建设用地，清理闲置土地，推进城镇低效用地再开发，严格控制农村集体建设用地规模，提高用地效率。继续加大闲置土地处置力度，依法收回违规用地，确保稀缺资源优先用于重大基础设施、战略性新兴产业和民生项目。</w:t>
      </w:r>
    </w:p>
    <w:p>
      <w:pPr>
        <w:widowControl w:val="0"/>
        <w:pBdr>
          <w:bottom w:val="single" w:color="FFFFFF" w:sz="4" w:space="31"/>
        </w:pBdr>
        <w:topLinePunct/>
        <w:spacing w:after="0" w:line="600" w:lineRule="exact"/>
        <w:ind w:firstLine="643" w:firstLineChars="200"/>
        <w:jc w:val="both"/>
        <w:rPr>
          <w:rFonts w:hint="eastAsia" w:ascii="仿宋_GB2312" w:hAnsi="宋体" w:eastAsia="仿宋_GB2312"/>
          <w:sz w:val="32"/>
          <w:szCs w:val="32"/>
        </w:rPr>
      </w:pPr>
      <w:r>
        <w:rPr>
          <w:rFonts w:hint="eastAsia" w:ascii="仿宋_GB2312" w:hAnsi="宋体" w:eastAsia="仿宋_GB2312"/>
          <w:b/>
          <w:sz w:val="32"/>
          <w:szCs w:val="32"/>
        </w:rPr>
        <w:t>矿产资源。</w:t>
      </w:r>
      <w:r>
        <w:rPr>
          <w:rFonts w:hint="eastAsia" w:ascii="仿宋_GB2312" w:hAnsi="宋体" w:eastAsia="仿宋_GB2312"/>
          <w:sz w:val="32"/>
          <w:szCs w:val="32"/>
        </w:rPr>
        <w:t>全面贯彻落实节约优先战略，以矿产资源合理利用与保护为主线，以转变资源开发利用方式为核心，以技术创新和制度创新为动力，强化政策引导和制度约束，严格资源开发利用效率准入，加强资源开发利用过程监管，扩大资源节约与综合利用规模，确保资源的高效开发和有效保护，全面提高矿产资源开发利用水平，推动矿业走节约、绿色、高效的可持续发展之路。</w:t>
      </w:r>
    </w:p>
    <w:p>
      <w:pPr>
        <w:widowControl w:val="0"/>
        <w:pBdr>
          <w:bottom w:val="single" w:color="FFFFFF" w:sz="4" w:space="31"/>
        </w:pBdr>
        <w:topLinePunct/>
        <w:spacing w:after="0" w:line="600" w:lineRule="exact"/>
        <w:jc w:val="center"/>
        <w:rPr>
          <w:rFonts w:hint="eastAsia" w:ascii="楷体_GB2312" w:eastAsia="楷体_GB2312"/>
          <w:b/>
          <w:sz w:val="32"/>
          <w:szCs w:val="32"/>
        </w:rPr>
      </w:pPr>
    </w:p>
    <w:p>
      <w:pPr>
        <w:widowControl w:val="0"/>
        <w:pBdr>
          <w:bottom w:val="single" w:color="FFFFFF" w:sz="4" w:space="31"/>
        </w:pBdr>
        <w:topLinePunct/>
        <w:spacing w:after="0" w:line="600" w:lineRule="exact"/>
        <w:jc w:val="center"/>
        <w:rPr>
          <w:rFonts w:hint="eastAsia" w:ascii="楷体_GB2312" w:eastAsia="楷体_GB2312"/>
          <w:b/>
          <w:sz w:val="32"/>
          <w:szCs w:val="32"/>
        </w:rPr>
      </w:pPr>
      <w:r>
        <w:rPr>
          <w:rFonts w:hint="eastAsia" w:ascii="楷体_GB2312" w:eastAsia="楷体_GB2312"/>
          <w:b/>
          <w:sz w:val="32"/>
          <w:szCs w:val="32"/>
        </w:rPr>
        <w:t>第四节</w:t>
      </w:r>
      <w:r>
        <w:rPr>
          <w:rFonts w:ascii="楷体_GB2312" w:eastAsia="楷体_GB2312"/>
          <w:b/>
          <w:sz w:val="32"/>
          <w:szCs w:val="32"/>
        </w:rPr>
        <w:t xml:space="preserve">  </w:t>
      </w:r>
      <w:r>
        <w:rPr>
          <w:rFonts w:hint="eastAsia" w:ascii="楷体_GB2312" w:eastAsia="楷体_GB2312"/>
          <w:b/>
          <w:sz w:val="32"/>
          <w:szCs w:val="32"/>
        </w:rPr>
        <w:t>持续抓好污染防治</w:t>
      </w:r>
    </w:p>
    <w:p>
      <w:pPr>
        <w:widowControl w:val="0"/>
        <w:pBdr>
          <w:bottom w:val="single" w:color="FFFFFF" w:sz="4" w:space="31"/>
        </w:pBdr>
        <w:topLinePunct/>
        <w:spacing w:after="0" w:line="600" w:lineRule="exact"/>
        <w:ind w:firstLine="640" w:firstLineChars="200"/>
        <w:jc w:val="both"/>
        <w:rPr>
          <w:rFonts w:ascii="仿宋_GB2312" w:hAnsi="宋体" w:eastAsia="仿宋_GB2312"/>
          <w:sz w:val="32"/>
          <w:szCs w:val="32"/>
        </w:rPr>
      </w:pPr>
      <w:r>
        <w:rPr>
          <w:rFonts w:hint="eastAsia" w:ascii="仿宋_GB2312" w:hAnsi="宋体" w:eastAsia="仿宋_GB2312"/>
          <w:sz w:val="32"/>
          <w:szCs w:val="32"/>
        </w:rPr>
        <w:t>加强各类污染防治力度，实施环境质量改善工程，持续抓好大气、水体、土壤环境治理改善，优化环境质量。继续加大大气污染综合治理，推行煤炭消费总量和质量控制制度，推动</w:t>
      </w:r>
      <w:r>
        <w:rPr>
          <w:rFonts w:ascii="仿宋_GB2312" w:hAnsi="宋体" w:eastAsia="仿宋_GB2312"/>
          <w:sz w:val="32"/>
          <w:szCs w:val="32"/>
        </w:rPr>
        <w:t>城乡燃煤减量替代和清洁利用，加快</w:t>
      </w:r>
      <w:r>
        <w:rPr>
          <w:rFonts w:hint="eastAsia" w:ascii="仿宋_GB2312" w:hAnsi="宋体" w:eastAsia="仿宋_GB2312"/>
          <w:sz w:val="32"/>
          <w:szCs w:val="32"/>
        </w:rPr>
        <w:t>发电</w:t>
      </w:r>
      <w:r>
        <w:rPr>
          <w:rFonts w:ascii="仿宋_GB2312" w:hAnsi="宋体" w:eastAsia="仿宋_GB2312"/>
          <w:sz w:val="32"/>
          <w:szCs w:val="32"/>
        </w:rPr>
        <w:t>等高耗能行业超低排放改造，开展挥发性有机物治理，强化机动车尾气治理，淘汰黄标车和老旧车辆，集中治理扬尘</w:t>
      </w:r>
      <w:r>
        <w:rPr>
          <w:rFonts w:hint="eastAsia" w:ascii="仿宋_GB2312" w:hAnsi="宋体" w:eastAsia="仿宋_GB2312"/>
          <w:sz w:val="32"/>
          <w:szCs w:val="32"/>
        </w:rPr>
        <w:t>，控制农作物秸秆燃烧，进一步提高城市环境空气质量。实施清净水体工程，完成城镇集中式饮用水源保护区划定工作，开展水质全指标监测分析，优先保证饮用水源地水质；进一步优化产业结构，淘汰高耗水、高污染落后产能，实施工业集聚区水污染集中治理；深化渭河治理成果，抓好重点支流污染治理，确保全市主要河流水质稳步提升。加强对危险废物、放射性废物的管理</w:t>
      </w:r>
      <w:r>
        <w:rPr>
          <w:rFonts w:ascii="仿宋_GB2312" w:hAnsi="宋体" w:eastAsia="仿宋_GB2312"/>
          <w:sz w:val="32"/>
          <w:szCs w:val="32"/>
        </w:rPr>
        <w:t>，</w:t>
      </w:r>
      <w:r>
        <w:rPr>
          <w:rFonts w:hint="eastAsia" w:ascii="仿宋_GB2312" w:hAnsi="宋体" w:eastAsia="仿宋_GB2312"/>
          <w:sz w:val="32"/>
          <w:szCs w:val="32"/>
        </w:rPr>
        <w:t>防止</w:t>
      </w:r>
      <w:r>
        <w:rPr>
          <w:rFonts w:ascii="仿宋_GB2312" w:hAnsi="宋体" w:eastAsia="仿宋_GB2312"/>
          <w:sz w:val="32"/>
          <w:szCs w:val="32"/>
        </w:rPr>
        <w:t>流失</w:t>
      </w:r>
      <w:r>
        <w:rPr>
          <w:rFonts w:hint="eastAsia" w:ascii="仿宋_GB2312" w:hAnsi="宋体" w:eastAsia="仿宋_GB2312"/>
          <w:sz w:val="32"/>
          <w:szCs w:val="32"/>
        </w:rPr>
        <w:t>，推进铅、汞、铬等重金属污染防治和土壤污染治理。</w:t>
      </w:r>
    </w:p>
    <w:p>
      <w:pPr>
        <w:widowControl w:val="0"/>
        <w:pBdr>
          <w:bottom w:val="single" w:color="FFFFFF" w:sz="4" w:space="31"/>
        </w:pBdr>
        <w:topLinePunct/>
        <w:spacing w:after="0" w:line="600" w:lineRule="exact"/>
        <w:ind w:firstLine="640" w:firstLineChars="200"/>
        <w:jc w:val="both"/>
        <w:rPr>
          <w:rFonts w:hint="eastAsia" w:ascii="Times New Roman" w:hAnsi="Times New Roman" w:eastAsia="仿宋_GB2312"/>
          <w:sz w:val="32"/>
          <w:szCs w:val="32"/>
        </w:rPr>
      </w:pPr>
    </w:p>
    <w:p>
      <w:pPr>
        <w:widowControl w:val="0"/>
        <w:pBdr>
          <w:bottom w:val="single" w:color="FFFFFF" w:sz="4" w:space="31"/>
        </w:pBdr>
        <w:topLinePunct/>
        <w:spacing w:after="0" w:line="600" w:lineRule="exact"/>
        <w:jc w:val="center"/>
        <w:rPr>
          <w:rFonts w:ascii="楷体_GB2312" w:eastAsia="楷体_GB2312"/>
          <w:b/>
          <w:sz w:val="32"/>
          <w:szCs w:val="32"/>
        </w:rPr>
      </w:pPr>
      <w:r>
        <w:rPr>
          <w:rFonts w:hint="eastAsia" w:ascii="楷体_GB2312" w:eastAsia="楷体_GB2312"/>
          <w:b/>
          <w:sz w:val="32"/>
          <w:szCs w:val="32"/>
        </w:rPr>
        <w:t>第五节</w:t>
      </w:r>
      <w:r>
        <w:rPr>
          <w:rFonts w:ascii="楷体_GB2312" w:eastAsia="楷体_GB2312"/>
          <w:b/>
          <w:sz w:val="32"/>
          <w:szCs w:val="32"/>
        </w:rPr>
        <w:t xml:space="preserve">  </w:t>
      </w:r>
      <w:r>
        <w:rPr>
          <w:rFonts w:hint="eastAsia" w:ascii="楷体_GB2312" w:eastAsia="楷体_GB2312"/>
          <w:b/>
          <w:sz w:val="32"/>
          <w:szCs w:val="32"/>
        </w:rPr>
        <w:t>大力</w:t>
      </w:r>
      <w:r>
        <w:rPr>
          <w:rFonts w:ascii="楷体_GB2312" w:eastAsia="楷体_GB2312"/>
          <w:b/>
          <w:sz w:val="32"/>
          <w:szCs w:val="32"/>
        </w:rPr>
        <w:t>培育低碳消费</w:t>
      </w:r>
      <w:r>
        <w:rPr>
          <w:rFonts w:hint="eastAsia" w:ascii="楷体_GB2312" w:eastAsia="楷体_GB2312"/>
          <w:b/>
          <w:sz w:val="32"/>
          <w:szCs w:val="32"/>
        </w:rPr>
        <w:t>生活</w:t>
      </w:r>
      <w:r>
        <w:rPr>
          <w:rFonts w:ascii="楷体_GB2312" w:eastAsia="楷体_GB2312"/>
          <w:b/>
          <w:sz w:val="32"/>
          <w:szCs w:val="32"/>
        </w:rPr>
        <w:t>方式</w:t>
      </w:r>
    </w:p>
    <w:p>
      <w:pPr>
        <w:pBdr>
          <w:bottom w:val="single" w:color="FFFFFF" w:sz="4" w:space="31"/>
        </w:pBdr>
        <w:topLinePunct/>
        <w:spacing w:after="0" w:line="600" w:lineRule="exact"/>
        <w:ind w:firstLine="640" w:firstLineChars="200"/>
        <w:jc w:val="both"/>
        <w:rPr>
          <w:rFonts w:ascii="仿宋_GB2312" w:hAnsi="宋体" w:eastAsia="仿宋_GB2312"/>
          <w:sz w:val="32"/>
          <w:szCs w:val="32"/>
        </w:rPr>
      </w:pPr>
      <w:r>
        <w:rPr>
          <w:rFonts w:hint="eastAsia" w:ascii="仿宋_GB2312" w:hAnsi="宋体" w:eastAsia="仿宋_GB2312"/>
          <w:sz w:val="32"/>
          <w:szCs w:val="32"/>
        </w:rPr>
        <w:t>积极实施应对气候变化减缓与适应同步推进战略，以技术创新、机制创新和体制创新促进产业结构、能源结构优化升级，严格控制化石能源消费，大幅降低温室气体排放。完善区域应对气候变化政策和科技预警机制，提高城乡建设、农、林、水资源等重点领域和脆弱生态地区适应气候变化能力。加快可再生能源建设，提高风电、太阳能光伏、水电等可再生能源比重，通过加强天然林资源保护和自然保护区监管，开展生态保护重点工程建设，增强森林及生态系统碳汇能力。加强气象预测预警能力建设。加强宣传、教育和培训，提高公众应对气候变化意识，鼓励和倡导可持续的生活方式，引导低碳消费，倡导低碳生活，建设低碳社会。</w:t>
      </w:r>
    </w:p>
    <w:p>
      <w:pPr>
        <w:pBdr>
          <w:bottom w:val="single" w:color="FFFFFF" w:sz="4" w:space="31"/>
        </w:pBdr>
        <w:topLinePunct/>
        <w:spacing w:after="0" w:line="600" w:lineRule="exact"/>
        <w:jc w:val="both"/>
        <w:rPr>
          <w:rFonts w:ascii="黑体" w:hAnsi="黑体" w:eastAsia="黑体"/>
          <w:sz w:val="32"/>
          <w:szCs w:val="32"/>
        </w:rPr>
      </w:pPr>
    </w:p>
    <w:p>
      <w:pPr>
        <w:pBdr>
          <w:bottom w:val="single" w:color="FFFFFF" w:sz="4" w:space="31"/>
        </w:pBdr>
        <w:topLinePunct/>
        <w:spacing w:after="0" w:line="600" w:lineRule="exact"/>
        <w:jc w:val="center"/>
        <w:rPr>
          <w:rFonts w:ascii="黑体" w:hAnsi="黑体" w:eastAsia="黑体"/>
          <w:sz w:val="32"/>
          <w:szCs w:val="32"/>
        </w:rPr>
      </w:pPr>
      <w:r>
        <w:rPr>
          <w:rFonts w:hint="eastAsia" w:ascii="黑体" w:hAnsi="黑体" w:eastAsia="黑体"/>
          <w:sz w:val="32"/>
          <w:szCs w:val="32"/>
        </w:rPr>
        <w:t>第二十五章  精心打造“绿色宝鸡”生态品牌</w:t>
      </w:r>
    </w:p>
    <w:p>
      <w:pPr>
        <w:pBdr>
          <w:bottom w:val="single" w:color="FFFFFF" w:sz="4" w:space="31"/>
        </w:pBdr>
        <w:topLinePunct/>
        <w:spacing w:after="0" w:line="600" w:lineRule="exact"/>
        <w:jc w:val="both"/>
        <w:rPr>
          <w:rFonts w:ascii="楷体_GB2312" w:eastAsia="楷体_GB2312"/>
          <w:b/>
          <w:sz w:val="32"/>
          <w:szCs w:val="32"/>
        </w:rPr>
      </w:pPr>
    </w:p>
    <w:p>
      <w:pPr>
        <w:pBdr>
          <w:bottom w:val="single" w:color="FFFFFF" w:sz="4" w:space="31"/>
        </w:pBdr>
        <w:topLinePunct/>
        <w:spacing w:after="0" w:line="600" w:lineRule="exact"/>
        <w:jc w:val="center"/>
        <w:rPr>
          <w:rFonts w:ascii="楷体_GB2312" w:eastAsia="楷体_GB2312"/>
          <w:b/>
          <w:sz w:val="32"/>
          <w:szCs w:val="32"/>
        </w:rPr>
      </w:pPr>
      <w:r>
        <w:rPr>
          <w:rFonts w:hint="eastAsia" w:ascii="楷体_GB2312" w:eastAsia="楷体_GB2312"/>
          <w:b/>
          <w:sz w:val="32"/>
          <w:szCs w:val="32"/>
        </w:rPr>
        <w:t>第一节  持续提升生态建设水平</w:t>
      </w:r>
    </w:p>
    <w:p>
      <w:pPr>
        <w:pBdr>
          <w:bottom w:val="single" w:color="FFFFFF" w:sz="4" w:space="31"/>
        </w:pBdr>
        <w:topLinePunct/>
        <w:spacing w:after="0" w:line="600" w:lineRule="exact"/>
        <w:rPr>
          <w:rFonts w:hint="eastAsia" w:ascii="楷体_GB2312" w:eastAsia="楷体_GB2312"/>
          <w:b/>
          <w:sz w:val="32"/>
          <w:szCs w:val="32"/>
        </w:rPr>
      </w:pPr>
      <w:r>
        <w:rPr>
          <w:rFonts w:hint="eastAsia" w:ascii="楷体_GB2312" w:eastAsia="楷体_GB2312"/>
          <w:b/>
          <w:sz w:val="32"/>
          <w:szCs w:val="32"/>
        </w:rPr>
        <w:t xml:space="preserve">    </w:t>
      </w:r>
      <w:r>
        <w:rPr>
          <w:rFonts w:hint="eastAsia" w:ascii="仿宋_GB2312" w:eastAsia="仿宋_GB2312"/>
          <w:sz w:val="32"/>
          <w:szCs w:val="32"/>
        </w:rPr>
        <w:t>坚持优化结构、提升品位，绿化美化、造林造景的思路，优化完善生态基础空间布局，全面推进以绿色宝鸡“九大工程”为支撑的关中大地园林化建设，加速城镇绿化提升、农村绿化覆盖和重点区域绿化延伸，提升园林绿化规模和档次，构建城镇村庄风景如画、河流湿地生态如镜、沿路沿渠林带如网、台塬坡面森林如屏的山、水、园、林、城一体化生态网络系统，率先形成关中大地园林化景观。“十三五”末建成二星级国家生态园林城市，实现国家园林县城全覆盖，全市森林覆盖率达到56%以上，人均公共绿地面积达到12平方米。以最美乡村创建和“三化一片林”生态家园建设工程为载体，积极开展生态市、生态县、生态镇、生态村“四级联创”活动，全面推进村庄环境整治和农村环境连片整治，实现村庄整洁、环境优美、生态良好、乡风文明的建设目标。到2020年，成功创建国家生态市，实现省级生态县（区）、绿化模范县（区）全覆盖，力争</w:t>
      </w:r>
      <w:r>
        <w:rPr>
          <w:rFonts w:ascii="仿宋_GB2312" w:eastAsia="仿宋_GB2312"/>
          <w:sz w:val="32"/>
          <w:szCs w:val="32"/>
        </w:rPr>
        <w:t>更多县</w:t>
      </w:r>
      <w:r>
        <w:rPr>
          <w:rFonts w:hint="eastAsia" w:ascii="仿宋_GB2312" w:eastAsia="仿宋_GB2312"/>
          <w:sz w:val="32"/>
          <w:szCs w:val="32"/>
        </w:rPr>
        <w:t>（</w:t>
      </w:r>
      <w:r>
        <w:rPr>
          <w:rFonts w:ascii="仿宋_GB2312" w:eastAsia="仿宋_GB2312"/>
          <w:sz w:val="32"/>
          <w:szCs w:val="32"/>
        </w:rPr>
        <w:t>区</w:t>
      </w:r>
      <w:r>
        <w:rPr>
          <w:rFonts w:hint="eastAsia" w:ascii="仿宋_GB2312" w:eastAsia="仿宋_GB2312"/>
          <w:sz w:val="32"/>
          <w:szCs w:val="32"/>
        </w:rPr>
        <w:t>）</w:t>
      </w:r>
      <w:r>
        <w:rPr>
          <w:rFonts w:ascii="仿宋_GB2312" w:eastAsia="仿宋_GB2312"/>
          <w:sz w:val="32"/>
          <w:szCs w:val="32"/>
        </w:rPr>
        <w:t>跻身国家级生态县。</w:t>
      </w:r>
    </w:p>
    <w:p>
      <w:pPr>
        <w:pBdr>
          <w:bottom w:val="single" w:color="FFFFFF" w:sz="4" w:space="31"/>
        </w:pBdr>
        <w:topLinePunct/>
        <w:spacing w:after="0" w:line="600" w:lineRule="exact"/>
        <w:rPr>
          <w:rFonts w:hint="eastAsia" w:ascii="仿宋_GB2312" w:hAnsi="宋体" w:eastAsia="仿宋_GB2312"/>
          <w:sz w:val="32"/>
          <w:szCs w:val="32"/>
        </w:rPr>
      </w:pPr>
      <w:r>
        <w:rPr>
          <w:rFonts w:hint="eastAsia" w:ascii="仿宋_GB2312" w:hAnsi="宋体" w:eastAsia="仿宋_GB2312"/>
          <w:sz w:val="32"/>
          <w:szCs w:val="32"/>
          <w:lang/>
        </w:rPr>
        <mc:AlternateContent>
          <mc:Choice Requires="wps">
            <w:drawing>
              <wp:anchor distT="45720" distB="45720" distL="114300" distR="114300" simplePos="0" relativeHeight="251688960" behindDoc="0" locked="0" layoutInCell="1" allowOverlap="1">
                <wp:simplePos x="0" y="0"/>
                <wp:positionH relativeFrom="margin">
                  <wp:posOffset>10160</wp:posOffset>
                </wp:positionH>
                <wp:positionV relativeFrom="margin">
                  <wp:posOffset>13970</wp:posOffset>
                </wp:positionV>
                <wp:extent cx="5522595" cy="4236085"/>
                <wp:effectExtent l="4445" t="4445" r="16510" b="7620"/>
                <wp:wrapSquare wrapText="bothSides"/>
                <wp:docPr id="30" name="文本框 2"/>
                <wp:cNvGraphicFramePr/>
                <a:graphic xmlns:a="http://schemas.openxmlformats.org/drawingml/2006/main">
                  <a:graphicData uri="http://schemas.microsoft.com/office/word/2010/wordprocessingShape">
                    <wps:wsp>
                      <wps:cNvSpPr txBox="1"/>
                      <wps:spPr>
                        <a:xfrm>
                          <a:off x="0" y="0"/>
                          <a:ext cx="5522595" cy="4236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eastAsia="黑体"/>
                                <w:b/>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2</w:t>
                            </w:r>
                          </w:p>
                          <w:p>
                            <w:pPr>
                              <w:spacing w:after="0" w:line="300" w:lineRule="exact"/>
                              <w:jc w:val="center"/>
                              <w:rPr>
                                <w:rFonts w:hint="eastAsia" w:ascii="楷体_GB2312" w:eastAsia="楷体_GB2312"/>
                                <w:b/>
                                <w:sz w:val="21"/>
                                <w:szCs w:val="21"/>
                              </w:rPr>
                            </w:pPr>
                            <w:r>
                              <w:rPr>
                                <w:rFonts w:hint="eastAsia" w:ascii="黑体" w:eastAsia="黑体"/>
                                <w:b/>
                                <w:sz w:val="21"/>
                                <w:szCs w:val="21"/>
                              </w:rPr>
                              <w:t>绿色宝鸡“九大工程”</w:t>
                            </w:r>
                          </w:p>
                          <w:p>
                            <w:pPr>
                              <w:spacing w:after="0" w:line="300" w:lineRule="exact"/>
                              <w:ind w:firstLine="527" w:firstLineChars="250"/>
                              <w:rPr>
                                <w:rFonts w:hint="eastAsia"/>
                              </w:rPr>
                            </w:pPr>
                            <w:r>
                              <w:rPr>
                                <w:rFonts w:hint="eastAsia" w:ascii="楷体_GB2312" w:eastAsia="楷体_GB2312"/>
                                <w:b/>
                                <w:sz w:val="21"/>
                                <w:szCs w:val="21"/>
                              </w:rPr>
                              <w:t>城区绿化工程：</w:t>
                            </w:r>
                            <w:r>
                              <w:rPr>
                                <w:rFonts w:hint="eastAsia" w:ascii="楷体_GB2312" w:eastAsia="楷体_GB2312"/>
                                <w:sz w:val="21"/>
                                <w:szCs w:val="21"/>
                              </w:rPr>
                              <w:t>在市区依山造林，蓄水造景，见空造绿，重点推进城市出入口、城乡结合部、社区和住宅小区楼盘立体绿化，实现森林环绕、林水相宜的城市森林化。</w:t>
                            </w:r>
                            <w:r>
                              <w:rPr>
                                <w:rFonts w:hint="eastAsia" w:ascii="楷体_GB2312" w:eastAsia="楷体_GB2312"/>
                                <w:b/>
                                <w:sz w:val="21"/>
                                <w:szCs w:val="21"/>
                              </w:rPr>
                              <w:t>台塬坡面绿化工程：</w:t>
                            </w:r>
                            <w:r>
                              <w:rPr>
                                <w:rFonts w:hint="eastAsia" w:ascii="楷体_GB2312" w:eastAsia="楷体_GB2312"/>
                                <w:sz w:val="21"/>
                                <w:szCs w:val="21"/>
                              </w:rPr>
                              <w:t>在北坡、南山和县城、重点城镇等周边台塬坡面，大力建设坡面防护林带和郊野休闲公园，实现荒山荒坡全面绿化，形成满目翠绿的绿色屏障。目前已在渭河宝鸡段北坡营造了</w:t>
                            </w:r>
                            <w:r>
                              <w:rPr>
                                <w:rFonts w:ascii="楷体_GB2312" w:eastAsia="楷体_GB2312"/>
                                <w:sz w:val="21"/>
                                <w:szCs w:val="21"/>
                              </w:rPr>
                              <w:t>200</w:t>
                            </w:r>
                            <w:r>
                              <w:rPr>
                                <w:rFonts w:hint="eastAsia" w:ascii="楷体_GB2312" w:eastAsia="楷体_GB2312"/>
                                <w:sz w:val="21"/>
                                <w:szCs w:val="21"/>
                              </w:rPr>
                              <w:t>多公里绿化带。</w:t>
                            </w:r>
                            <w:r>
                              <w:rPr>
                                <w:rFonts w:hint="eastAsia" w:ascii="楷体_GB2312" w:eastAsia="楷体_GB2312"/>
                                <w:b/>
                                <w:sz w:val="21"/>
                                <w:szCs w:val="21"/>
                              </w:rPr>
                              <w:t>交通道路绿化工程：</w:t>
                            </w:r>
                            <w:r>
                              <w:rPr>
                                <w:rFonts w:hint="eastAsia" w:ascii="楷体_GB2312" w:eastAsia="楷体_GB2312"/>
                                <w:sz w:val="21"/>
                                <w:szCs w:val="21"/>
                              </w:rPr>
                              <w:t>在公路、铁路沿线因路制宜、栽树造景，营造林带，道路绿化率达</w:t>
                            </w:r>
                            <w:r>
                              <w:rPr>
                                <w:rFonts w:ascii="楷体_GB2312" w:eastAsia="楷体_GB2312"/>
                                <w:sz w:val="21"/>
                                <w:szCs w:val="21"/>
                              </w:rPr>
                              <w:t>87%</w:t>
                            </w:r>
                            <w:r>
                              <w:rPr>
                                <w:rFonts w:hint="eastAsia" w:ascii="楷体_GB2312" w:eastAsia="楷体_GB2312"/>
                                <w:sz w:val="21"/>
                                <w:szCs w:val="21"/>
                              </w:rPr>
                              <w:t>、铁路沿线绿化率达到</w:t>
                            </w:r>
                            <w:r>
                              <w:rPr>
                                <w:rFonts w:ascii="楷体_GB2312" w:eastAsia="楷体_GB2312"/>
                                <w:sz w:val="21"/>
                                <w:szCs w:val="21"/>
                              </w:rPr>
                              <w:t>93%</w:t>
                            </w:r>
                            <w:r>
                              <w:rPr>
                                <w:rFonts w:hint="eastAsia" w:ascii="楷体_GB2312" w:eastAsia="楷体_GB2312"/>
                                <w:sz w:val="21"/>
                                <w:szCs w:val="21"/>
                              </w:rPr>
                              <w:t>，实现道路沿线林带化，形成纵横交错的“绿色通道”网络大框架。</w:t>
                            </w:r>
                            <w:r>
                              <w:rPr>
                                <w:rFonts w:hint="eastAsia" w:ascii="楷体_GB2312" w:eastAsia="楷体_GB2312"/>
                                <w:b/>
                                <w:sz w:val="21"/>
                                <w:szCs w:val="21"/>
                              </w:rPr>
                              <w:t>水系绿化工程：</w:t>
                            </w:r>
                            <w:r>
                              <w:rPr>
                                <w:rFonts w:hint="eastAsia" w:ascii="楷体_GB2312" w:eastAsia="楷体_GB2312"/>
                                <w:sz w:val="21"/>
                                <w:szCs w:val="21"/>
                              </w:rPr>
                              <w:t>在主要河流及其支流沿岸造景观防护林带宽</w:t>
                            </w:r>
                            <w:r>
                              <w:rPr>
                                <w:rFonts w:ascii="楷体_GB2312" w:eastAsia="楷体_GB2312"/>
                                <w:sz w:val="21"/>
                                <w:szCs w:val="21"/>
                              </w:rPr>
                              <w:t>30</w:t>
                            </w:r>
                            <w:r>
                              <w:rPr>
                                <w:rFonts w:hint="eastAsia" w:ascii="楷体_GB2312" w:eastAsia="楷体_GB2312"/>
                                <w:sz w:val="21"/>
                                <w:szCs w:val="21"/>
                              </w:rPr>
                              <w:t>米</w:t>
                            </w:r>
                            <w:r>
                              <w:rPr>
                                <w:rFonts w:ascii="楷体_GB2312" w:eastAsia="楷体_GB2312"/>
                                <w:sz w:val="21"/>
                                <w:szCs w:val="21"/>
                              </w:rPr>
                              <w:t>— 50</w:t>
                            </w:r>
                            <w:r>
                              <w:rPr>
                                <w:rFonts w:hint="eastAsia" w:ascii="楷体_GB2312" w:eastAsia="楷体_GB2312"/>
                                <w:sz w:val="21"/>
                                <w:szCs w:val="21"/>
                              </w:rPr>
                              <w:t>米，水系沿岸绿化率达到</w:t>
                            </w:r>
                            <w:r>
                              <w:rPr>
                                <w:rFonts w:ascii="楷体_GB2312" w:eastAsia="楷体_GB2312"/>
                                <w:sz w:val="21"/>
                                <w:szCs w:val="21"/>
                              </w:rPr>
                              <w:t>90%</w:t>
                            </w:r>
                            <w:r>
                              <w:rPr>
                                <w:rFonts w:hint="eastAsia" w:ascii="楷体_GB2312" w:eastAsia="楷体_GB2312"/>
                                <w:sz w:val="21"/>
                                <w:szCs w:val="21"/>
                              </w:rPr>
                              <w:t>，实现河流湿地生态景观化。</w:t>
                            </w:r>
                            <w:r>
                              <w:rPr>
                                <w:rFonts w:hint="eastAsia" w:ascii="楷体_GB2312" w:eastAsia="楷体_GB2312"/>
                                <w:b/>
                                <w:sz w:val="21"/>
                                <w:szCs w:val="21"/>
                              </w:rPr>
                              <w:t>城镇绿化工程：</w:t>
                            </w:r>
                            <w:r>
                              <w:rPr>
                                <w:rFonts w:hint="eastAsia" w:ascii="楷体_GB2312" w:eastAsia="楷体_GB2312"/>
                                <w:sz w:val="21"/>
                                <w:szCs w:val="21"/>
                              </w:rPr>
                              <w:t>在全市</w:t>
                            </w:r>
                            <w:r>
                              <w:rPr>
                                <w:rFonts w:ascii="楷体_GB2312" w:eastAsia="楷体_GB2312"/>
                                <w:sz w:val="21"/>
                                <w:szCs w:val="21"/>
                              </w:rPr>
                              <w:t>9</w:t>
                            </w:r>
                            <w:r>
                              <w:rPr>
                                <w:rFonts w:hint="eastAsia" w:ascii="楷体_GB2312" w:eastAsia="楷体_GB2312"/>
                                <w:sz w:val="21"/>
                                <w:szCs w:val="21"/>
                              </w:rPr>
                              <w:t>个县城和</w:t>
                            </w:r>
                            <w:r>
                              <w:rPr>
                                <w:rFonts w:ascii="楷体_GB2312" w:eastAsia="楷体_GB2312"/>
                                <w:sz w:val="21"/>
                                <w:szCs w:val="21"/>
                              </w:rPr>
                              <w:t>50</w:t>
                            </w:r>
                            <w:r>
                              <w:rPr>
                                <w:rFonts w:hint="eastAsia" w:ascii="楷体_GB2312" w:eastAsia="楷体_GB2312"/>
                                <w:sz w:val="21"/>
                                <w:szCs w:val="21"/>
                              </w:rPr>
                              <w:t>个生态重点镇推进公共绿地、庭院绿化、街道绿化、城郊绿化和生产绿地建设，县城建成区绿化覆盖率达到</w:t>
                            </w:r>
                            <w:r>
                              <w:rPr>
                                <w:rFonts w:ascii="楷体_GB2312" w:eastAsia="楷体_GB2312"/>
                                <w:sz w:val="21"/>
                                <w:szCs w:val="21"/>
                              </w:rPr>
                              <w:t>40%</w:t>
                            </w:r>
                            <w:r>
                              <w:rPr>
                                <w:rFonts w:hint="eastAsia" w:ascii="楷体_GB2312" w:eastAsia="楷体_GB2312"/>
                                <w:sz w:val="21"/>
                                <w:szCs w:val="21"/>
                              </w:rPr>
                              <w:t>以上，建成全国和省级绿化模范县</w:t>
                            </w:r>
                            <w:r>
                              <w:rPr>
                                <w:rFonts w:ascii="楷体_GB2312" w:eastAsia="楷体_GB2312"/>
                                <w:sz w:val="21"/>
                                <w:szCs w:val="21"/>
                              </w:rPr>
                              <w:t>5</w:t>
                            </w:r>
                            <w:r>
                              <w:rPr>
                                <w:rFonts w:hint="eastAsia" w:ascii="楷体_GB2312" w:eastAsia="楷体_GB2312"/>
                                <w:sz w:val="21"/>
                                <w:szCs w:val="21"/>
                              </w:rPr>
                              <w:t>个，实现省级</w:t>
                            </w:r>
                            <w:r>
                              <w:fldChar w:fldCharType="begin"/>
                            </w:r>
                            <w:r>
                              <w:instrText xml:space="preserve">HYPERLINK "http://www.yuanlin.com/" \t "_blank"</w:instrText>
                            </w:r>
                            <w:r>
                              <w:fldChar w:fldCharType="separate"/>
                            </w:r>
                            <w:r>
                              <w:rPr>
                                <w:rFonts w:hint="eastAsia" w:ascii="楷体_GB2312" w:eastAsia="楷体_GB2312"/>
                                <w:sz w:val="21"/>
                                <w:szCs w:val="21"/>
                              </w:rPr>
                              <w:t>园林</w:t>
                            </w:r>
                            <w:r>
                              <w:fldChar w:fldCharType="end"/>
                            </w:r>
                            <w:r>
                              <w:rPr>
                                <w:rFonts w:hint="eastAsia" w:ascii="楷体_GB2312" w:eastAsia="楷体_GB2312"/>
                                <w:sz w:val="21"/>
                                <w:szCs w:val="21"/>
                              </w:rPr>
                              <w:t>县城全覆盖，实现城镇园林化。</w:t>
                            </w:r>
                            <w:r>
                              <w:rPr>
                                <w:rFonts w:hint="eastAsia" w:ascii="楷体_GB2312" w:eastAsia="楷体_GB2312"/>
                                <w:b/>
                                <w:sz w:val="21"/>
                                <w:szCs w:val="21"/>
                              </w:rPr>
                              <w:t>生态型田园式绿化工程：</w:t>
                            </w:r>
                            <w:r>
                              <w:rPr>
                                <w:rFonts w:hint="eastAsia" w:ascii="楷体_GB2312" w:eastAsia="楷体_GB2312"/>
                                <w:sz w:val="21"/>
                                <w:szCs w:val="21"/>
                              </w:rPr>
                              <w:t>在全市农村推进“三化一片林”工程，建成生态示范村</w:t>
                            </w:r>
                            <w:r>
                              <w:rPr>
                                <w:rFonts w:ascii="楷体_GB2312" w:eastAsia="楷体_GB2312"/>
                                <w:sz w:val="21"/>
                                <w:szCs w:val="21"/>
                              </w:rPr>
                              <w:t xml:space="preserve">171 </w:t>
                            </w:r>
                            <w:r>
                              <w:rPr>
                                <w:rFonts w:hint="eastAsia" w:ascii="楷体_GB2312" w:eastAsia="楷体_GB2312"/>
                                <w:sz w:val="21"/>
                                <w:szCs w:val="21"/>
                              </w:rPr>
                              <w:t>个，农田林网林木覆盖率达到</w:t>
                            </w:r>
                            <w:r>
                              <w:rPr>
                                <w:rFonts w:ascii="楷体_GB2312" w:eastAsia="楷体_GB2312"/>
                                <w:sz w:val="21"/>
                                <w:szCs w:val="21"/>
                              </w:rPr>
                              <w:t>15.5%</w:t>
                            </w:r>
                            <w:r>
                              <w:rPr>
                                <w:rFonts w:hint="eastAsia" w:ascii="楷体_GB2312" w:eastAsia="楷体_GB2312"/>
                                <w:sz w:val="21"/>
                                <w:szCs w:val="21"/>
                              </w:rPr>
                              <w:t>，村庄绿化覆盖率达到</w:t>
                            </w:r>
                            <w:r>
                              <w:rPr>
                                <w:rFonts w:ascii="楷体_GB2312" w:eastAsia="楷体_GB2312"/>
                                <w:sz w:val="21"/>
                                <w:szCs w:val="21"/>
                              </w:rPr>
                              <w:t>27%</w:t>
                            </w:r>
                            <w:r>
                              <w:rPr>
                                <w:rFonts w:hint="eastAsia" w:ascii="楷体_GB2312" w:eastAsia="楷体_GB2312"/>
                                <w:sz w:val="21"/>
                                <w:szCs w:val="21"/>
                              </w:rPr>
                              <w:t>，实现村庄林荫化，形成</w:t>
                            </w:r>
                            <w:r>
                              <w:rPr>
                                <w:rFonts w:ascii="楷体_GB2312" w:eastAsia="楷体_GB2312"/>
                                <w:sz w:val="21"/>
                                <w:szCs w:val="21"/>
                              </w:rPr>
                              <w:t xml:space="preserve"> </w:t>
                            </w:r>
                            <w:r>
                              <w:rPr>
                                <w:rFonts w:hint="eastAsia" w:ascii="楷体_GB2312" w:eastAsia="楷体_GB2312"/>
                                <w:sz w:val="21"/>
                                <w:szCs w:val="21"/>
                              </w:rPr>
                              <w:t>“路相通、田成方、林成网”的田园景观。</w:t>
                            </w:r>
                            <w:r>
                              <w:rPr>
                                <w:rFonts w:hint="eastAsia" w:ascii="楷体_GB2312" w:eastAsia="楷体_GB2312"/>
                                <w:b/>
                                <w:sz w:val="21"/>
                                <w:szCs w:val="21"/>
                              </w:rPr>
                              <w:t>旅游景区绿化工程：</w:t>
                            </w:r>
                            <w:r>
                              <w:rPr>
                                <w:rFonts w:hint="eastAsia" w:ascii="楷体_GB2312" w:eastAsia="楷体_GB2312"/>
                                <w:sz w:val="21"/>
                                <w:szCs w:val="21"/>
                              </w:rPr>
                              <w:t>在人文、森林旅游景区有针对性地进行主题景观绿化，促进森林文化和历史文化的交融。</w:t>
                            </w:r>
                            <w:r>
                              <w:rPr>
                                <w:rFonts w:hint="eastAsia" w:ascii="楷体_GB2312" w:eastAsia="楷体_GB2312"/>
                                <w:b/>
                                <w:sz w:val="21"/>
                                <w:szCs w:val="21"/>
                              </w:rPr>
                              <w:t>经济林发展工程：</w:t>
                            </w:r>
                            <w:r>
                              <w:rPr>
                                <w:rFonts w:hint="eastAsia" w:ascii="楷体_GB2312" w:eastAsia="楷体_GB2312"/>
                                <w:sz w:val="21"/>
                                <w:szCs w:val="21"/>
                              </w:rPr>
                              <w:t>在经济林发展上，见空建园、集中连片栽植生态经济兼用树种，打造渭北塬区百万亩优质苹果、秦岭北麓</w:t>
                            </w:r>
                            <w:r>
                              <w:rPr>
                                <w:rFonts w:ascii="楷体_GB2312" w:eastAsia="楷体_GB2312"/>
                                <w:sz w:val="21"/>
                                <w:szCs w:val="21"/>
                              </w:rPr>
                              <w:t>60</w:t>
                            </w:r>
                            <w:r>
                              <w:rPr>
                                <w:rFonts w:hint="eastAsia" w:ascii="楷体_GB2312" w:eastAsia="楷体_GB2312"/>
                                <w:sz w:val="21"/>
                                <w:szCs w:val="21"/>
                              </w:rPr>
                              <w:t>万亩优质猕猴桃和南山西山百万亩花椒、关山乔山百万亩核桃产业带，实现国土增绿、农民增收。</w:t>
                            </w:r>
                            <w:r>
                              <w:rPr>
                                <w:rFonts w:hint="eastAsia" w:ascii="楷体_GB2312" w:eastAsia="楷体_GB2312"/>
                                <w:b/>
                                <w:sz w:val="21"/>
                                <w:szCs w:val="21"/>
                              </w:rPr>
                              <w:t>生态公益林建设工程：</w:t>
                            </w:r>
                            <w:r>
                              <w:rPr>
                                <w:rFonts w:hint="eastAsia" w:ascii="楷体_GB2312" w:eastAsia="楷体_GB2312"/>
                                <w:sz w:val="21"/>
                                <w:szCs w:val="21"/>
                              </w:rPr>
                              <w:t>在实现天然林保护、三北防护林、退耕还林等林业重点工程中，坚持人工造林、飞播造林和封山育林相结合，累计完成造林绿化</w:t>
                            </w:r>
                            <w:r>
                              <w:rPr>
                                <w:rFonts w:ascii="楷体_GB2312" w:eastAsia="楷体_GB2312"/>
                                <w:sz w:val="21"/>
                                <w:szCs w:val="21"/>
                              </w:rPr>
                              <w:t xml:space="preserve"> 150</w:t>
                            </w:r>
                            <w:r>
                              <w:rPr>
                                <w:rFonts w:hint="eastAsia" w:ascii="楷体_GB2312" w:eastAsia="楷体_GB2312"/>
                                <w:sz w:val="21"/>
                                <w:szCs w:val="21"/>
                              </w:rPr>
                              <w:t>万亩，保护森林资源</w:t>
                            </w:r>
                            <w:r>
                              <w:rPr>
                                <w:rFonts w:ascii="楷体_GB2312" w:eastAsia="楷体_GB2312"/>
                                <w:sz w:val="21"/>
                                <w:szCs w:val="21"/>
                              </w:rPr>
                              <w:t>1600</w:t>
                            </w:r>
                            <w:r>
                              <w:rPr>
                                <w:rFonts w:hint="eastAsia" w:ascii="楷体_GB2312" w:eastAsia="楷体_GB2312"/>
                                <w:sz w:val="21"/>
                                <w:szCs w:val="21"/>
                              </w:rPr>
                              <w:t>万亩，使森林覆盖率达到</w:t>
                            </w:r>
                            <w:r>
                              <w:rPr>
                                <w:rFonts w:ascii="楷体_GB2312" w:eastAsia="楷体_GB2312"/>
                                <w:sz w:val="21"/>
                                <w:szCs w:val="21"/>
                              </w:rPr>
                              <w:t>56%</w:t>
                            </w:r>
                            <w:r>
                              <w:rPr>
                                <w:rFonts w:hint="eastAsia" w:ascii="楷体_GB2312" w:eastAsia="楷体_GB2312"/>
                                <w:sz w:val="21"/>
                                <w:szCs w:val="21"/>
                              </w:rPr>
                              <w:t>以上。</w:t>
                            </w:r>
                          </w:p>
                        </w:txbxContent>
                      </wps:txbx>
                      <wps:bodyPr wrap="square" upright="1"/>
                    </wps:wsp>
                  </a:graphicData>
                </a:graphic>
              </wp:anchor>
            </w:drawing>
          </mc:Choice>
          <mc:Fallback>
            <w:pict>
              <v:shape id="文本框 2" o:spid="_x0000_s1026" o:spt="202" type="#_x0000_t202" style="position:absolute;left:0pt;margin-left:0.8pt;margin-top:1.1pt;height:333.55pt;width:434.85pt;mso-position-horizontal-relative:margin;mso-position-vertical-relative:margin;mso-wrap-distance-bottom:3.6pt;mso-wrap-distance-left:9pt;mso-wrap-distance-right:9pt;mso-wrap-distance-top:3.6pt;z-index:251688960;mso-width-relative:margin;mso-height-relative:margin;" fillcolor="#FFFFFF" filled="t" stroked="t" coordsize="21600,21600" o:gfxdata="UEsDBAoAAAAAAIdO4kAAAAAAAAAAAAAAAAAEAAAAZHJzL1BLAwQUAAAACACHTuJAGtcqrtYAAAAH&#10;AQAADwAAAGRycy9kb3ducmV2LnhtbE2Oy07DMBRE90j8g3WR2KDWeSA3DXG6QALBDgoqWzd2kwj7&#10;OthuWv6eywqWoxmdOc3m7CybTYijRwn5MgNmsPN6xF7C+9vDogIWk0KtrEcj4dtE2LSXF42qtT/h&#10;q5m3qWcEwVgrCUNKU8157AbjVFz6ySB1Bx+cShRDz3VQJ4I7y4ssE9ypEelhUJO5H0z3uT06CdXt&#10;0/wRn8uXXScOdp1uVvPjV5Dy+irP7oAlc05/Y/jVJ3VoyWnvj6gjs5QFDSUUBTBqq1VeAttLEGJd&#10;Am8b/t+//QFQSwMEFAAAAAgAh07iQDfrWX4WAgAARgQAAA4AAABkcnMvZTJvRG9jLnhtbK1TzY7T&#10;MBC+I/EOlu802SxZ7UZNV4JSLgiQFh7AdZzEkv/wuE36AvAGnLhw57n6HDt2ut3fQw/k4Izt8Tfz&#10;fTMzvx61IlvhQVpT07NZTokw3DbSdDX9/m315pISCMw0TFkjaroTQK8Xr1/NB1eJwvZWNcITBDFQ&#10;Da6mfQiuyjLgvdAMZtYJg5et9ZoF3PouazwbEF2rrMjzi2ywvnHecgGAp8vpkh4Q/SmAtm0lF0vL&#10;N1qYMKF6oVhAStBLB3SRsm1bwcOXtgURiKopMg1pxSBor+OaLeas6jxzveSHFNgpKTzhpJk0GPQI&#10;tWSBkY2Xz6C05N6CbcOMW51NRJIiyOIsf6LNTc+cSFxQanBH0eH/wfLP26+eyKam5yiJYRorvv/9&#10;a//n3/7vT1JEfQYHFbrdOHQM4zs7YtfcnQMeRtpj63X8IyGC9wi1O6orxkA4HpZlUZRXJSUc794W&#10;5xf5ZRlxsvvnzkP4KKwm0aipx/IlVdn2E4TJ9c4lRgOrZLOSSqWN79bvlSdbhqVepe+A/shNGTLU&#10;9KosYiIM+7fFvkFTO9QATJfiPXoBD4Hz9L0EHBNbMuinBBJCdGOVlkH4ZPWCNR9MQ8LOocwGx4vG&#10;ZLRoKFECpzFayTMwqU7xRO2UQQljjaZaRCuM6xFhorm2zQ7rNmCHI70fG+Yx5sZ52fUocKpjeozt&#10;lSpxGIXYvw/3KcT9+C9u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rXKq7WAAAABwEAAA8AAAAA&#10;AAAAAQAgAAAAIgAAAGRycy9kb3ducmV2LnhtbFBLAQIUABQAAAAIAIdO4kA361l+FgIAAEYEAAAO&#10;AAAAAAAAAAEAIAAAACUBAABkcnMvZTJvRG9jLnhtbFBLBQYAAAAABgAGAFkBAACtBQAAAAA=&#10;">
                <v:fill on="t" focussize="0,0"/>
                <v:stroke color="#000000" joinstyle="miter"/>
                <v:imagedata o:title=""/>
                <o:lock v:ext="edit" aspectratio="f"/>
                <v:textbox>
                  <w:txbxContent>
                    <w:p>
                      <w:pPr>
                        <w:spacing w:after="0" w:line="300" w:lineRule="exact"/>
                        <w:rPr>
                          <w:rFonts w:hint="eastAsia" w:ascii="黑体" w:eastAsia="黑体"/>
                          <w:b/>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2</w:t>
                      </w:r>
                    </w:p>
                    <w:p>
                      <w:pPr>
                        <w:spacing w:after="0" w:line="300" w:lineRule="exact"/>
                        <w:jc w:val="center"/>
                        <w:rPr>
                          <w:rFonts w:hint="eastAsia" w:ascii="楷体_GB2312" w:eastAsia="楷体_GB2312"/>
                          <w:b/>
                          <w:sz w:val="21"/>
                          <w:szCs w:val="21"/>
                        </w:rPr>
                      </w:pPr>
                      <w:r>
                        <w:rPr>
                          <w:rFonts w:hint="eastAsia" w:ascii="黑体" w:eastAsia="黑体"/>
                          <w:b/>
                          <w:sz w:val="21"/>
                          <w:szCs w:val="21"/>
                        </w:rPr>
                        <w:t>绿色宝鸡“九大工程”</w:t>
                      </w:r>
                    </w:p>
                    <w:p>
                      <w:pPr>
                        <w:spacing w:after="0" w:line="300" w:lineRule="exact"/>
                        <w:ind w:firstLine="527" w:firstLineChars="250"/>
                        <w:rPr>
                          <w:rFonts w:hint="eastAsia"/>
                        </w:rPr>
                      </w:pPr>
                      <w:r>
                        <w:rPr>
                          <w:rFonts w:hint="eastAsia" w:ascii="楷体_GB2312" w:eastAsia="楷体_GB2312"/>
                          <w:b/>
                          <w:sz w:val="21"/>
                          <w:szCs w:val="21"/>
                        </w:rPr>
                        <w:t>城区绿化工程：</w:t>
                      </w:r>
                      <w:r>
                        <w:rPr>
                          <w:rFonts w:hint="eastAsia" w:ascii="楷体_GB2312" w:eastAsia="楷体_GB2312"/>
                          <w:sz w:val="21"/>
                          <w:szCs w:val="21"/>
                        </w:rPr>
                        <w:t>在市区依山造林，蓄水造景，见空造绿，重点推进城市出入口、城乡结合部、社区和住宅小区楼盘立体绿化，实现森林环绕、林水相宜的城市森林化。</w:t>
                      </w:r>
                      <w:r>
                        <w:rPr>
                          <w:rFonts w:hint="eastAsia" w:ascii="楷体_GB2312" w:eastAsia="楷体_GB2312"/>
                          <w:b/>
                          <w:sz w:val="21"/>
                          <w:szCs w:val="21"/>
                        </w:rPr>
                        <w:t>台塬坡面绿化工程：</w:t>
                      </w:r>
                      <w:r>
                        <w:rPr>
                          <w:rFonts w:hint="eastAsia" w:ascii="楷体_GB2312" w:eastAsia="楷体_GB2312"/>
                          <w:sz w:val="21"/>
                          <w:szCs w:val="21"/>
                        </w:rPr>
                        <w:t>在北坡、南山和县城、重点城镇等周边台塬坡面，大力建设坡面防护林带和郊野休闲公园，实现荒山荒坡全面绿化，形成满目翠绿的绿色屏障。目前已在渭河宝鸡段北坡营造了</w:t>
                      </w:r>
                      <w:r>
                        <w:rPr>
                          <w:rFonts w:ascii="楷体_GB2312" w:eastAsia="楷体_GB2312"/>
                          <w:sz w:val="21"/>
                          <w:szCs w:val="21"/>
                        </w:rPr>
                        <w:t>200</w:t>
                      </w:r>
                      <w:r>
                        <w:rPr>
                          <w:rFonts w:hint="eastAsia" w:ascii="楷体_GB2312" w:eastAsia="楷体_GB2312"/>
                          <w:sz w:val="21"/>
                          <w:szCs w:val="21"/>
                        </w:rPr>
                        <w:t>多公里绿化带。</w:t>
                      </w:r>
                      <w:r>
                        <w:rPr>
                          <w:rFonts w:hint="eastAsia" w:ascii="楷体_GB2312" w:eastAsia="楷体_GB2312"/>
                          <w:b/>
                          <w:sz w:val="21"/>
                          <w:szCs w:val="21"/>
                        </w:rPr>
                        <w:t>交通道路绿化工程：</w:t>
                      </w:r>
                      <w:r>
                        <w:rPr>
                          <w:rFonts w:hint="eastAsia" w:ascii="楷体_GB2312" w:eastAsia="楷体_GB2312"/>
                          <w:sz w:val="21"/>
                          <w:szCs w:val="21"/>
                        </w:rPr>
                        <w:t>在公路、铁路沿线因路制宜、栽树造景，营造林带，道路绿化率达</w:t>
                      </w:r>
                      <w:r>
                        <w:rPr>
                          <w:rFonts w:ascii="楷体_GB2312" w:eastAsia="楷体_GB2312"/>
                          <w:sz w:val="21"/>
                          <w:szCs w:val="21"/>
                        </w:rPr>
                        <w:t>87%</w:t>
                      </w:r>
                      <w:r>
                        <w:rPr>
                          <w:rFonts w:hint="eastAsia" w:ascii="楷体_GB2312" w:eastAsia="楷体_GB2312"/>
                          <w:sz w:val="21"/>
                          <w:szCs w:val="21"/>
                        </w:rPr>
                        <w:t>、铁路沿线绿化率达到</w:t>
                      </w:r>
                      <w:r>
                        <w:rPr>
                          <w:rFonts w:ascii="楷体_GB2312" w:eastAsia="楷体_GB2312"/>
                          <w:sz w:val="21"/>
                          <w:szCs w:val="21"/>
                        </w:rPr>
                        <w:t>93%</w:t>
                      </w:r>
                      <w:r>
                        <w:rPr>
                          <w:rFonts w:hint="eastAsia" w:ascii="楷体_GB2312" w:eastAsia="楷体_GB2312"/>
                          <w:sz w:val="21"/>
                          <w:szCs w:val="21"/>
                        </w:rPr>
                        <w:t>，实现道路沿线林带化，形成纵横交错的“绿色通道”网络大框架。</w:t>
                      </w:r>
                      <w:r>
                        <w:rPr>
                          <w:rFonts w:hint="eastAsia" w:ascii="楷体_GB2312" w:eastAsia="楷体_GB2312"/>
                          <w:b/>
                          <w:sz w:val="21"/>
                          <w:szCs w:val="21"/>
                        </w:rPr>
                        <w:t>水系绿化工程：</w:t>
                      </w:r>
                      <w:r>
                        <w:rPr>
                          <w:rFonts w:hint="eastAsia" w:ascii="楷体_GB2312" w:eastAsia="楷体_GB2312"/>
                          <w:sz w:val="21"/>
                          <w:szCs w:val="21"/>
                        </w:rPr>
                        <w:t>在主要河流及其支流沿岸造景观防护林带宽</w:t>
                      </w:r>
                      <w:r>
                        <w:rPr>
                          <w:rFonts w:ascii="楷体_GB2312" w:eastAsia="楷体_GB2312"/>
                          <w:sz w:val="21"/>
                          <w:szCs w:val="21"/>
                        </w:rPr>
                        <w:t>30</w:t>
                      </w:r>
                      <w:r>
                        <w:rPr>
                          <w:rFonts w:hint="eastAsia" w:ascii="楷体_GB2312" w:eastAsia="楷体_GB2312"/>
                          <w:sz w:val="21"/>
                          <w:szCs w:val="21"/>
                        </w:rPr>
                        <w:t>米</w:t>
                      </w:r>
                      <w:r>
                        <w:rPr>
                          <w:rFonts w:ascii="楷体_GB2312" w:eastAsia="楷体_GB2312"/>
                          <w:sz w:val="21"/>
                          <w:szCs w:val="21"/>
                        </w:rPr>
                        <w:t>— 50</w:t>
                      </w:r>
                      <w:r>
                        <w:rPr>
                          <w:rFonts w:hint="eastAsia" w:ascii="楷体_GB2312" w:eastAsia="楷体_GB2312"/>
                          <w:sz w:val="21"/>
                          <w:szCs w:val="21"/>
                        </w:rPr>
                        <w:t>米，水系沿岸绿化率达到</w:t>
                      </w:r>
                      <w:r>
                        <w:rPr>
                          <w:rFonts w:ascii="楷体_GB2312" w:eastAsia="楷体_GB2312"/>
                          <w:sz w:val="21"/>
                          <w:szCs w:val="21"/>
                        </w:rPr>
                        <w:t>90%</w:t>
                      </w:r>
                      <w:r>
                        <w:rPr>
                          <w:rFonts w:hint="eastAsia" w:ascii="楷体_GB2312" w:eastAsia="楷体_GB2312"/>
                          <w:sz w:val="21"/>
                          <w:szCs w:val="21"/>
                        </w:rPr>
                        <w:t>，实现河流湿地生态景观化。</w:t>
                      </w:r>
                      <w:r>
                        <w:rPr>
                          <w:rFonts w:hint="eastAsia" w:ascii="楷体_GB2312" w:eastAsia="楷体_GB2312"/>
                          <w:b/>
                          <w:sz w:val="21"/>
                          <w:szCs w:val="21"/>
                        </w:rPr>
                        <w:t>城镇绿化工程：</w:t>
                      </w:r>
                      <w:r>
                        <w:rPr>
                          <w:rFonts w:hint="eastAsia" w:ascii="楷体_GB2312" w:eastAsia="楷体_GB2312"/>
                          <w:sz w:val="21"/>
                          <w:szCs w:val="21"/>
                        </w:rPr>
                        <w:t>在全市</w:t>
                      </w:r>
                      <w:r>
                        <w:rPr>
                          <w:rFonts w:ascii="楷体_GB2312" w:eastAsia="楷体_GB2312"/>
                          <w:sz w:val="21"/>
                          <w:szCs w:val="21"/>
                        </w:rPr>
                        <w:t>9</w:t>
                      </w:r>
                      <w:r>
                        <w:rPr>
                          <w:rFonts w:hint="eastAsia" w:ascii="楷体_GB2312" w:eastAsia="楷体_GB2312"/>
                          <w:sz w:val="21"/>
                          <w:szCs w:val="21"/>
                        </w:rPr>
                        <w:t>个县城和</w:t>
                      </w:r>
                      <w:r>
                        <w:rPr>
                          <w:rFonts w:ascii="楷体_GB2312" w:eastAsia="楷体_GB2312"/>
                          <w:sz w:val="21"/>
                          <w:szCs w:val="21"/>
                        </w:rPr>
                        <w:t>50</w:t>
                      </w:r>
                      <w:r>
                        <w:rPr>
                          <w:rFonts w:hint="eastAsia" w:ascii="楷体_GB2312" w:eastAsia="楷体_GB2312"/>
                          <w:sz w:val="21"/>
                          <w:szCs w:val="21"/>
                        </w:rPr>
                        <w:t>个生态重点镇推进公共绿地、庭院绿化、街道绿化、城郊绿化和生产绿地建设，县城建成区绿化覆盖率达到</w:t>
                      </w:r>
                      <w:r>
                        <w:rPr>
                          <w:rFonts w:ascii="楷体_GB2312" w:eastAsia="楷体_GB2312"/>
                          <w:sz w:val="21"/>
                          <w:szCs w:val="21"/>
                        </w:rPr>
                        <w:t>40%</w:t>
                      </w:r>
                      <w:r>
                        <w:rPr>
                          <w:rFonts w:hint="eastAsia" w:ascii="楷体_GB2312" w:eastAsia="楷体_GB2312"/>
                          <w:sz w:val="21"/>
                          <w:szCs w:val="21"/>
                        </w:rPr>
                        <w:t>以上，建成全国和省级绿化模范县</w:t>
                      </w:r>
                      <w:r>
                        <w:rPr>
                          <w:rFonts w:ascii="楷体_GB2312" w:eastAsia="楷体_GB2312"/>
                          <w:sz w:val="21"/>
                          <w:szCs w:val="21"/>
                        </w:rPr>
                        <w:t>5</w:t>
                      </w:r>
                      <w:r>
                        <w:rPr>
                          <w:rFonts w:hint="eastAsia" w:ascii="楷体_GB2312" w:eastAsia="楷体_GB2312"/>
                          <w:sz w:val="21"/>
                          <w:szCs w:val="21"/>
                        </w:rPr>
                        <w:t>个，实现省级</w:t>
                      </w:r>
                      <w:r>
                        <w:fldChar w:fldCharType="begin"/>
                      </w:r>
                      <w:r>
                        <w:instrText xml:space="preserve">HYPERLINK "http://www.yuanlin.com/" \t "_blank"</w:instrText>
                      </w:r>
                      <w:r>
                        <w:fldChar w:fldCharType="separate"/>
                      </w:r>
                      <w:r>
                        <w:rPr>
                          <w:rFonts w:hint="eastAsia" w:ascii="楷体_GB2312" w:eastAsia="楷体_GB2312"/>
                          <w:sz w:val="21"/>
                          <w:szCs w:val="21"/>
                        </w:rPr>
                        <w:t>园林</w:t>
                      </w:r>
                      <w:r>
                        <w:fldChar w:fldCharType="end"/>
                      </w:r>
                      <w:r>
                        <w:rPr>
                          <w:rFonts w:hint="eastAsia" w:ascii="楷体_GB2312" w:eastAsia="楷体_GB2312"/>
                          <w:sz w:val="21"/>
                          <w:szCs w:val="21"/>
                        </w:rPr>
                        <w:t>县城全覆盖，实现城镇园林化。</w:t>
                      </w:r>
                      <w:r>
                        <w:rPr>
                          <w:rFonts w:hint="eastAsia" w:ascii="楷体_GB2312" w:eastAsia="楷体_GB2312"/>
                          <w:b/>
                          <w:sz w:val="21"/>
                          <w:szCs w:val="21"/>
                        </w:rPr>
                        <w:t>生态型田园式绿化工程：</w:t>
                      </w:r>
                      <w:r>
                        <w:rPr>
                          <w:rFonts w:hint="eastAsia" w:ascii="楷体_GB2312" w:eastAsia="楷体_GB2312"/>
                          <w:sz w:val="21"/>
                          <w:szCs w:val="21"/>
                        </w:rPr>
                        <w:t>在全市农村推进“三化一片林”工程，建成生态示范村</w:t>
                      </w:r>
                      <w:r>
                        <w:rPr>
                          <w:rFonts w:ascii="楷体_GB2312" w:eastAsia="楷体_GB2312"/>
                          <w:sz w:val="21"/>
                          <w:szCs w:val="21"/>
                        </w:rPr>
                        <w:t xml:space="preserve">171 </w:t>
                      </w:r>
                      <w:r>
                        <w:rPr>
                          <w:rFonts w:hint="eastAsia" w:ascii="楷体_GB2312" w:eastAsia="楷体_GB2312"/>
                          <w:sz w:val="21"/>
                          <w:szCs w:val="21"/>
                        </w:rPr>
                        <w:t>个，农田林网林木覆盖率达到</w:t>
                      </w:r>
                      <w:r>
                        <w:rPr>
                          <w:rFonts w:ascii="楷体_GB2312" w:eastAsia="楷体_GB2312"/>
                          <w:sz w:val="21"/>
                          <w:szCs w:val="21"/>
                        </w:rPr>
                        <w:t>15.5%</w:t>
                      </w:r>
                      <w:r>
                        <w:rPr>
                          <w:rFonts w:hint="eastAsia" w:ascii="楷体_GB2312" w:eastAsia="楷体_GB2312"/>
                          <w:sz w:val="21"/>
                          <w:szCs w:val="21"/>
                        </w:rPr>
                        <w:t>，村庄绿化覆盖率达到</w:t>
                      </w:r>
                      <w:r>
                        <w:rPr>
                          <w:rFonts w:ascii="楷体_GB2312" w:eastAsia="楷体_GB2312"/>
                          <w:sz w:val="21"/>
                          <w:szCs w:val="21"/>
                        </w:rPr>
                        <w:t>27%</w:t>
                      </w:r>
                      <w:r>
                        <w:rPr>
                          <w:rFonts w:hint="eastAsia" w:ascii="楷体_GB2312" w:eastAsia="楷体_GB2312"/>
                          <w:sz w:val="21"/>
                          <w:szCs w:val="21"/>
                        </w:rPr>
                        <w:t>，实现村庄林荫化，形成</w:t>
                      </w:r>
                      <w:r>
                        <w:rPr>
                          <w:rFonts w:ascii="楷体_GB2312" w:eastAsia="楷体_GB2312"/>
                          <w:sz w:val="21"/>
                          <w:szCs w:val="21"/>
                        </w:rPr>
                        <w:t xml:space="preserve"> </w:t>
                      </w:r>
                      <w:r>
                        <w:rPr>
                          <w:rFonts w:hint="eastAsia" w:ascii="楷体_GB2312" w:eastAsia="楷体_GB2312"/>
                          <w:sz w:val="21"/>
                          <w:szCs w:val="21"/>
                        </w:rPr>
                        <w:t>“路相通、田成方、林成网”的田园景观。</w:t>
                      </w:r>
                      <w:r>
                        <w:rPr>
                          <w:rFonts w:hint="eastAsia" w:ascii="楷体_GB2312" w:eastAsia="楷体_GB2312"/>
                          <w:b/>
                          <w:sz w:val="21"/>
                          <w:szCs w:val="21"/>
                        </w:rPr>
                        <w:t>旅游景区绿化工程：</w:t>
                      </w:r>
                      <w:r>
                        <w:rPr>
                          <w:rFonts w:hint="eastAsia" w:ascii="楷体_GB2312" w:eastAsia="楷体_GB2312"/>
                          <w:sz w:val="21"/>
                          <w:szCs w:val="21"/>
                        </w:rPr>
                        <w:t>在人文、森林旅游景区有针对性地进行主题景观绿化，促进森林文化和历史文化的交融。</w:t>
                      </w:r>
                      <w:r>
                        <w:rPr>
                          <w:rFonts w:hint="eastAsia" w:ascii="楷体_GB2312" w:eastAsia="楷体_GB2312"/>
                          <w:b/>
                          <w:sz w:val="21"/>
                          <w:szCs w:val="21"/>
                        </w:rPr>
                        <w:t>经济林发展工程：</w:t>
                      </w:r>
                      <w:r>
                        <w:rPr>
                          <w:rFonts w:hint="eastAsia" w:ascii="楷体_GB2312" w:eastAsia="楷体_GB2312"/>
                          <w:sz w:val="21"/>
                          <w:szCs w:val="21"/>
                        </w:rPr>
                        <w:t>在经济林发展上，见空建园、集中连片栽植生态经济兼用树种，打造渭北塬区百万亩优质苹果、秦岭北麓</w:t>
                      </w:r>
                      <w:r>
                        <w:rPr>
                          <w:rFonts w:ascii="楷体_GB2312" w:eastAsia="楷体_GB2312"/>
                          <w:sz w:val="21"/>
                          <w:szCs w:val="21"/>
                        </w:rPr>
                        <w:t>60</w:t>
                      </w:r>
                      <w:r>
                        <w:rPr>
                          <w:rFonts w:hint="eastAsia" w:ascii="楷体_GB2312" w:eastAsia="楷体_GB2312"/>
                          <w:sz w:val="21"/>
                          <w:szCs w:val="21"/>
                        </w:rPr>
                        <w:t>万亩优质猕猴桃和南山西山百万亩花椒、关山乔山百万亩核桃产业带，实现国土增绿、农民增收。</w:t>
                      </w:r>
                      <w:r>
                        <w:rPr>
                          <w:rFonts w:hint="eastAsia" w:ascii="楷体_GB2312" w:eastAsia="楷体_GB2312"/>
                          <w:b/>
                          <w:sz w:val="21"/>
                          <w:szCs w:val="21"/>
                        </w:rPr>
                        <w:t>生态公益林建设工程：</w:t>
                      </w:r>
                      <w:r>
                        <w:rPr>
                          <w:rFonts w:hint="eastAsia" w:ascii="楷体_GB2312" w:eastAsia="楷体_GB2312"/>
                          <w:sz w:val="21"/>
                          <w:szCs w:val="21"/>
                        </w:rPr>
                        <w:t>在实现天然林保护、三北防护林、退耕还林等林业重点工程中，坚持人工造林、飞播造林和封山育林相结合，累计完成造林绿化</w:t>
                      </w:r>
                      <w:r>
                        <w:rPr>
                          <w:rFonts w:ascii="楷体_GB2312" w:eastAsia="楷体_GB2312"/>
                          <w:sz w:val="21"/>
                          <w:szCs w:val="21"/>
                        </w:rPr>
                        <w:t xml:space="preserve"> 150</w:t>
                      </w:r>
                      <w:r>
                        <w:rPr>
                          <w:rFonts w:hint="eastAsia" w:ascii="楷体_GB2312" w:eastAsia="楷体_GB2312"/>
                          <w:sz w:val="21"/>
                          <w:szCs w:val="21"/>
                        </w:rPr>
                        <w:t>万亩，保护森林资源</w:t>
                      </w:r>
                      <w:r>
                        <w:rPr>
                          <w:rFonts w:ascii="楷体_GB2312" w:eastAsia="楷体_GB2312"/>
                          <w:sz w:val="21"/>
                          <w:szCs w:val="21"/>
                        </w:rPr>
                        <w:t>1600</w:t>
                      </w:r>
                      <w:r>
                        <w:rPr>
                          <w:rFonts w:hint="eastAsia" w:ascii="楷体_GB2312" w:eastAsia="楷体_GB2312"/>
                          <w:sz w:val="21"/>
                          <w:szCs w:val="21"/>
                        </w:rPr>
                        <w:t>万亩，使森林覆盖率达到</w:t>
                      </w:r>
                      <w:r>
                        <w:rPr>
                          <w:rFonts w:ascii="楷体_GB2312" w:eastAsia="楷体_GB2312"/>
                          <w:sz w:val="21"/>
                          <w:szCs w:val="21"/>
                        </w:rPr>
                        <w:t>56%</w:t>
                      </w:r>
                      <w:r>
                        <w:rPr>
                          <w:rFonts w:hint="eastAsia" w:ascii="楷体_GB2312" w:eastAsia="楷体_GB2312"/>
                          <w:sz w:val="21"/>
                          <w:szCs w:val="21"/>
                        </w:rPr>
                        <w:t>以上。</w:t>
                      </w:r>
                    </w:p>
                  </w:txbxContent>
                </v:textbox>
                <w10:wrap type="square"/>
              </v:shape>
            </w:pict>
          </mc:Fallback>
        </mc:AlternateContent>
      </w:r>
    </w:p>
    <w:p>
      <w:pPr>
        <w:widowControl w:val="0"/>
        <w:pBdr>
          <w:bottom w:val="single" w:color="FFFFFF" w:sz="4" w:space="31"/>
        </w:pBdr>
        <w:topLinePunct/>
        <w:spacing w:after="0" w:line="600" w:lineRule="exact"/>
        <w:jc w:val="center"/>
        <w:rPr>
          <w:rFonts w:ascii="楷体_GB2312" w:eastAsia="楷体_GB2312"/>
          <w:b/>
          <w:sz w:val="32"/>
          <w:szCs w:val="32"/>
        </w:rPr>
      </w:pPr>
      <w:r>
        <w:rPr>
          <w:rFonts w:hint="eastAsia" w:ascii="楷体_GB2312" w:eastAsia="楷体_GB2312"/>
          <w:b/>
          <w:sz w:val="32"/>
          <w:szCs w:val="32"/>
        </w:rPr>
        <w:t>第二节</w:t>
      </w:r>
      <w:r>
        <w:rPr>
          <w:rFonts w:ascii="楷体_GB2312" w:eastAsia="楷体_GB2312"/>
          <w:b/>
          <w:sz w:val="32"/>
          <w:szCs w:val="32"/>
        </w:rPr>
        <w:t xml:space="preserve">  </w:t>
      </w:r>
      <w:r>
        <w:rPr>
          <w:rFonts w:hint="eastAsia" w:ascii="楷体_GB2312" w:eastAsia="楷体_GB2312"/>
          <w:b/>
          <w:sz w:val="32"/>
          <w:szCs w:val="32"/>
        </w:rPr>
        <w:t>深入推进水润宝鸡建设</w:t>
      </w:r>
    </w:p>
    <w:p>
      <w:pPr>
        <w:widowControl w:val="0"/>
        <w:pBdr>
          <w:bottom w:val="single" w:color="FFFFFF" w:sz="4" w:space="31"/>
        </w:pBdr>
        <w:topLinePunct/>
        <w:spacing w:after="0" w:line="600" w:lineRule="exact"/>
        <w:ind w:firstLine="640" w:firstLineChars="200"/>
        <w:jc w:val="both"/>
        <w:rPr>
          <w:rFonts w:ascii="仿宋_GB2312" w:hAnsi="宋体" w:eastAsia="仿宋_GB2312"/>
          <w:sz w:val="32"/>
          <w:szCs w:val="32"/>
        </w:rPr>
      </w:pPr>
      <w:r>
        <w:rPr>
          <w:rFonts w:hint="eastAsia" w:ascii="仿宋_GB2312" w:hAnsi="宋体" w:eastAsia="仿宋_GB2312"/>
          <w:sz w:val="32"/>
          <w:szCs w:val="32"/>
        </w:rPr>
        <w:t>坚持“民生水利、资源水利、生态水利”治水理念，注重水与人、水与城、水与景、水与文化和谐统一，以市区18条河流治理为牵引，规划建设湿地、河、湖、渠连通的水网体系，改善水域环境，强化水源涵养，推进农田水利建设，规范水政管理，促进人水和谐，全力打造水润宝鸡生态名城。充分利用渭河治理成果，精心打造渭河“百里画廊”，建成“十里花海”“千亩荷塘”“万顷芦荡”等景观。完善提升千湖、嘉陵江、石头河等3个国家湿地公园生态功能，建成千渭之会、七星河、龙源、落星湾、凤翔雍城湖等一批湿地公园，发挥其湿地保育、水源涵养、科普教育、观光游览及服务管理的功用。</w:t>
      </w:r>
    </w:p>
    <w:p>
      <w:pPr>
        <w:widowControl w:val="0"/>
        <w:pBdr>
          <w:bottom w:val="single" w:color="FFFFFF" w:sz="4" w:space="31"/>
        </w:pBdr>
        <w:topLinePunct/>
        <w:spacing w:after="0" w:line="600" w:lineRule="exact"/>
        <w:jc w:val="center"/>
        <w:rPr>
          <w:rFonts w:ascii="黑体" w:hAnsi="黑体" w:eastAsia="黑体"/>
          <w:sz w:val="32"/>
          <w:szCs w:val="32"/>
        </w:rPr>
      </w:pPr>
    </w:p>
    <w:p>
      <w:pPr>
        <w:widowControl w:val="0"/>
        <w:pBdr>
          <w:bottom w:val="single" w:color="FFFFFF" w:sz="4" w:space="31"/>
        </w:pBdr>
        <w:topLinePunct/>
        <w:spacing w:after="0" w:line="600" w:lineRule="exact"/>
        <w:jc w:val="center"/>
        <w:rPr>
          <w:rFonts w:ascii="黑体" w:hAnsi="黑体" w:eastAsia="黑体"/>
          <w:sz w:val="32"/>
          <w:szCs w:val="32"/>
        </w:rPr>
      </w:pPr>
      <w:r>
        <w:rPr>
          <w:rFonts w:hint="eastAsia" w:ascii="黑体" w:hAnsi="黑体" w:eastAsia="黑体"/>
          <w:sz w:val="32"/>
          <w:szCs w:val="32"/>
        </w:rPr>
        <w:t>第二十六章</w:t>
      </w:r>
      <w:r>
        <w:rPr>
          <w:rFonts w:ascii="黑体" w:hAnsi="黑体" w:eastAsia="黑体"/>
          <w:sz w:val="32"/>
          <w:szCs w:val="32"/>
        </w:rPr>
        <w:t xml:space="preserve">  </w:t>
      </w:r>
      <w:r>
        <w:rPr>
          <w:rFonts w:hint="eastAsia" w:ascii="黑体" w:hAnsi="黑体" w:eastAsia="黑体"/>
          <w:sz w:val="32"/>
          <w:szCs w:val="32"/>
        </w:rPr>
        <w:t>构建绿色安全的生态体系</w:t>
      </w:r>
    </w:p>
    <w:p>
      <w:pPr>
        <w:widowControl w:val="0"/>
        <w:pBdr>
          <w:bottom w:val="single" w:color="FFFFFF" w:sz="4" w:space="31"/>
        </w:pBdr>
        <w:topLinePunct/>
        <w:spacing w:after="0" w:line="600" w:lineRule="exact"/>
        <w:jc w:val="both"/>
        <w:rPr>
          <w:rFonts w:ascii="楷体_GB2312" w:eastAsia="楷体_GB2312"/>
          <w:b/>
          <w:sz w:val="32"/>
          <w:szCs w:val="32"/>
        </w:rPr>
      </w:pPr>
    </w:p>
    <w:p>
      <w:pPr>
        <w:widowControl w:val="0"/>
        <w:pBdr>
          <w:bottom w:val="single" w:color="FFFFFF" w:sz="4" w:space="31"/>
        </w:pBdr>
        <w:topLinePunct/>
        <w:spacing w:after="0" w:line="600" w:lineRule="exact"/>
        <w:jc w:val="center"/>
        <w:rPr>
          <w:rFonts w:ascii="楷体_GB2312" w:eastAsia="楷体_GB2312"/>
          <w:b/>
          <w:sz w:val="32"/>
          <w:szCs w:val="32"/>
        </w:rPr>
      </w:pPr>
      <w:r>
        <w:rPr>
          <w:rFonts w:hint="eastAsia" w:ascii="楷体_GB2312" w:eastAsia="楷体_GB2312"/>
          <w:b/>
          <w:sz w:val="32"/>
          <w:szCs w:val="32"/>
        </w:rPr>
        <w:t>第一节</w:t>
      </w:r>
      <w:r>
        <w:rPr>
          <w:rFonts w:ascii="楷体_GB2312" w:eastAsia="楷体_GB2312"/>
          <w:b/>
          <w:sz w:val="32"/>
          <w:szCs w:val="32"/>
        </w:rPr>
        <w:t xml:space="preserve">  </w:t>
      </w:r>
      <w:r>
        <w:rPr>
          <w:rFonts w:hint="eastAsia" w:ascii="楷体_GB2312" w:eastAsia="楷体_GB2312"/>
          <w:b/>
          <w:sz w:val="32"/>
          <w:szCs w:val="32"/>
        </w:rPr>
        <w:t>加强生态环境监管</w:t>
      </w:r>
    </w:p>
    <w:p>
      <w:pPr>
        <w:widowControl w:val="0"/>
        <w:pBdr>
          <w:bottom w:val="single" w:color="FFFFFF" w:sz="4" w:space="31"/>
        </w:pBdr>
        <w:topLinePunct/>
        <w:spacing w:after="0" w:line="600" w:lineRule="exact"/>
        <w:ind w:firstLine="645"/>
        <w:jc w:val="both"/>
        <w:rPr>
          <w:rFonts w:ascii="仿宋_GB2312" w:hAnsi="宋体" w:eastAsia="仿宋_GB2312"/>
          <w:sz w:val="32"/>
          <w:szCs w:val="32"/>
        </w:rPr>
      </w:pPr>
      <w:r>
        <w:rPr>
          <w:rFonts w:hint="eastAsia" w:ascii="仿宋_GB2312" w:hAnsi="宋体" w:eastAsia="仿宋_GB2312"/>
          <w:sz w:val="32"/>
          <w:szCs w:val="32"/>
        </w:rPr>
        <w:t>全面贯彻执行《陕西省秦岭生态环境保护条例》，加强秦岭生态环境保护，规范秦岭资源开发利用活动，促进人与自然和谐相处，实现经济社会可持续发展。严格落实环境保护法律法规，严格执行环境影响评价和污染物排放许可制度，严格实施污染物排放总量控制制度。建立健全覆盖所有资源环境要素的环境监测网络体系，不断完善监测要素质量控制指标体系，建立资源环境承载能力监测预警机制，探索开展环境监测第三方运行。实施环境监测机构标准化建设，增强基层环保监测、评估、执法、预警和应急工作能力。</w:t>
      </w:r>
    </w:p>
    <w:p>
      <w:pPr>
        <w:pBdr>
          <w:bottom w:val="single" w:color="FFFFFF" w:sz="4" w:space="31"/>
        </w:pBdr>
        <w:topLinePunct/>
        <w:spacing w:after="0" w:line="600" w:lineRule="exact"/>
        <w:jc w:val="center"/>
        <w:rPr>
          <w:rFonts w:ascii="楷体_GB2312" w:eastAsia="楷体_GB2312"/>
          <w:b/>
          <w:sz w:val="32"/>
          <w:szCs w:val="32"/>
        </w:rPr>
      </w:pPr>
    </w:p>
    <w:p>
      <w:pPr>
        <w:pBdr>
          <w:bottom w:val="single" w:color="FFFFFF" w:sz="4" w:space="31"/>
        </w:pBdr>
        <w:topLinePunct/>
        <w:spacing w:after="0" w:line="600" w:lineRule="exact"/>
        <w:jc w:val="center"/>
        <w:rPr>
          <w:rFonts w:ascii="楷体_GB2312" w:eastAsia="楷体_GB2312"/>
          <w:b/>
          <w:sz w:val="32"/>
          <w:szCs w:val="32"/>
        </w:rPr>
      </w:pPr>
      <w:r>
        <w:rPr>
          <w:rFonts w:hint="eastAsia" w:ascii="楷体_GB2312" w:eastAsia="楷体_GB2312"/>
          <w:b/>
          <w:sz w:val="32"/>
          <w:szCs w:val="32"/>
        </w:rPr>
        <w:t>第二节</w:t>
      </w:r>
      <w:r>
        <w:rPr>
          <w:rFonts w:ascii="楷体_GB2312" w:eastAsia="楷体_GB2312"/>
          <w:b/>
          <w:sz w:val="32"/>
          <w:szCs w:val="32"/>
        </w:rPr>
        <w:t xml:space="preserve">  </w:t>
      </w:r>
      <w:r>
        <w:rPr>
          <w:rFonts w:hint="eastAsia" w:ascii="楷体_GB2312" w:eastAsia="楷体_GB2312"/>
          <w:b/>
          <w:sz w:val="32"/>
          <w:szCs w:val="32"/>
        </w:rPr>
        <w:t>实行资源有偿使用和生态补偿制度</w:t>
      </w:r>
    </w:p>
    <w:p>
      <w:pPr>
        <w:widowControl w:val="0"/>
        <w:pBdr>
          <w:bottom w:val="single" w:color="FFFFFF" w:sz="4" w:space="31"/>
        </w:pBdr>
        <w:topLinePunct/>
        <w:spacing w:after="0" w:line="600" w:lineRule="exact"/>
        <w:ind w:firstLine="630" w:firstLineChars="197"/>
        <w:jc w:val="both"/>
        <w:rPr>
          <w:rFonts w:hint="eastAsia" w:ascii="仿宋_GB2312" w:hAnsi="宋体" w:eastAsia="仿宋_GB2312"/>
          <w:sz w:val="32"/>
          <w:szCs w:val="32"/>
        </w:rPr>
      </w:pPr>
      <w:r>
        <w:rPr>
          <w:rFonts w:hint="eastAsia" w:ascii="仿宋_GB2312" w:hAnsi="宋体" w:eastAsia="仿宋_GB2312"/>
          <w:sz w:val="32"/>
          <w:szCs w:val="32"/>
        </w:rPr>
        <w:t>健全自然资源矿产产权制度和用途管制制度，对水流、森林、山岭、草原、荒地、湿地、滩涂等自然生态空间统一确权登记，编制宝鸡自然资源资产负债表。按照“谁开发谁保护、谁受益谁补偿、</w:t>
      </w:r>
      <w:r>
        <w:rPr>
          <w:rFonts w:ascii="仿宋_GB2312" w:hAnsi="宋体" w:eastAsia="仿宋_GB2312"/>
          <w:sz w:val="32"/>
          <w:szCs w:val="32"/>
        </w:rPr>
        <w:t>谁污染谁治理</w:t>
      </w:r>
      <w:r>
        <w:rPr>
          <w:rFonts w:hint="eastAsia" w:ascii="仿宋_GB2312" w:hAnsi="宋体" w:eastAsia="仿宋_GB2312"/>
          <w:sz w:val="32"/>
          <w:szCs w:val="32"/>
        </w:rPr>
        <w:t>”原则，加快完善生态补偿机制，依据主体功能区定位，加快建立县区间、区域间横向生态补偿机制，引导生态受益地区与保护地区之间、渭河流域上游与下游之间，通过资金补助、产业转移、人才培训、共建园区等方式实施补偿。深化自然资源及其产品市场化改革，探索建立多元投资机制，鼓励民间资本参与生态文明建设，推进环境污染第三方治理，积极开展水权、排放权、用能量及碳排放权市场交易。推进</w:t>
      </w:r>
      <w:r>
        <w:rPr>
          <w:rFonts w:ascii="仿宋_GB2312" w:hAnsi="宋体" w:eastAsia="仿宋_GB2312"/>
          <w:sz w:val="32"/>
          <w:szCs w:val="32"/>
        </w:rPr>
        <w:t>环境污染责任保险和绿色信贷。</w:t>
      </w:r>
    </w:p>
    <w:p>
      <w:pPr>
        <w:pBdr>
          <w:bottom w:val="single" w:color="FFFFFF" w:sz="4" w:space="31"/>
        </w:pBdr>
        <w:topLinePunct/>
        <w:spacing w:after="0" w:line="600" w:lineRule="exact"/>
        <w:ind w:firstLine="645"/>
        <w:jc w:val="both"/>
        <w:rPr>
          <w:rFonts w:ascii="仿宋_GB2312" w:hAnsi="宋体" w:eastAsia="仿宋_GB2312"/>
          <w:sz w:val="32"/>
          <w:szCs w:val="32"/>
        </w:rPr>
      </w:pPr>
    </w:p>
    <w:p>
      <w:pPr>
        <w:widowControl w:val="0"/>
        <w:pBdr>
          <w:bottom w:val="single" w:color="FFFFFF" w:sz="4" w:space="31"/>
        </w:pBdr>
        <w:topLinePunct/>
        <w:spacing w:after="0" w:line="600" w:lineRule="exact"/>
        <w:jc w:val="center"/>
        <w:rPr>
          <w:rFonts w:ascii="楷体_GB2312" w:eastAsia="楷体_GB2312"/>
          <w:b/>
          <w:sz w:val="32"/>
          <w:szCs w:val="32"/>
        </w:rPr>
      </w:pPr>
      <w:r>
        <w:rPr>
          <w:rFonts w:hint="eastAsia" w:ascii="楷体_GB2312" w:eastAsia="楷体_GB2312"/>
          <w:b/>
          <w:sz w:val="32"/>
          <w:szCs w:val="32"/>
        </w:rPr>
        <w:t>第三节  完善考核评价制度</w:t>
      </w:r>
    </w:p>
    <w:p>
      <w:pPr>
        <w:pBdr>
          <w:bottom w:val="single" w:color="FFFFFF" w:sz="4" w:space="31"/>
        </w:pBdr>
        <w:topLinePunct/>
        <w:spacing w:after="0" w:line="600" w:lineRule="exact"/>
        <w:ind w:firstLine="645"/>
        <w:jc w:val="both"/>
        <w:rPr>
          <w:rFonts w:hint="eastAsia" w:ascii="楷体_GB2312" w:eastAsia="楷体_GB2312"/>
          <w:b/>
          <w:sz w:val="32"/>
          <w:szCs w:val="32"/>
        </w:rPr>
      </w:pPr>
      <w:r>
        <w:rPr>
          <w:rFonts w:hint="eastAsia" w:ascii="仿宋_GB2312" w:hAnsi="宋体" w:eastAsia="仿宋_GB2312"/>
          <w:sz w:val="32"/>
          <w:szCs w:val="32"/>
        </w:rPr>
        <w:t>建立体现生态文明要求的目标体系、考核办法、奖惩机制。把资源消耗、环境损害、生态效益等指标纳入经济社会发展综合评价体系，适当增加考核权重，强化指标约束，不唯经济增长论。完善政绩考核办法，根据区域主体功能定位，实行差别化考核评价制度</w:t>
      </w:r>
      <w:r>
        <w:rPr>
          <w:rFonts w:hint="eastAsia" w:ascii="Times New Roman" w:hAnsi="Times New Roman" w:eastAsia="仿宋_GB2312"/>
          <w:sz w:val="32"/>
          <w:szCs w:val="32"/>
        </w:rPr>
        <w:t>。</w:t>
      </w:r>
      <w:r>
        <w:rPr>
          <w:rFonts w:ascii="楷体_GB2312" w:eastAsia="楷体_GB2312"/>
          <w:b/>
          <w:sz w:val="32"/>
          <w:szCs w:val="32"/>
        </w:rPr>
        <w:t xml:space="preserve"> </w:t>
      </w:r>
    </w:p>
    <w:p>
      <w:pPr>
        <w:pBdr>
          <w:bottom w:val="single" w:color="FFFFFF" w:sz="4" w:space="31"/>
        </w:pBdr>
        <w:topLinePunct/>
        <w:spacing w:after="0" w:line="600" w:lineRule="exact"/>
        <w:jc w:val="center"/>
        <w:rPr>
          <w:rFonts w:ascii="华文中宋" w:hAnsi="华文中宋" w:eastAsia="华文中宋"/>
          <w:b/>
          <w:sz w:val="36"/>
          <w:szCs w:val="36"/>
        </w:rPr>
      </w:pPr>
    </w:p>
    <w:p>
      <w:pPr>
        <w:pBdr>
          <w:bottom w:val="single" w:color="FFFFFF" w:sz="4" w:space="31"/>
        </w:pBdr>
        <w:topLinePunct/>
        <w:spacing w:after="0" w:line="600" w:lineRule="exact"/>
        <w:jc w:val="center"/>
        <w:rPr>
          <w:rFonts w:ascii="华文中宋" w:hAnsi="华文中宋" w:eastAsia="华文中宋"/>
          <w:b/>
          <w:sz w:val="36"/>
          <w:szCs w:val="36"/>
        </w:rPr>
      </w:pPr>
    </w:p>
    <w:p>
      <w:pPr>
        <w:pBdr>
          <w:bottom w:val="single" w:color="FFFFFF" w:sz="4" w:space="31"/>
        </w:pBdr>
        <w:topLinePunct/>
        <w:spacing w:after="0" w:line="600" w:lineRule="exact"/>
        <w:jc w:val="center"/>
        <w:rPr>
          <w:rFonts w:hint="eastAsia" w:ascii="华文中宋" w:hAnsi="华文中宋" w:eastAsia="华文中宋"/>
          <w:b/>
          <w:sz w:val="36"/>
          <w:szCs w:val="36"/>
        </w:rPr>
      </w:pPr>
      <w:r>
        <w:rPr>
          <w:rFonts w:hint="eastAsia" w:ascii="华文中宋" w:hAnsi="华文中宋" w:eastAsia="华文中宋"/>
          <w:b/>
          <w:sz w:val="36"/>
          <w:szCs w:val="36"/>
        </w:rPr>
        <w:t>第八篇  促进基本公共服务均等化</w:t>
      </w:r>
    </w:p>
    <w:p>
      <w:pPr>
        <w:pBdr>
          <w:bottom w:val="single" w:color="FFFFFF" w:sz="4" w:space="31"/>
        </w:pBdr>
        <w:topLinePunct/>
        <w:spacing w:after="0" w:line="600" w:lineRule="exact"/>
        <w:jc w:val="both"/>
        <w:rPr>
          <w:rFonts w:hint="eastAsia" w:ascii="仿宋_GB2312" w:eastAsia="仿宋_GB2312"/>
          <w:sz w:val="32"/>
          <w:szCs w:val="32"/>
        </w:rPr>
      </w:pPr>
    </w:p>
    <w:p>
      <w:pPr>
        <w:pBdr>
          <w:bottom w:val="single" w:color="FFFFFF" w:sz="4" w:space="31"/>
        </w:pBdr>
        <w:topLinePunct/>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把富民惠民、改善民生作为一切工作的出发点和落脚点，坚持“保基本、兜底线、促公平、可持续”的原则，以建立科学高效的基本公共服务制度为突破口，着力保障城乡居民生存发展基本需求，着力增强服务供给能力，着力创新服务机制，加快建立健全符合市情、比较完整、覆盖城乡、可持续的基本公共服务体系，逐步推进基本公共服务均等化。力争到“十三五”末，全市公共服务整体水平位居西部前列，高出全国平均水平。</w:t>
      </w:r>
    </w:p>
    <w:p>
      <w:pPr>
        <w:pBdr>
          <w:bottom w:val="single" w:color="FFFFFF" w:sz="4" w:space="31"/>
        </w:pBdr>
        <w:topLinePunct/>
        <w:spacing w:after="0" w:line="600" w:lineRule="exact"/>
        <w:jc w:val="center"/>
        <w:rPr>
          <w:rFonts w:hint="eastAsia" w:ascii="黑体" w:hAnsi="黑体" w:eastAsia="黑体"/>
          <w:sz w:val="32"/>
          <w:szCs w:val="32"/>
        </w:rPr>
      </w:pPr>
    </w:p>
    <w:p>
      <w:pPr>
        <w:pBdr>
          <w:bottom w:val="single" w:color="FFFFFF" w:sz="4" w:space="31"/>
        </w:pBdr>
        <w:topLinePunct/>
        <w:spacing w:after="0" w:line="600" w:lineRule="exact"/>
        <w:jc w:val="center"/>
        <w:rPr>
          <w:rFonts w:hint="eastAsia" w:ascii="黑体" w:hAnsi="黑体" w:eastAsia="黑体"/>
          <w:sz w:val="32"/>
          <w:szCs w:val="32"/>
        </w:rPr>
      </w:pPr>
      <w:r>
        <w:rPr>
          <w:rFonts w:hint="eastAsia" w:ascii="黑体" w:hAnsi="黑体" w:eastAsia="黑体"/>
          <w:sz w:val="32"/>
          <w:szCs w:val="32"/>
        </w:rPr>
        <w:t>第二十七章</w:t>
      </w:r>
      <w:r>
        <w:rPr>
          <w:rFonts w:ascii="黑体" w:hAnsi="黑体" w:eastAsia="黑体"/>
          <w:sz w:val="32"/>
          <w:szCs w:val="32"/>
        </w:rPr>
        <w:t xml:space="preserve">  </w:t>
      </w:r>
      <w:r>
        <w:rPr>
          <w:rFonts w:hint="eastAsia" w:ascii="黑体" w:hAnsi="黑体" w:eastAsia="黑体"/>
          <w:sz w:val="32"/>
          <w:szCs w:val="32"/>
        </w:rPr>
        <w:t>率先基本实现教育现代化</w:t>
      </w:r>
    </w:p>
    <w:p>
      <w:pPr>
        <w:pBdr>
          <w:bottom w:val="single" w:color="FFFFFF" w:sz="4" w:space="31"/>
        </w:pBdr>
        <w:topLinePunct/>
        <w:spacing w:after="0" w:line="600" w:lineRule="exact"/>
        <w:jc w:val="center"/>
        <w:rPr>
          <w:rFonts w:hint="eastAsia" w:ascii="楷体_GB2312" w:eastAsia="楷体_GB2312"/>
          <w:b/>
          <w:sz w:val="32"/>
          <w:szCs w:val="32"/>
        </w:rPr>
      </w:pPr>
    </w:p>
    <w:p>
      <w:pPr>
        <w:pBdr>
          <w:bottom w:val="single" w:color="FFFFFF" w:sz="4" w:space="31"/>
        </w:pBdr>
        <w:topLinePunct/>
        <w:spacing w:after="0" w:line="600" w:lineRule="exact"/>
        <w:jc w:val="center"/>
        <w:rPr>
          <w:rFonts w:hint="eastAsia" w:ascii="楷体_GB2312" w:eastAsia="楷体_GB2312"/>
          <w:b/>
          <w:sz w:val="32"/>
          <w:szCs w:val="32"/>
        </w:rPr>
      </w:pPr>
      <w:r>
        <w:rPr>
          <w:rFonts w:hint="eastAsia" w:ascii="楷体_GB2312" w:eastAsia="楷体_GB2312"/>
          <w:b/>
          <w:sz w:val="32"/>
          <w:szCs w:val="32"/>
        </w:rPr>
        <w:t>第一节</w:t>
      </w:r>
      <w:r>
        <w:rPr>
          <w:rFonts w:ascii="楷体_GB2312" w:eastAsia="楷体_GB2312"/>
          <w:b/>
          <w:sz w:val="32"/>
          <w:szCs w:val="32"/>
        </w:rPr>
        <w:t xml:space="preserve">  </w:t>
      </w:r>
      <w:r>
        <w:rPr>
          <w:rFonts w:hint="eastAsia" w:ascii="楷体_GB2312" w:eastAsia="楷体_GB2312"/>
          <w:b/>
          <w:sz w:val="32"/>
          <w:szCs w:val="32"/>
        </w:rPr>
        <w:t>提升教育</w:t>
      </w:r>
      <w:r>
        <w:rPr>
          <w:rFonts w:ascii="楷体_GB2312" w:eastAsia="楷体_GB2312"/>
          <w:b/>
          <w:sz w:val="32"/>
          <w:szCs w:val="32"/>
        </w:rPr>
        <w:t>现代化水平</w:t>
      </w:r>
    </w:p>
    <w:p>
      <w:pPr>
        <w:pBdr>
          <w:bottom w:val="single" w:color="FFFFFF" w:sz="4" w:space="31"/>
        </w:pBdr>
        <w:topLinePunct/>
        <w:spacing w:after="0"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w:t>
      </w:r>
      <w:r>
        <w:rPr>
          <w:rFonts w:ascii="仿宋_GB2312" w:hAnsi="仿宋_GB2312" w:eastAsia="仿宋_GB2312" w:cs="仿宋_GB2312"/>
          <w:sz w:val="32"/>
          <w:szCs w:val="32"/>
        </w:rPr>
        <w:t>教育优先发展战略，以素质教育为战略</w:t>
      </w:r>
      <w:r>
        <w:rPr>
          <w:rFonts w:hint="eastAsia" w:ascii="仿宋_GB2312" w:hAnsi="仿宋_GB2312" w:eastAsia="仿宋_GB2312" w:cs="仿宋_GB2312"/>
          <w:sz w:val="32"/>
          <w:szCs w:val="32"/>
        </w:rPr>
        <w:t>主题</w:t>
      </w:r>
      <w:r>
        <w:rPr>
          <w:rFonts w:ascii="仿宋_GB2312" w:hAnsi="仿宋_GB2312" w:eastAsia="仿宋_GB2312" w:cs="仿宋_GB2312"/>
          <w:sz w:val="32"/>
          <w:szCs w:val="32"/>
        </w:rPr>
        <w:t>，以提高质量</w:t>
      </w:r>
      <w:r>
        <w:rPr>
          <w:rFonts w:hint="eastAsia" w:ascii="仿宋_GB2312" w:hAnsi="仿宋_GB2312" w:eastAsia="仿宋_GB2312" w:cs="仿宋_GB2312"/>
          <w:sz w:val="32"/>
          <w:szCs w:val="32"/>
        </w:rPr>
        <w:t>、促进公平为核心任务，以</w:t>
      </w:r>
      <w:r>
        <w:rPr>
          <w:rFonts w:ascii="仿宋_GB2312" w:hAnsi="仿宋_GB2312" w:eastAsia="仿宋_GB2312" w:cs="仿宋_GB2312"/>
          <w:sz w:val="32"/>
          <w:szCs w:val="32"/>
        </w:rPr>
        <w:t>推进教育治理体系</w:t>
      </w:r>
      <w:r>
        <w:rPr>
          <w:rFonts w:hint="eastAsia" w:ascii="仿宋_GB2312" w:hAnsi="仿宋_GB2312" w:eastAsia="仿宋_GB2312" w:cs="仿宋_GB2312"/>
          <w:sz w:val="32"/>
          <w:szCs w:val="32"/>
        </w:rPr>
        <w:t>和治理能力现代化为基本途径，以</w:t>
      </w:r>
      <w:r>
        <w:rPr>
          <w:rFonts w:ascii="仿宋_GB2312" w:hAnsi="仿宋_GB2312" w:eastAsia="仿宋_GB2312" w:cs="仿宋_GB2312"/>
          <w:sz w:val="32"/>
          <w:szCs w:val="32"/>
        </w:rPr>
        <w:t>教育国际</w:t>
      </w:r>
      <w:r>
        <w:rPr>
          <w:rFonts w:hint="eastAsia" w:ascii="仿宋_GB2312" w:hAnsi="仿宋_GB2312" w:eastAsia="仿宋_GB2312" w:cs="仿宋_GB2312"/>
          <w:sz w:val="32"/>
          <w:szCs w:val="32"/>
        </w:rPr>
        <w:t>化、</w:t>
      </w:r>
      <w:r>
        <w:rPr>
          <w:rFonts w:ascii="仿宋_GB2312" w:hAnsi="仿宋_GB2312" w:eastAsia="仿宋_GB2312" w:cs="仿宋_GB2312"/>
          <w:sz w:val="32"/>
          <w:szCs w:val="32"/>
        </w:rPr>
        <w:t>开放化、信息化、优质化、法制化为突破方向，积极深化“</w:t>
      </w:r>
      <w:r>
        <w:rPr>
          <w:rFonts w:hint="eastAsia" w:ascii="仿宋_GB2312" w:hAnsi="仿宋_GB2312" w:eastAsia="仿宋_GB2312" w:cs="仿宋_GB2312"/>
          <w:sz w:val="32"/>
          <w:szCs w:val="32"/>
        </w:rPr>
        <w:t>互联网</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教育</w:t>
      </w:r>
      <w:r>
        <w:rPr>
          <w:rFonts w:ascii="仿宋_GB2312" w:hAnsi="仿宋_GB2312" w:eastAsia="仿宋_GB2312" w:cs="仿宋_GB2312"/>
          <w:sz w:val="32"/>
          <w:szCs w:val="32"/>
        </w:rPr>
        <w:t>变革，推进考试招生制度改革，落实乡村</w:t>
      </w:r>
      <w:r>
        <w:rPr>
          <w:rFonts w:hint="eastAsia" w:ascii="仿宋_GB2312" w:hAnsi="仿宋_GB2312" w:eastAsia="仿宋_GB2312" w:cs="仿宋_GB2312"/>
          <w:sz w:val="32"/>
          <w:szCs w:val="32"/>
        </w:rPr>
        <w:t>教师</w:t>
      </w:r>
      <w:r>
        <w:rPr>
          <w:rFonts w:ascii="仿宋_GB2312" w:hAnsi="仿宋_GB2312" w:eastAsia="仿宋_GB2312" w:cs="仿宋_GB2312"/>
          <w:sz w:val="32"/>
          <w:szCs w:val="32"/>
        </w:rPr>
        <w:t>支持计划，完善县域内校长教师交流轮岗机制，不断扩大优质教育资源，打造具有</w:t>
      </w:r>
      <w:r>
        <w:rPr>
          <w:rFonts w:hint="eastAsia" w:ascii="仿宋_GB2312" w:hAnsi="仿宋_GB2312" w:eastAsia="仿宋_GB2312" w:cs="仿宋_GB2312"/>
          <w:sz w:val="32"/>
          <w:szCs w:val="32"/>
        </w:rPr>
        <w:t>世界</w:t>
      </w:r>
      <w:r>
        <w:rPr>
          <w:rFonts w:ascii="仿宋_GB2312" w:hAnsi="仿宋_GB2312" w:eastAsia="仿宋_GB2312" w:cs="仿宋_GB2312"/>
          <w:sz w:val="32"/>
          <w:szCs w:val="32"/>
        </w:rPr>
        <w:t>眼光、国际标准、本土优势、区域特色的现代化教</w:t>
      </w:r>
      <w:r>
        <w:rPr>
          <w:rFonts w:hint="eastAsia" w:ascii="仿宋_GB2312" w:hAnsi="仿宋_GB2312" w:eastAsia="仿宋_GB2312" w:cs="仿宋_GB2312"/>
          <w:sz w:val="32"/>
          <w:szCs w:val="32"/>
        </w:rPr>
        <w:t>育。2020年前，在关天经济区率先基本实现教育现代化，建成教育强市。</w:t>
      </w:r>
    </w:p>
    <w:p>
      <w:pPr>
        <w:pBdr>
          <w:bottom w:val="single" w:color="FFFFFF" w:sz="4" w:space="31"/>
        </w:pBdr>
        <w:topLinePunct/>
        <w:spacing w:after="0" w:line="600" w:lineRule="exact"/>
        <w:ind w:firstLine="640" w:firstLineChars="200"/>
        <w:jc w:val="both"/>
        <w:rPr>
          <w:rFonts w:hint="eastAsia" w:ascii="仿宋_GB2312" w:hAnsi="仿宋_GB2312" w:eastAsia="仿宋_GB2312" w:cs="仿宋_GB2312"/>
          <w:sz w:val="32"/>
          <w:szCs w:val="32"/>
        </w:rPr>
      </w:pPr>
    </w:p>
    <w:p>
      <w:pPr>
        <w:pBdr>
          <w:bottom w:val="single" w:color="FFFFFF" w:sz="4" w:space="31"/>
        </w:pBdr>
        <w:topLinePunct/>
        <w:spacing w:after="0" w:line="600" w:lineRule="exact"/>
        <w:jc w:val="center"/>
        <w:rPr>
          <w:rFonts w:hint="eastAsia" w:ascii="楷体_GB2312" w:eastAsia="楷体_GB2312"/>
          <w:b/>
          <w:sz w:val="32"/>
          <w:szCs w:val="32"/>
        </w:rPr>
      </w:pPr>
      <w:r>
        <w:rPr>
          <w:rFonts w:hint="eastAsia" w:ascii="楷体_GB2312" w:eastAsia="楷体_GB2312"/>
          <w:b/>
          <w:sz w:val="32"/>
          <w:szCs w:val="32"/>
        </w:rPr>
        <w:t>第二节</w:t>
      </w:r>
      <w:r>
        <w:rPr>
          <w:rFonts w:ascii="楷体_GB2312" w:eastAsia="楷体_GB2312"/>
          <w:b/>
          <w:sz w:val="32"/>
          <w:szCs w:val="32"/>
        </w:rPr>
        <w:t xml:space="preserve">  </w:t>
      </w:r>
      <w:r>
        <w:rPr>
          <w:rFonts w:hint="eastAsia" w:ascii="楷体_GB2312" w:eastAsia="楷体_GB2312"/>
          <w:b/>
          <w:sz w:val="32"/>
          <w:szCs w:val="32"/>
        </w:rPr>
        <w:t>健全现代教育体系</w:t>
      </w:r>
    </w:p>
    <w:p>
      <w:pPr>
        <w:pBdr>
          <w:bottom w:val="single" w:color="FFFFFF" w:sz="4" w:space="31"/>
        </w:pBdr>
        <w:topLinePunct/>
        <w:spacing w:after="0" w:line="600" w:lineRule="exact"/>
        <w:ind w:firstLine="643" w:firstLineChars="20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b/>
          <w:sz w:val="32"/>
          <w:szCs w:val="32"/>
        </w:rPr>
        <w:t>加快推进学前教育。</w:t>
      </w:r>
      <w:r>
        <w:rPr>
          <w:rFonts w:hint="eastAsia" w:ascii="仿宋_GB2312" w:hAnsi="仿宋_GB2312" w:eastAsia="仿宋_GB2312" w:cs="仿宋_GB2312"/>
          <w:sz w:val="32"/>
          <w:szCs w:val="32"/>
        </w:rPr>
        <w:t>以发展公办幼儿园和普惠性民办幼儿园为重点，全面普及学前三年教育，建立覆盖城乡、具有质量的学前教育公共服务体系。到“十三五”末公办园占比55%以上，全市60%以上公办幼儿园达到市级一类幼儿园以上标准，学前三年毛入园率达到98%。</w:t>
      </w:r>
      <w:r>
        <w:rPr>
          <w:rFonts w:hint="eastAsia" w:ascii="仿宋_GB2312" w:hAnsi="仿宋_GB2312" w:eastAsia="仿宋_GB2312" w:cs="仿宋_GB2312"/>
          <w:b/>
          <w:sz w:val="32"/>
          <w:szCs w:val="32"/>
        </w:rPr>
        <w:t>巩固提高义务教育。</w:t>
      </w:r>
      <w:r>
        <w:rPr>
          <w:rFonts w:hint="eastAsia" w:ascii="仿宋_GB2312" w:hAnsi="仿宋_GB2312" w:eastAsia="仿宋_GB2312" w:cs="仿宋_GB2312"/>
          <w:sz w:val="32"/>
          <w:szCs w:val="32"/>
        </w:rPr>
        <w:t>以义务教育学校标准化建设为重点，全面改善贫困地区义务教育薄弱学校基本办学条件，推进县城以上城区中小学校建设，解决义务教育入学难、大班额等突出问题。到2017年，在西北地区率先实现“国家义务教育发展基本均衡县”全覆盖，到2018年，全面完成义务教育学校标准化建设任务。到“十三五”末，九年义务教育目标人群覆盖率达到100%，巩固率达到99.92%。</w:t>
      </w:r>
      <w:r>
        <w:rPr>
          <w:rFonts w:hint="eastAsia" w:ascii="仿宋_GB2312" w:hAnsi="仿宋_GB2312" w:eastAsia="仿宋_GB2312" w:cs="仿宋_GB2312"/>
          <w:b/>
          <w:sz w:val="32"/>
          <w:szCs w:val="32"/>
        </w:rPr>
        <w:t>优化提升高中教育。</w:t>
      </w:r>
      <w:r>
        <w:rPr>
          <w:rFonts w:hint="eastAsia" w:ascii="仿宋_GB2312" w:hAnsi="仿宋_GB2312" w:eastAsia="仿宋_GB2312" w:cs="仿宋_GB2312"/>
          <w:sz w:val="32"/>
          <w:szCs w:val="32"/>
        </w:rPr>
        <w:t>以普通高中优质化、特色化、多元化发展为重点，加强普通高中标准化建设，推动一批高</w:t>
      </w:r>
      <w:r>
        <w:rPr>
          <w:rFonts w:hint="eastAsia" w:ascii="仿宋_GB2312" w:eastAsia="仿宋_GB2312"/>
          <w:sz w:val="32"/>
          <w:szCs w:val="32"/>
        </w:rPr>
        <w:t>水平普通高中进入全国一流行列</w:t>
      </w:r>
      <w:r>
        <w:rPr>
          <w:rFonts w:hint="eastAsia" w:ascii="仿宋_GB2312" w:hAnsi="仿宋_GB2312" w:eastAsia="仿宋_GB2312" w:cs="仿宋_GB2312"/>
          <w:sz w:val="32"/>
          <w:szCs w:val="32"/>
        </w:rPr>
        <w:t>。到“十三五”末，全市所有普通高中全部达到标准化，省级示范高中达到15%。逐步实现普通高中免费教育。</w:t>
      </w:r>
      <w:r>
        <w:rPr>
          <w:rFonts w:hint="eastAsia" w:ascii="仿宋_GB2312" w:hAnsi="仿宋_GB2312" w:eastAsia="仿宋_GB2312" w:cs="仿宋_GB2312"/>
          <w:b/>
          <w:color w:val="000000"/>
          <w:sz w:val="32"/>
          <w:szCs w:val="32"/>
        </w:rPr>
        <w:t>加快发展职业教育</w:t>
      </w:r>
      <w:r>
        <w:rPr>
          <w:rFonts w:hint="eastAsia" w:ascii="仿宋_GB2312" w:hAnsi="仿宋_GB2312" w:eastAsia="仿宋_GB2312" w:cs="仿宋_GB2312"/>
          <w:color w:val="000000"/>
          <w:sz w:val="32"/>
          <w:szCs w:val="32"/>
        </w:rPr>
        <w:t>。以职业技术院校骨干专业和实训基地建设为重点，推进产教融合、校企合作，打造煤矿开采、汽车应用等应用型人才的品牌院校，建设具有宝鸡特色的现代应用型人才培养体系。推进中等职业教育免费，推动职业教育与普通教育互通融合。整合职教资源，到“十三五”末，将中等职业学校整合到30所左右，保持规模在5万人以上。</w:t>
      </w:r>
      <w:r>
        <w:rPr>
          <w:rFonts w:hint="eastAsia" w:ascii="仿宋_GB2312" w:hAnsi="仿宋_GB2312" w:eastAsia="仿宋_GB2312" w:cs="仿宋_GB2312"/>
          <w:b/>
          <w:color w:val="000000"/>
          <w:sz w:val="32"/>
          <w:szCs w:val="32"/>
        </w:rPr>
        <w:t>扩大教育开放与合作。</w:t>
      </w:r>
      <w:r>
        <w:rPr>
          <w:rFonts w:hint="eastAsia" w:ascii="仿宋_GB2312" w:hAnsi="仿宋_GB2312" w:eastAsia="仿宋_GB2312"/>
          <w:sz w:val="32"/>
        </w:rPr>
        <w:t>着眼教育国际化，实施教育国际交流与合作计划，构建教育国际交流合作平台，开展多层次、宽领域的教育交流与合作，推进教育国际交流常态化。</w:t>
      </w:r>
    </w:p>
    <w:p>
      <w:pPr>
        <w:pBdr>
          <w:bottom w:val="single" w:color="FFFFFF" w:sz="4" w:space="31"/>
        </w:pBdr>
        <w:topLinePunct/>
        <w:spacing w:after="0" w:line="600" w:lineRule="exact"/>
        <w:ind w:firstLine="640" w:firstLineChars="200"/>
        <w:jc w:val="both"/>
        <w:rPr>
          <w:rFonts w:hint="eastAsia" w:ascii="仿宋_GB2312" w:hAnsi="仿宋_GB2312" w:eastAsia="仿宋_GB2312" w:cs="仿宋_GB2312"/>
          <w:color w:val="000000"/>
          <w:sz w:val="32"/>
          <w:szCs w:val="32"/>
        </w:rPr>
      </w:pPr>
    </w:p>
    <w:p>
      <w:pPr>
        <w:pBdr>
          <w:bottom w:val="single" w:color="FFFFFF" w:sz="4" w:space="31"/>
        </w:pBdr>
        <w:topLinePunct/>
        <w:spacing w:after="0" w:line="600" w:lineRule="exact"/>
        <w:jc w:val="center"/>
        <w:rPr>
          <w:rFonts w:hint="eastAsia" w:ascii="楷体_GB2312" w:hAnsi="楷体_GB2312" w:eastAsia="楷体_GB2312" w:cs="楷体_GB2312"/>
          <w:b/>
          <w:bCs/>
          <w:sz w:val="32"/>
          <w:szCs w:val="32"/>
        </w:rPr>
      </w:pPr>
      <w:r>
        <w:rPr>
          <w:rFonts w:hint="eastAsia" w:ascii="楷体_GB2312" w:eastAsia="楷体_GB2312"/>
          <w:b/>
          <w:sz w:val="32"/>
          <w:szCs w:val="32"/>
        </w:rPr>
        <w:t>第三节</w:t>
      </w:r>
      <w:r>
        <w:rPr>
          <w:rFonts w:ascii="楷体_GB2312" w:eastAsia="楷体_GB2312"/>
          <w:b/>
          <w:sz w:val="32"/>
          <w:szCs w:val="32"/>
        </w:rPr>
        <w:t xml:space="preserve">  </w:t>
      </w:r>
      <w:r>
        <w:rPr>
          <w:rFonts w:hint="eastAsia" w:ascii="楷体_GB2312" w:hAnsi="楷体_GB2312" w:eastAsia="楷体_GB2312" w:cs="楷体_GB2312"/>
          <w:b/>
          <w:bCs/>
          <w:sz w:val="32"/>
          <w:szCs w:val="32"/>
        </w:rPr>
        <w:t>加快</w:t>
      </w:r>
      <w:r>
        <w:rPr>
          <w:rFonts w:ascii="楷体_GB2312" w:hAnsi="楷体_GB2312" w:eastAsia="楷体_GB2312" w:cs="楷体_GB2312"/>
          <w:b/>
          <w:bCs/>
          <w:sz w:val="32"/>
          <w:szCs w:val="32"/>
        </w:rPr>
        <w:t>发展高等教育</w:t>
      </w:r>
    </w:p>
    <w:p>
      <w:pPr>
        <w:pBdr>
          <w:bottom w:val="single" w:color="FFFFFF" w:sz="4" w:space="31"/>
        </w:pBdr>
        <w:topLinePunct/>
        <w:spacing w:after="0" w:line="60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支持宝鸡文理学院筹建宝鸡大学为重点，创新服务高等教育的政策机制，吸引省内外著名高校来宝办学或合作办学。支持宝鸡文理学院新增硕士学位点，发展研究生教育，办成省内和西部地区同类院校一流水平的综合性大学。推动宝鸡职业技术学院、陕西机电职业学院特色发展，加快向高职本科教育发展，支持筹建宝鸡工程学院，全面提高人才培养质量和增强社会服务能力。根据市域经济发展需要，开设宝鸡支柱产业和重点领域急需的专业，重点发展机械制造、航空航天、电子信息、采矿、建筑、旅游等专业群，探索与高新区、开发区、工业区联动发展的机制，促进人才培养链、科技创新链和产业链紧密结合，为关天经济区人才建设提供有力支撑。</w:t>
      </w:r>
    </w:p>
    <w:p>
      <w:pPr>
        <w:widowControl w:val="0"/>
        <w:pBdr>
          <w:bottom w:val="single" w:color="FFFFFF" w:sz="4" w:space="31"/>
        </w:pBdr>
        <w:topLinePunct/>
        <w:spacing w:after="0" w:line="600" w:lineRule="exact"/>
        <w:jc w:val="center"/>
        <w:rPr>
          <w:rFonts w:hint="eastAsia" w:ascii="黑体" w:hAnsi="黑体" w:eastAsia="黑体"/>
          <w:sz w:val="32"/>
          <w:szCs w:val="32"/>
        </w:rPr>
      </w:pPr>
    </w:p>
    <w:p>
      <w:pPr>
        <w:widowControl w:val="0"/>
        <w:pBdr>
          <w:bottom w:val="single" w:color="FFFFFF" w:sz="4" w:space="31"/>
        </w:pBdr>
        <w:topLinePunct/>
        <w:spacing w:after="0" w:line="600" w:lineRule="exact"/>
        <w:jc w:val="center"/>
        <w:rPr>
          <w:rFonts w:hint="eastAsia" w:ascii="黑体" w:hAnsi="黑体" w:eastAsia="黑体"/>
          <w:sz w:val="32"/>
          <w:szCs w:val="32"/>
        </w:rPr>
      </w:pPr>
      <w:r>
        <w:rPr>
          <w:rFonts w:hint="eastAsia" w:ascii="黑体" w:hAnsi="黑体" w:eastAsia="黑体"/>
          <w:sz w:val="32"/>
          <w:szCs w:val="32"/>
        </w:rPr>
        <w:t>第二十八章</w:t>
      </w:r>
      <w:r>
        <w:rPr>
          <w:rFonts w:ascii="黑体" w:hAnsi="黑体" w:eastAsia="黑体"/>
          <w:sz w:val="32"/>
          <w:szCs w:val="32"/>
        </w:rPr>
        <w:t xml:space="preserve">  </w:t>
      </w:r>
      <w:r>
        <w:rPr>
          <w:rFonts w:hint="eastAsia" w:ascii="黑体" w:hAnsi="黑体" w:eastAsia="黑体"/>
          <w:sz w:val="32"/>
          <w:szCs w:val="32"/>
        </w:rPr>
        <w:t>加快建设健康宝鸡</w:t>
      </w:r>
    </w:p>
    <w:p>
      <w:pPr>
        <w:widowControl w:val="0"/>
        <w:pBdr>
          <w:bottom w:val="single" w:color="FFFFFF" w:sz="4" w:space="31"/>
        </w:pBdr>
        <w:topLinePunct/>
        <w:spacing w:after="0" w:line="600" w:lineRule="exact"/>
        <w:jc w:val="center"/>
        <w:rPr>
          <w:rFonts w:hint="eastAsia" w:ascii="楷体_GB2312" w:eastAsia="楷体_GB2312"/>
          <w:b/>
          <w:sz w:val="32"/>
          <w:szCs w:val="32"/>
        </w:rPr>
      </w:pPr>
    </w:p>
    <w:p>
      <w:pPr>
        <w:widowControl w:val="0"/>
        <w:pBdr>
          <w:bottom w:val="single" w:color="FFFFFF" w:sz="4" w:space="31"/>
        </w:pBdr>
        <w:topLinePunct/>
        <w:spacing w:after="0" w:line="600" w:lineRule="exact"/>
        <w:jc w:val="center"/>
        <w:rPr>
          <w:rFonts w:hint="eastAsia" w:ascii="楷体_GB2312" w:eastAsia="楷体_GB2312"/>
          <w:b/>
          <w:sz w:val="32"/>
          <w:szCs w:val="32"/>
        </w:rPr>
      </w:pPr>
      <w:r>
        <w:rPr>
          <w:rFonts w:hint="eastAsia" w:ascii="楷体_GB2312" w:eastAsia="楷体_GB2312"/>
          <w:b/>
          <w:sz w:val="32"/>
          <w:szCs w:val="32"/>
        </w:rPr>
        <w:t>第一节</w:t>
      </w:r>
      <w:r>
        <w:rPr>
          <w:rFonts w:ascii="楷体_GB2312" w:eastAsia="楷体_GB2312"/>
          <w:b/>
          <w:sz w:val="32"/>
          <w:szCs w:val="32"/>
        </w:rPr>
        <w:t xml:space="preserve">  </w:t>
      </w:r>
      <w:r>
        <w:rPr>
          <w:rFonts w:hint="eastAsia" w:ascii="楷体_GB2312" w:eastAsia="楷体_GB2312"/>
          <w:b/>
          <w:sz w:val="32"/>
          <w:szCs w:val="32"/>
        </w:rPr>
        <w:t>推动医疗卫生事业发展</w:t>
      </w:r>
    </w:p>
    <w:p>
      <w:pPr>
        <w:widowControl w:val="0"/>
        <w:pBdr>
          <w:bottom w:val="single" w:color="FFFFFF" w:sz="4" w:space="31"/>
        </w:pBdr>
        <w:topLinePunct/>
        <w:spacing w:after="0" w:line="600" w:lineRule="exact"/>
        <w:ind w:firstLine="640" w:firstLineChars="200"/>
        <w:jc w:val="both"/>
        <w:rPr>
          <w:rFonts w:hint="eastAsia" w:ascii="仿宋_GB2312" w:eastAsia="仿宋_GB2312"/>
          <w:color w:val="000000"/>
          <w:sz w:val="32"/>
          <w:szCs w:val="32"/>
        </w:rPr>
      </w:pPr>
      <w:r>
        <w:rPr>
          <w:rFonts w:hint="eastAsia" w:ascii="仿宋_GB2312" w:eastAsia="仿宋_GB2312"/>
          <w:sz w:val="32"/>
          <w:szCs w:val="32"/>
        </w:rPr>
        <w:t>按照“保基本、强基层、建机制”的要求，充分发挥政府职能和市场机制作用，推进医疗、医保、医药三医联动，上下联动，内外联动，区域联动，全面提升医疗卫生行业治理能力和服务水平。到</w:t>
      </w:r>
      <w:r>
        <w:rPr>
          <w:rFonts w:ascii="仿宋_GB2312" w:eastAsia="仿宋_GB2312"/>
          <w:sz w:val="32"/>
          <w:szCs w:val="32"/>
        </w:rPr>
        <w:t>2020</w:t>
      </w:r>
      <w:r>
        <w:rPr>
          <w:rFonts w:hint="eastAsia" w:ascii="仿宋_GB2312" w:eastAsia="仿宋_GB2312"/>
          <w:sz w:val="32"/>
          <w:szCs w:val="32"/>
        </w:rPr>
        <w:t>年，覆盖城乡居民的基本医疗卫生制度基本建立。建立比较完善的、覆盖城乡居民全生命周期的公共卫生服务体系和医疗服务体系，比较健全的医疗保障体系，比较规范的药品供应</w:t>
      </w:r>
      <w:r>
        <w:rPr>
          <w:rFonts w:hint="eastAsia" w:ascii="仿宋_GB2312" w:eastAsia="仿宋_GB2312"/>
          <w:color w:val="000000"/>
          <w:sz w:val="32"/>
          <w:szCs w:val="32"/>
        </w:rPr>
        <w:t>保障体系和</w:t>
      </w:r>
      <w:r>
        <w:rPr>
          <w:rFonts w:ascii="仿宋_GB2312" w:eastAsia="仿宋_GB2312"/>
          <w:color w:val="000000"/>
          <w:sz w:val="32"/>
          <w:szCs w:val="32"/>
        </w:rPr>
        <w:t>现代医院管理制度</w:t>
      </w:r>
      <w:r>
        <w:rPr>
          <w:rFonts w:hint="eastAsia" w:ascii="仿宋_GB2312" w:eastAsia="仿宋_GB2312"/>
          <w:color w:val="000000"/>
          <w:sz w:val="32"/>
          <w:szCs w:val="32"/>
        </w:rPr>
        <w:t>，</w:t>
      </w:r>
      <w:r>
        <w:rPr>
          <w:rFonts w:ascii="仿宋_GB2312" w:eastAsia="仿宋_GB2312"/>
          <w:color w:val="000000"/>
          <w:sz w:val="32"/>
          <w:szCs w:val="32"/>
        </w:rPr>
        <w:t>中医药服务能力进一步提升，大病医疗保险和城乡医疗救助制度更加完善</w:t>
      </w:r>
      <w:r>
        <w:rPr>
          <w:rFonts w:hint="eastAsia" w:ascii="仿宋_GB2312" w:eastAsia="仿宋_GB2312"/>
          <w:color w:val="000000"/>
          <w:sz w:val="32"/>
          <w:szCs w:val="32"/>
        </w:rPr>
        <w:t>，</w:t>
      </w:r>
      <w:r>
        <w:rPr>
          <w:rFonts w:ascii="仿宋_GB2312" w:eastAsia="仿宋_GB2312"/>
          <w:color w:val="000000"/>
          <w:sz w:val="32"/>
          <w:szCs w:val="32"/>
        </w:rPr>
        <w:t>城乡居民个人自付医药费用将至</w:t>
      </w:r>
      <w:r>
        <w:rPr>
          <w:rFonts w:hint="eastAsia" w:ascii="仿宋_GB2312" w:eastAsia="仿宋_GB2312"/>
          <w:color w:val="000000"/>
          <w:sz w:val="32"/>
          <w:szCs w:val="32"/>
        </w:rPr>
        <w:t>30</w:t>
      </w:r>
      <w:r>
        <w:rPr>
          <w:rFonts w:ascii="仿宋_GB2312" w:eastAsia="仿宋_GB2312"/>
          <w:color w:val="000000"/>
          <w:sz w:val="32"/>
          <w:szCs w:val="32"/>
        </w:rPr>
        <w:t>%以下，</w:t>
      </w:r>
      <w:r>
        <w:rPr>
          <w:rFonts w:hint="eastAsia" w:ascii="仿宋_GB2312" w:eastAsia="仿宋_GB2312"/>
          <w:color w:val="000000"/>
          <w:sz w:val="32"/>
          <w:szCs w:val="32"/>
        </w:rPr>
        <w:t>医疗卫生机构管理体制和运行机制更加科学</w:t>
      </w:r>
      <w:r>
        <w:rPr>
          <w:rFonts w:ascii="仿宋_GB2312" w:eastAsia="仿宋_GB2312"/>
          <w:color w:val="000000"/>
          <w:sz w:val="32"/>
          <w:szCs w:val="32"/>
        </w:rPr>
        <w:t>有效</w:t>
      </w:r>
      <w:r>
        <w:rPr>
          <w:rFonts w:hint="eastAsia" w:ascii="仿宋_GB2312" w:eastAsia="仿宋_GB2312"/>
          <w:color w:val="000000"/>
          <w:sz w:val="32"/>
          <w:szCs w:val="32"/>
        </w:rPr>
        <w:t>，鼓励引导社会资本投入，形成多元办医格局，实现人人享有基本医疗和公共卫生服务，积极开展爱国卫生运动和</w:t>
      </w:r>
      <w:r>
        <w:rPr>
          <w:rFonts w:ascii="仿宋_GB2312" w:eastAsia="仿宋_GB2312"/>
          <w:color w:val="000000"/>
          <w:sz w:val="32"/>
          <w:szCs w:val="32"/>
        </w:rPr>
        <w:t>健康宝鸡建设活动</w:t>
      </w:r>
      <w:r>
        <w:rPr>
          <w:rFonts w:hint="eastAsia" w:ascii="仿宋_GB2312" w:eastAsia="仿宋_GB2312"/>
          <w:color w:val="000000"/>
          <w:sz w:val="32"/>
          <w:szCs w:val="32"/>
        </w:rPr>
        <w:t>，满足群众多层次的健康需求，加强重大疾病和职业病防治以及心理健康服务，人民群众健康水平进一步提高，</w:t>
      </w:r>
      <w:r>
        <w:rPr>
          <w:rFonts w:ascii="仿宋_GB2312" w:eastAsia="仿宋_GB2312"/>
          <w:color w:val="000000"/>
          <w:sz w:val="32"/>
          <w:szCs w:val="32"/>
        </w:rPr>
        <w:t>人均</w:t>
      </w:r>
      <w:r>
        <w:rPr>
          <w:rFonts w:hint="eastAsia" w:ascii="仿宋_GB2312" w:eastAsia="仿宋_GB2312"/>
          <w:color w:val="000000"/>
          <w:sz w:val="32"/>
          <w:szCs w:val="32"/>
        </w:rPr>
        <w:t>预期</w:t>
      </w:r>
      <w:r>
        <w:rPr>
          <w:rFonts w:ascii="仿宋_GB2312" w:eastAsia="仿宋_GB2312"/>
          <w:color w:val="000000"/>
          <w:sz w:val="32"/>
          <w:szCs w:val="32"/>
        </w:rPr>
        <w:t>寿命</w:t>
      </w:r>
      <w:r>
        <w:rPr>
          <w:rFonts w:hint="eastAsia" w:ascii="仿宋_GB2312" w:eastAsia="仿宋_GB2312"/>
          <w:color w:val="000000"/>
          <w:sz w:val="32"/>
          <w:szCs w:val="32"/>
        </w:rPr>
        <w:t>高于</w:t>
      </w:r>
      <w:r>
        <w:rPr>
          <w:rFonts w:ascii="仿宋_GB2312" w:eastAsia="仿宋_GB2312"/>
          <w:color w:val="000000"/>
          <w:sz w:val="32"/>
          <w:szCs w:val="32"/>
        </w:rPr>
        <w:t>全国全省</w:t>
      </w:r>
      <w:r>
        <w:rPr>
          <w:rFonts w:hint="eastAsia" w:ascii="仿宋_GB2312" w:eastAsia="仿宋_GB2312"/>
          <w:color w:val="000000"/>
          <w:sz w:val="32"/>
          <w:szCs w:val="32"/>
        </w:rPr>
        <w:t>平均水平。</w:t>
      </w:r>
    </w:p>
    <w:p>
      <w:pPr>
        <w:widowControl w:val="0"/>
        <w:pBdr>
          <w:bottom w:val="single" w:color="FFFFFF" w:sz="4" w:space="31"/>
        </w:pBdr>
        <w:topLinePunct/>
        <w:spacing w:after="0" w:line="600" w:lineRule="exact"/>
        <w:jc w:val="center"/>
        <w:rPr>
          <w:rFonts w:ascii="楷体_GB2312" w:eastAsia="楷体_GB2312"/>
          <w:b/>
          <w:sz w:val="32"/>
          <w:szCs w:val="32"/>
        </w:rPr>
      </w:pPr>
    </w:p>
    <w:p>
      <w:pPr>
        <w:widowControl w:val="0"/>
        <w:pBdr>
          <w:bottom w:val="single" w:color="FFFFFF" w:sz="4" w:space="31"/>
        </w:pBdr>
        <w:topLinePunct/>
        <w:spacing w:after="0" w:line="600" w:lineRule="exact"/>
        <w:jc w:val="center"/>
        <w:rPr>
          <w:rFonts w:hint="eastAsia" w:ascii="楷体_GB2312" w:eastAsia="楷体_GB2312"/>
          <w:b/>
          <w:sz w:val="32"/>
          <w:szCs w:val="32"/>
        </w:rPr>
      </w:pPr>
      <w:r>
        <w:rPr>
          <w:rFonts w:hint="eastAsia" w:ascii="楷体_GB2312" w:eastAsia="楷体_GB2312"/>
          <w:b/>
          <w:sz w:val="32"/>
          <w:szCs w:val="32"/>
        </w:rPr>
        <w:t>第二节</w:t>
      </w:r>
      <w:r>
        <w:rPr>
          <w:rFonts w:ascii="楷体_GB2312" w:eastAsia="楷体_GB2312"/>
          <w:b/>
          <w:sz w:val="32"/>
          <w:szCs w:val="32"/>
        </w:rPr>
        <w:t xml:space="preserve">  </w:t>
      </w:r>
      <w:r>
        <w:rPr>
          <w:rFonts w:hint="eastAsia" w:ascii="楷体_GB2312" w:eastAsia="楷体_GB2312"/>
          <w:b/>
          <w:sz w:val="32"/>
          <w:szCs w:val="32"/>
        </w:rPr>
        <w:t>大力推进全民健身</w:t>
      </w:r>
    </w:p>
    <w:p>
      <w:pPr>
        <w:widowControl w:val="0"/>
        <w:pBdr>
          <w:bottom w:val="single" w:color="FFFFFF" w:sz="4" w:space="31"/>
        </w:pBdr>
        <w:topLinePunct/>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加快实施体育惠民工程，大力推动公共体育设施建设，积极承办国际国内大型体育赛事，不断提高公共体育服务能力。推行县区、乡镇、行政村（自然村）和社区体育设施建设，实现健身工程全覆盖。加强宝鸡市奥林匹克中心、体育运动学校、游泳学校和市级训练基地建设，大力发展足球运动，建成渭河百里健身长廊。到</w:t>
      </w:r>
      <w:r>
        <w:rPr>
          <w:rFonts w:ascii="仿宋_GB2312" w:eastAsia="仿宋_GB2312"/>
          <w:sz w:val="32"/>
          <w:szCs w:val="32"/>
        </w:rPr>
        <w:t>2020</w:t>
      </w:r>
      <w:r>
        <w:rPr>
          <w:rFonts w:hint="eastAsia" w:ascii="仿宋_GB2312" w:eastAsia="仿宋_GB2312"/>
          <w:sz w:val="32"/>
          <w:szCs w:val="32"/>
        </w:rPr>
        <w:t>年，基本建立布局合理、功能完善、门类齐全、发展科学的体育产业体系，体育产业总规模超过</w:t>
      </w:r>
      <w:r>
        <w:rPr>
          <w:rFonts w:ascii="仿宋_GB2312" w:eastAsia="仿宋_GB2312"/>
          <w:sz w:val="32"/>
          <w:szCs w:val="32"/>
        </w:rPr>
        <w:t>50</w:t>
      </w:r>
      <w:r>
        <w:rPr>
          <w:rFonts w:hint="eastAsia" w:ascii="仿宋_GB2312" w:eastAsia="仿宋_GB2312"/>
          <w:sz w:val="32"/>
          <w:szCs w:val="32"/>
        </w:rPr>
        <w:t>亿元，全市体育人口达到</w:t>
      </w:r>
      <w:r>
        <w:rPr>
          <w:rFonts w:ascii="仿宋_GB2312" w:eastAsia="仿宋_GB2312"/>
          <w:sz w:val="32"/>
          <w:szCs w:val="32"/>
        </w:rPr>
        <w:t>165</w:t>
      </w:r>
      <w:r>
        <w:rPr>
          <w:rFonts w:hint="eastAsia" w:ascii="仿宋_GB2312" w:eastAsia="仿宋_GB2312"/>
          <w:sz w:val="32"/>
          <w:szCs w:val="32"/>
        </w:rPr>
        <w:t>万人，人均体育用地面积</w:t>
      </w:r>
      <w:r>
        <w:rPr>
          <w:rFonts w:hint="eastAsia" w:ascii="仿宋_GB2312" w:eastAsia="仿宋_GB2312"/>
          <w:color w:val="000000"/>
          <w:sz w:val="32"/>
          <w:szCs w:val="32"/>
        </w:rPr>
        <w:t>达</w:t>
      </w:r>
      <w:r>
        <w:rPr>
          <w:rFonts w:hint="eastAsia" w:ascii="仿宋_GB2312" w:eastAsia="仿宋_GB2312"/>
          <w:color w:val="FF0000"/>
          <w:sz w:val="32"/>
          <w:szCs w:val="32"/>
        </w:rPr>
        <w:t>到</w:t>
      </w:r>
      <w:r>
        <w:rPr>
          <w:rFonts w:ascii="仿宋_GB2312" w:eastAsia="仿宋_GB2312"/>
          <w:color w:val="FF0000"/>
          <w:sz w:val="32"/>
          <w:szCs w:val="32"/>
        </w:rPr>
        <w:t>2.</w:t>
      </w:r>
      <w:r>
        <w:rPr>
          <w:rFonts w:hint="eastAsia" w:ascii="仿宋_GB2312" w:eastAsia="仿宋_GB2312"/>
          <w:color w:val="FF0000"/>
          <w:sz w:val="32"/>
          <w:szCs w:val="32"/>
        </w:rPr>
        <w:t>6</w:t>
      </w:r>
      <w:r>
        <w:rPr>
          <w:rFonts w:hint="eastAsia" w:ascii="仿宋_GB2312" w:eastAsia="仿宋_GB2312"/>
          <w:sz w:val="32"/>
          <w:szCs w:val="32"/>
        </w:rPr>
        <w:t>平方米，社会体育指导员达到</w:t>
      </w:r>
      <w:r>
        <w:rPr>
          <w:rFonts w:ascii="仿宋_GB2312" w:eastAsia="仿宋_GB2312"/>
          <w:sz w:val="32"/>
          <w:szCs w:val="32"/>
        </w:rPr>
        <w:t>0.85</w:t>
      </w:r>
      <w:r>
        <w:rPr>
          <w:rFonts w:hint="eastAsia" w:ascii="仿宋_GB2312" w:eastAsia="仿宋_GB2312"/>
          <w:sz w:val="32"/>
          <w:szCs w:val="32"/>
        </w:rPr>
        <w:t>万人。宝鸡体育文化得到宣传推广，形成先进的体育文化精神体系。</w:t>
      </w:r>
    </w:p>
    <w:p>
      <w:pPr>
        <w:widowControl w:val="0"/>
        <w:pBdr>
          <w:bottom w:val="single" w:color="FFFFFF" w:sz="4" w:space="31"/>
        </w:pBdr>
        <w:topLinePunct/>
        <w:spacing w:after="0" w:line="600" w:lineRule="exact"/>
        <w:jc w:val="center"/>
        <w:rPr>
          <w:rFonts w:ascii="楷体_GB2312" w:hAnsi="黑体" w:eastAsia="楷体_GB2312"/>
          <w:b/>
          <w:sz w:val="32"/>
          <w:szCs w:val="32"/>
        </w:rPr>
      </w:pPr>
    </w:p>
    <w:p>
      <w:pPr>
        <w:widowControl w:val="0"/>
        <w:pBdr>
          <w:bottom w:val="single" w:color="FFFFFF" w:sz="4" w:space="31"/>
        </w:pBdr>
        <w:topLinePunct/>
        <w:spacing w:after="0" w:line="600" w:lineRule="exact"/>
        <w:jc w:val="center"/>
        <w:rPr>
          <w:rFonts w:hint="eastAsia" w:ascii="楷体_GB2312" w:hAnsi="黑体" w:eastAsia="楷体_GB2312"/>
          <w:b/>
          <w:sz w:val="32"/>
          <w:szCs w:val="32"/>
        </w:rPr>
      </w:pPr>
      <w:r>
        <w:rPr>
          <w:rFonts w:hint="eastAsia" w:ascii="楷体_GB2312" w:hAnsi="黑体" w:eastAsia="楷体_GB2312"/>
          <w:b/>
          <w:sz w:val="32"/>
          <w:szCs w:val="32"/>
        </w:rPr>
        <w:t>第三节</w:t>
      </w:r>
      <w:r>
        <w:rPr>
          <w:rFonts w:ascii="楷体_GB2312" w:hAnsi="黑体" w:eastAsia="楷体_GB2312"/>
          <w:b/>
          <w:sz w:val="32"/>
          <w:szCs w:val="32"/>
        </w:rPr>
        <w:t xml:space="preserve">  </w:t>
      </w:r>
      <w:r>
        <w:rPr>
          <w:rFonts w:hint="eastAsia" w:ascii="楷体_GB2312" w:hAnsi="黑体" w:eastAsia="楷体_GB2312"/>
          <w:b/>
          <w:sz w:val="32"/>
          <w:szCs w:val="32"/>
        </w:rPr>
        <w:t>推动人口均衡发展</w:t>
      </w:r>
    </w:p>
    <w:p>
      <w:pPr>
        <w:widowControl w:val="0"/>
        <w:pBdr>
          <w:bottom w:val="single" w:color="FFFFFF" w:sz="4" w:space="31"/>
        </w:pBdr>
        <w:topLinePunct/>
        <w:spacing w:after="0" w:line="600" w:lineRule="exact"/>
        <w:ind w:firstLine="640" w:firstLineChars="200"/>
        <w:jc w:val="both"/>
        <w:rPr>
          <w:rFonts w:ascii="仿宋_GB2312" w:eastAsia="仿宋_GB2312"/>
          <w:color w:val="000000"/>
          <w:sz w:val="32"/>
          <w:szCs w:val="32"/>
        </w:rPr>
      </w:pPr>
      <w:r>
        <w:rPr>
          <w:rFonts w:hint="eastAsia" w:ascii="仿宋_GB2312" w:eastAsia="仿宋_GB2312"/>
          <w:sz w:val="32"/>
          <w:szCs w:val="32"/>
        </w:rPr>
        <w:t>坚持计划生育基本国策不动摇，坚持各级党委政府和卫生计生部门计划生育“三不变”的要求，扎实</w:t>
      </w:r>
      <w:r>
        <w:rPr>
          <w:rFonts w:hint="eastAsia" w:ascii="仿宋_GB2312" w:eastAsia="仿宋_GB2312"/>
          <w:color w:val="000000"/>
          <w:sz w:val="32"/>
          <w:szCs w:val="32"/>
        </w:rPr>
        <w:t>有序实施“全面</w:t>
      </w:r>
      <w:r>
        <w:rPr>
          <w:rFonts w:ascii="仿宋_GB2312" w:eastAsia="仿宋_GB2312"/>
          <w:color w:val="000000"/>
          <w:sz w:val="32"/>
          <w:szCs w:val="32"/>
        </w:rPr>
        <w:t>二孩</w:t>
      </w:r>
      <w:r>
        <w:rPr>
          <w:rFonts w:hint="eastAsia" w:ascii="仿宋_GB2312" w:eastAsia="仿宋_GB2312"/>
          <w:color w:val="000000"/>
          <w:sz w:val="32"/>
          <w:szCs w:val="32"/>
        </w:rPr>
        <w:t>生育</w:t>
      </w:r>
      <w:r>
        <w:rPr>
          <w:rFonts w:ascii="仿宋_GB2312" w:eastAsia="仿宋_GB2312"/>
          <w:color w:val="000000"/>
          <w:sz w:val="32"/>
          <w:szCs w:val="32"/>
        </w:rPr>
        <w:t>政策</w:t>
      </w:r>
      <w:r>
        <w:rPr>
          <w:rFonts w:hint="eastAsia" w:ascii="仿宋_GB2312" w:eastAsia="仿宋_GB2312"/>
          <w:color w:val="000000"/>
          <w:sz w:val="32"/>
          <w:szCs w:val="32"/>
        </w:rPr>
        <w:t>”生育政策实施，努力稳定生育水平，促进人口</w:t>
      </w:r>
      <w:r>
        <w:rPr>
          <w:rFonts w:ascii="仿宋_GB2312" w:eastAsia="仿宋_GB2312"/>
          <w:color w:val="000000"/>
          <w:sz w:val="32"/>
          <w:szCs w:val="32"/>
        </w:rPr>
        <w:t>均衡发展，</w:t>
      </w:r>
      <w:r>
        <w:rPr>
          <w:rFonts w:hint="eastAsia" w:ascii="仿宋_GB2312" w:eastAsia="仿宋_GB2312"/>
          <w:color w:val="000000"/>
          <w:sz w:val="32"/>
          <w:szCs w:val="32"/>
        </w:rPr>
        <w:t>加强人口动态监测，改革完善人口与计划生育目标管理责任制。强化出生缺陷综合防治，优化人口结构，积极推进流动人口管理体制改革，促进流动人口健康服务均等化。“十三五”期间，全市年均人口出生率控制在</w:t>
      </w:r>
      <w:r>
        <w:rPr>
          <w:rFonts w:ascii="仿宋_GB2312" w:eastAsia="仿宋_GB2312"/>
          <w:color w:val="000000"/>
          <w:sz w:val="32"/>
          <w:szCs w:val="32"/>
        </w:rPr>
        <w:t>13.5</w:t>
      </w:r>
      <w:r>
        <w:rPr>
          <w:rFonts w:hint="eastAsia" w:ascii="仿宋_GB2312" w:eastAsia="仿宋_GB2312"/>
          <w:color w:val="000000"/>
          <w:sz w:val="32"/>
          <w:szCs w:val="32"/>
        </w:rPr>
        <w:t>‰以内，年均自增率控制在</w:t>
      </w:r>
      <w:r>
        <w:rPr>
          <w:rFonts w:ascii="仿宋_GB2312" w:eastAsia="仿宋_GB2312"/>
          <w:color w:val="000000"/>
          <w:sz w:val="32"/>
          <w:szCs w:val="32"/>
        </w:rPr>
        <w:t>7.5</w:t>
      </w:r>
      <w:r>
        <w:rPr>
          <w:rFonts w:hint="eastAsia" w:ascii="仿宋_GB2312" w:eastAsia="仿宋_GB2312"/>
          <w:color w:val="000000"/>
          <w:sz w:val="32"/>
          <w:szCs w:val="32"/>
        </w:rPr>
        <w:t>‰以内，符合政策生育率达到</w:t>
      </w:r>
      <w:r>
        <w:rPr>
          <w:rFonts w:ascii="仿宋_GB2312" w:eastAsia="仿宋_GB2312"/>
          <w:color w:val="000000"/>
          <w:sz w:val="32"/>
          <w:szCs w:val="32"/>
        </w:rPr>
        <w:t>90</w:t>
      </w:r>
      <w:r>
        <w:rPr>
          <w:rFonts w:hint="eastAsia" w:ascii="仿宋_GB2312" w:eastAsia="仿宋_GB2312"/>
          <w:color w:val="000000"/>
          <w:sz w:val="32"/>
          <w:szCs w:val="32"/>
        </w:rPr>
        <w:t>％以上。推进免费孕前优生健康检查城乡全覆盖，育龄群众享受</w:t>
      </w:r>
      <w:r>
        <w:rPr>
          <w:rFonts w:ascii="仿宋_GB2312" w:eastAsia="仿宋_GB2312"/>
          <w:color w:val="000000"/>
          <w:sz w:val="32"/>
          <w:szCs w:val="32"/>
        </w:rPr>
        <w:t>更加</w:t>
      </w:r>
      <w:r>
        <w:rPr>
          <w:rFonts w:hint="eastAsia" w:ascii="仿宋_GB2312" w:eastAsia="仿宋_GB2312"/>
          <w:color w:val="000000"/>
          <w:sz w:val="32"/>
          <w:szCs w:val="32"/>
        </w:rPr>
        <w:t>优质、</w:t>
      </w:r>
      <w:r>
        <w:rPr>
          <w:rFonts w:ascii="仿宋_GB2312" w:eastAsia="仿宋_GB2312"/>
          <w:color w:val="000000"/>
          <w:spacing w:val="-2"/>
          <w:sz w:val="32"/>
          <w:szCs w:val="32"/>
        </w:rPr>
        <w:t>优惠</w:t>
      </w:r>
      <w:r>
        <w:rPr>
          <w:rFonts w:hint="eastAsia" w:ascii="仿宋_GB2312" w:eastAsia="仿宋_GB2312"/>
          <w:color w:val="000000"/>
          <w:spacing w:val="-2"/>
          <w:sz w:val="32"/>
          <w:szCs w:val="32"/>
        </w:rPr>
        <w:t>的计划生育、优生优育、生殖健康服务，提高出生人口素质。</w:t>
      </w:r>
    </w:p>
    <w:p>
      <w:pPr>
        <w:widowControl w:val="0"/>
        <w:pBdr>
          <w:bottom w:val="single" w:color="FFFFFF" w:sz="4" w:space="31"/>
        </w:pBdr>
        <w:topLinePunct/>
        <w:spacing w:after="0" w:line="600" w:lineRule="exact"/>
        <w:jc w:val="center"/>
        <w:rPr>
          <w:rFonts w:hint="eastAsia" w:ascii="黑体" w:hAnsi="黑体" w:eastAsia="黑体"/>
          <w:sz w:val="32"/>
          <w:szCs w:val="32"/>
        </w:rPr>
      </w:pPr>
      <w:r>
        <w:rPr>
          <w:rFonts w:hint="eastAsia" w:ascii="黑体" w:hAnsi="黑体" w:eastAsia="黑体"/>
          <w:sz w:val="32"/>
          <w:szCs w:val="32"/>
        </w:rPr>
        <w:t>第二十九章</w:t>
      </w:r>
      <w:r>
        <w:rPr>
          <w:rFonts w:ascii="黑体" w:hAnsi="黑体" w:eastAsia="黑体"/>
          <w:sz w:val="32"/>
          <w:szCs w:val="32"/>
        </w:rPr>
        <w:t xml:space="preserve">  </w:t>
      </w:r>
      <w:r>
        <w:rPr>
          <w:rFonts w:hint="eastAsia" w:ascii="黑体" w:hAnsi="黑体" w:eastAsia="黑体"/>
          <w:sz w:val="32"/>
          <w:szCs w:val="32"/>
        </w:rPr>
        <w:t>加强社会保障力度</w:t>
      </w:r>
    </w:p>
    <w:p>
      <w:pPr>
        <w:pBdr>
          <w:bottom w:val="single" w:color="FFFFFF" w:sz="4" w:space="31"/>
        </w:pBdr>
        <w:topLinePunct/>
        <w:spacing w:after="0" w:line="600" w:lineRule="exact"/>
        <w:jc w:val="center"/>
        <w:rPr>
          <w:rFonts w:hint="eastAsia" w:ascii="楷体_GB2312" w:eastAsia="楷体_GB2312"/>
          <w:b/>
          <w:sz w:val="32"/>
          <w:szCs w:val="32"/>
        </w:rPr>
      </w:pPr>
    </w:p>
    <w:p>
      <w:pPr>
        <w:pBdr>
          <w:bottom w:val="single" w:color="FFFFFF" w:sz="4" w:space="31"/>
        </w:pBdr>
        <w:topLinePunct/>
        <w:spacing w:after="0" w:line="600" w:lineRule="exact"/>
        <w:jc w:val="center"/>
        <w:rPr>
          <w:rFonts w:hint="eastAsia" w:ascii="楷体_GB2312" w:eastAsia="楷体_GB2312"/>
          <w:b/>
          <w:sz w:val="32"/>
          <w:szCs w:val="32"/>
        </w:rPr>
      </w:pPr>
      <w:r>
        <w:rPr>
          <w:rFonts w:hint="eastAsia" w:ascii="楷体_GB2312" w:eastAsia="楷体_GB2312"/>
          <w:b/>
          <w:sz w:val="32"/>
          <w:szCs w:val="32"/>
        </w:rPr>
        <w:t>第一节</w:t>
      </w:r>
      <w:r>
        <w:rPr>
          <w:rFonts w:ascii="楷体_GB2312" w:eastAsia="楷体_GB2312"/>
          <w:b/>
          <w:sz w:val="32"/>
          <w:szCs w:val="32"/>
        </w:rPr>
        <w:t xml:space="preserve">  </w:t>
      </w:r>
      <w:r>
        <w:rPr>
          <w:rFonts w:hint="eastAsia" w:ascii="楷体_GB2312" w:eastAsia="楷体_GB2312"/>
          <w:b/>
          <w:sz w:val="32"/>
          <w:szCs w:val="32"/>
        </w:rPr>
        <w:t>健全社会保障体系</w:t>
      </w:r>
    </w:p>
    <w:p>
      <w:pPr>
        <w:pBdr>
          <w:bottom w:val="single" w:color="FFFFFF" w:sz="4" w:space="31"/>
        </w:pBdr>
        <w:topLinePunct/>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坚持“全覆盖、保基本、多层次、可持续”的方针，健全完善基本养老保险、基本医疗保险、工伤保险、失业保险、生育保险等社会保险制度，逐步提高保障水平和统筹层次，建立健全覆盖城乡居民的社会保障体系。完善市、县、镇、村四级公共服务平台，探索建立“五险合一”统缴统管机制，促进“五险资源共享”、积极推行参保登记类业务“一站式”服务，“综合柜员制”和“网上社保”业务，建立相对集中的社会保险经办管理服务新机制。全面实施全民参保登记计划试点，完善社保基金监管制度。积极落实职业年金和企业年金等政策。到“十三五”</w:t>
      </w:r>
      <w:r>
        <w:rPr>
          <w:rFonts w:ascii="仿宋_GB2312" w:eastAsia="仿宋_GB2312"/>
          <w:sz w:val="32"/>
          <w:szCs w:val="32"/>
        </w:rPr>
        <w:t xml:space="preserve"> </w:t>
      </w:r>
      <w:r>
        <w:rPr>
          <w:rFonts w:hint="eastAsia" w:ascii="仿宋_GB2312" w:eastAsia="仿宋_GB2312"/>
          <w:sz w:val="32"/>
          <w:szCs w:val="32"/>
        </w:rPr>
        <w:t>末期，城镇职工养老保险参保</w:t>
      </w:r>
      <w:r>
        <w:rPr>
          <w:rFonts w:ascii="仿宋_GB2312" w:eastAsia="仿宋_GB2312"/>
          <w:sz w:val="32"/>
          <w:szCs w:val="32"/>
        </w:rPr>
        <w:t>60</w:t>
      </w:r>
      <w:r>
        <w:rPr>
          <w:rFonts w:hint="eastAsia" w:ascii="仿宋_GB2312" w:eastAsia="仿宋_GB2312"/>
          <w:sz w:val="32"/>
          <w:szCs w:val="32"/>
        </w:rPr>
        <w:t>万人，工伤、失业、生育保险参保人数分别达到</w:t>
      </w:r>
      <w:r>
        <w:rPr>
          <w:rFonts w:ascii="仿宋_GB2312" w:eastAsia="仿宋_GB2312"/>
          <w:sz w:val="32"/>
          <w:szCs w:val="32"/>
        </w:rPr>
        <w:t>40</w:t>
      </w:r>
      <w:r>
        <w:rPr>
          <w:rFonts w:hint="eastAsia" w:ascii="仿宋_GB2312" w:eastAsia="仿宋_GB2312"/>
          <w:sz w:val="32"/>
          <w:szCs w:val="32"/>
        </w:rPr>
        <w:t>万人、</w:t>
      </w:r>
      <w:r>
        <w:rPr>
          <w:rFonts w:ascii="仿宋_GB2312" w:eastAsia="仿宋_GB2312"/>
          <w:sz w:val="32"/>
          <w:szCs w:val="32"/>
        </w:rPr>
        <w:t>32.34</w:t>
      </w:r>
      <w:r>
        <w:rPr>
          <w:rFonts w:hint="eastAsia" w:ascii="仿宋_GB2312" w:eastAsia="仿宋_GB2312"/>
          <w:sz w:val="32"/>
          <w:szCs w:val="32"/>
        </w:rPr>
        <w:t>万人、</w:t>
      </w:r>
      <w:r>
        <w:rPr>
          <w:rFonts w:ascii="仿宋_GB2312" w:eastAsia="仿宋_GB2312"/>
          <w:sz w:val="32"/>
          <w:szCs w:val="32"/>
        </w:rPr>
        <w:t>28.55</w:t>
      </w:r>
      <w:r>
        <w:rPr>
          <w:rFonts w:hint="eastAsia" w:ascii="仿宋_GB2312" w:eastAsia="仿宋_GB2312"/>
          <w:sz w:val="32"/>
          <w:szCs w:val="32"/>
        </w:rPr>
        <w:t>万人。医保最高支付限额达职工年均工资</w:t>
      </w:r>
      <w:r>
        <w:rPr>
          <w:rFonts w:ascii="仿宋_GB2312" w:eastAsia="仿宋_GB2312"/>
          <w:sz w:val="32"/>
          <w:szCs w:val="32"/>
        </w:rPr>
        <w:t>4</w:t>
      </w:r>
      <w:r>
        <w:rPr>
          <w:rFonts w:hint="eastAsia" w:ascii="仿宋_GB2312" w:eastAsia="仿宋_GB2312"/>
          <w:sz w:val="32"/>
          <w:szCs w:val="32"/>
        </w:rPr>
        <w:t>倍左右，政策范围内报销比例达到</w:t>
      </w:r>
      <w:r>
        <w:rPr>
          <w:rFonts w:ascii="仿宋_GB2312" w:eastAsia="仿宋_GB2312"/>
          <w:sz w:val="32"/>
          <w:szCs w:val="32"/>
        </w:rPr>
        <w:t>85%</w:t>
      </w:r>
      <w:r>
        <w:rPr>
          <w:rFonts w:hint="eastAsia" w:ascii="仿宋_GB2312" w:eastAsia="仿宋_GB2312"/>
          <w:color w:val="000000"/>
          <w:sz w:val="32"/>
          <w:szCs w:val="32"/>
        </w:rPr>
        <w:t>。逐步推进城乡</w:t>
      </w:r>
      <w:r>
        <w:rPr>
          <w:rFonts w:hint="eastAsia" w:ascii="仿宋_GB2312" w:eastAsia="仿宋_GB2312"/>
          <w:sz w:val="32"/>
          <w:szCs w:val="32"/>
        </w:rPr>
        <w:t>一体化社会保障体系，实现城乡居民在制度上的公平和公共资源上的共享。</w:t>
      </w:r>
    </w:p>
    <w:p>
      <w:pPr>
        <w:pBdr>
          <w:bottom w:val="single" w:color="FFFFFF" w:sz="4" w:space="31"/>
        </w:pBdr>
        <w:topLinePunct/>
        <w:spacing w:after="0" w:line="600" w:lineRule="exact"/>
        <w:jc w:val="center"/>
        <w:rPr>
          <w:rFonts w:hint="eastAsia" w:ascii="楷体_GB2312" w:eastAsia="楷体_GB2312"/>
          <w:b/>
          <w:sz w:val="32"/>
          <w:szCs w:val="32"/>
        </w:rPr>
      </w:pPr>
    </w:p>
    <w:p>
      <w:pPr>
        <w:pBdr>
          <w:bottom w:val="single" w:color="FFFFFF" w:sz="4" w:space="31"/>
        </w:pBdr>
        <w:topLinePunct/>
        <w:spacing w:after="0" w:line="600" w:lineRule="exact"/>
        <w:jc w:val="center"/>
        <w:rPr>
          <w:rFonts w:hint="eastAsia" w:ascii="楷体_GB2312" w:eastAsia="楷体_GB2312"/>
          <w:b/>
          <w:sz w:val="32"/>
          <w:szCs w:val="32"/>
        </w:rPr>
      </w:pPr>
      <w:r>
        <w:rPr>
          <w:rFonts w:hint="eastAsia" w:ascii="楷体_GB2312" w:eastAsia="楷体_GB2312"/>
          <w:b/>
          <w:sz w:val="32"/>
          <w:szCs w:val="32"/>
        </w:rPr>
        <w:t>第二节</w:t>
      </w:r>
      <w:r>
        <w:rPr>
          <w:rFonts w:ascii="楷体_GB2312" w:eastAsia="楷体_GB2312"/>
          <w:b/>
          <w:sz w:val="32"/>
          <w:szCs w:val="32"/>
        </w:rPr>
        <w:t xml:space="preserve">  </w:t>
      </w:r>
      <w:r>
        <w:rPr>
          <w:rFonts w:hint="eastAsia" w:ascii="楷体_GB2312" w:eastAsia="楷体_GB2312"/>
          <w:b/>
          <w:sz w:val="32"/>
          <w:szCs w:val="32"/>
        </w:rPr>
        <w:t>加快养老事业发展</w:t>
      </w:r>
    </w:p>
    <w:p>
      <w:pPr>
        <w:pBdr>
          <w:bottom w:val="single" w:color="FFFFFF" w:sz="4" w:space="31"/>
        </w:pBdr>
        <w:topLinePunct/>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加快建立以居家为基础、社区为依托、机构为补充的功能完善、规模适度、覆盖城乡的多层次养老服务体系。落实渐进式延迟退休政策，建立健全基本养老保险金待遇正常调整机制，逐步提高养老待遇水平。完善基本养老保险关系转移接续办法。建设省、市、县、镇、村五级基本养老服务网络。全面建成公平、统一、规范的城乡居民养老保险制度。完善机关事业单位基本养老保险制度。继续实施高龄老人补贴政策。建设社区日间照料中心、养老服务站、农村幸福院，加强养老服务人员队伍培训，提高专业化服务水平。培育养老服务市场，引导社会资本深度参与养老服务业发展，对民办公益性养老机构实施财政补助。到</w:t>
      </w:r>
      <w:r>
        <w:rPr>
          <w:rFonts w:ascii="仿宋_GB2312" w:eastAsia="仿宋_GB2312"/>
          <w:sz w:val="32"/>
          <w:szCs w:val="32"/>
        </w:rPr>
        <w:t>2020</w:t>
      </w:r>
      <w:r>
        <w:rPr>
          <w:rFonts w:hint="eastAsia" w:ascii="仿宋_GB2312" w:eastAsia="仿宋_GB2312"/>
          <w:sz w:val="32"/>
          <w:szCs w:val="32"/>
        </w:rPr>
        <w:t>年，每千名老人拥有养老床位数达到</w:t>
      </w:r>
      <w:r>
        <w:rPr>
          <w:rFonts w:ascii="仿宋_GB2312" w:eastAsia="仿宋_GB2312"/>
          <w:sz w:val="32"/>
          <w:szCs w:val="32"/>
        </w:rPr>
        <w:t>40</w:t>
      </w:r>
      <w:r>
        <w:rPr>
          <w:rFonts w:hint="eastAsia" w:ascii="仿宋_GB2312" w:eastAsia="仿宋_GB2312"/>
          <w:sz w:val="32"/>
          <w:szCs w:val="32"/>
        </w:rPr>
        <w:t>张。</w:t>
      </w:r>
    </w:p>
    <w:p>
      <w:pPr>
        <w:pBdr>
          <w:bottom w:val="single" w:color="FFFFFF" w:sz="4" w:space="31"/>
        </w:pBdr>
        <w:topLinePunct/>
        <w:spacing w:after="0" w:line="600" w:lineRule="exact"/>
        <w:jc w:val="center"/>
        <w:rPr>
          <w:rFonts w:hint="eastAsia" w:ascii="楷体_GB2312" w:eastAsia="楷体_GB2312"/>
          <w:b/>
          <w:sz w:val="32"/>
          <w:szCs w:val="32"/>
        </w:rPr>
      </w:pPr>
    </w:p>
    <w:p>
      <w:pPr>
        <w:pBdr>
          <w:bottom w:val="single" w:color="FFFFFF" w:sz="4" w:space="31"/>
        </w:pBdr>
        <w:topLinePunct/>
        <w:spacing w:after="0" w:line="600" w:lineRule="exact"/>
        <w:jc w:val="center"/>
        <w:rPr>
          <w:rFonts w:hint="eastAsia" w:ascii="楷体_GB2312" w:eastAsia="楷体_GB2312"/>
          <w:b/>
          <w:sz w:val="32"/>
          <w:szCs w:val="32"/>
        </w:rPr>
      </w:pPr>
      <w:r>
        <w:rPr>
          <w:rFonts w:hint="eastAsia" w:ascii="楷体_GB2312" w:eastAsia="楷体_GB2312"/>
          <w:b/>
          <w:sz w:val="32"/>
          <w:szCs w:val="32"/>
        </w:rPr>
        <w:t>第三节</w:t>
      </w:r>
      <w:r>
        <w:rPr>
          <w:rFonts w:ascii="楷体_GB2312" w:eastAsia="楷体_GB2312"/>
          <w:b/>
          <w:sz w:val="32"/>
          <w:szCs w:val="32"/>
        </w:rPr>
        <w:t xml:space="preserve">  </w:t>
      </w:r>
      <w:r>
        <w:rPr>
          <w:rFonts w:hint="eastAsia" w:ascii="楷体_GB2312" w:eastAsia="楷体_GB2312"/>
          <w:b/>
          <w:sz w:val="32"/>
          <w:szCs w:val="32"/>
        </w:rPr>
        <w:t>鼓励创业带动就业</w:t>
      </w:r>
    </w:p>
    <w:p>
      <w:pPr>
        <w:pBdr>
          <w:bottom w:val="single" w:color="FFFFFF" w:sz="4" w:space="31"/>
        </w:pBdr>
        <w:topLinePunct/>
        <w:spacing w:after="0" w:line="600" w:lineRule="exact"/>
        <w:ind w:firstLine="640" w:firstLineChars="200"/>
        <w:jc w:val="both"/>
        <w:rPr>
          <w:rFonts w:hint="eastAsia" w:ascii="仿宋_GB2312" w:hAnsi="华文中宋" w:eastAsia="仿宋_GB2312"/>
          <w:sz w:val="32"/>
          <w:szCs w:val="32"/>
        </w:rPr>
      </w:pPr>
      <w:r>
        <w:rPr>
          <w:rFonts w:hint="eastAsia" w:ascii="仿宋_GB2312" w:hAnsi="华文中宋" w:eastAsia="仿宋_GB2312"/>
          <w:sz w:val="32"/>
          <w:szCs w:val="32"/>
        </w:rPr>
        <w:t>围绕“大众创业、万众创新”，完善公平竞争市场环境，扩大创业投资税惠政策，简化审批程序。加强创业政策扶持、资金保障、公共服务和平台建设，进一步整合各部门创业政策，加大政策扶持力度。创新融资方式，设立政府引导基金，吸引社会资本参与投资。建立股权和分红激励、政府股权投资等政策机制。建立“市场主体建设</w:t>
      </w:r>
      <w:r>
        <w:rPr>
          <w:rFonts w:ascii="仿宋_GB2312" w:hAnsi="华文中宋" w:eastAsia="仿宋_GB2312"/>
          <w:sz w:val="32"/>
          <w:szCs w:val="32"/>
        </w:rPr>
        <w:t>+</w:t>
      </w:r>
      <w:r>
        <w:rPr>
          <w:rFonts w:hint="eastAsia" w:ascii="仿宋_GB2312" w:hAnsi="华文中宋" w:eastAsia="仿宋_GB2312"/>
          <w:sz w:val="32"/>
          <w:szCs w:val="32"/>
        </w:rPr>
        <w:t>市场运营</w:t>
      </w:r>
      <w:r>
        <w:rPr>
          <w:rFonts w:ascii="仿宋_GB2312" w:hAnsi="华文中宋" w:eastAsia="仿宋_GB2312"/>
          <w:sz w:val="32"/>
          <w:szCs w:val="32"/>
        </w:rPr>
        <w:t>+</w:t>
      </w:r>
      <w:r>
        <w:rPr>
          <w:rFonts w:hint="eastAsia" w:ascii="仿宋_GB2312" w:hAnsi="华文中宋" w:eastAsia="仿宋_GB2312"/>
          <w:sz w:val="32"/>
          <w:szCs w:val="32"/>
        </w:rPr>
        <w:t>政府支持</w:t>
      </w:r>
      <w:r>
        <w:rPr>
          <w:rFonts w:ascii="仿宋_GB2312" w:hAnsi="华文中宋" w:eastAsia="仿宋_GB2312"/>
          <w:sz w:val="32"/>
          <w:szCs w:val="32"/>
        </w:rPr>
        <w:t>+</w:t>
      </w:r>
      <w:r>
        <w:rPr>
          <w:rFonts w:hint="eastAsia" w:ascii="仿宋_GB2312" w:hAnsi="华文中宋" w:eastAsia="仿宋_GB2312"/>
          <w:sz w:val="32"/>
          <w:szCs w:val="32"/>
        </w:rPr>
        <w:t>创业者”的市场化创业孵化模式，支持有条件、有能力的企业创办或领办创业孵化基地。加强基层服务平台和互联网创业基础设施建设。进一步完善职能部门协同组织，引导社会各界主动参与的管理服务体系，实现创业带动就业人数的大幅增加。“十三五”时期，城镇新增就业</w:t>
      </w:r>
      <w:r>
        <w:rPr>
          <w:rFonts w:ascii="仿宋_GB2312" w:hAnsi="华文中宋" w:eastAsia="仿宋_GB2312"/>
          <w:sz w:val="32"/>
          <w:szCs w:val="32"/>
        </w:rPr>
        <w:t>人数累计达到</w:t>
      </w:r>
      <w:r>
        <w:rPr>
          <w:rFonts w:hint="eastAsia" w:ascii="仿宋_GB2312" w:hAnsi="华文中宋" w:eastAsia="仿宋_GB2312"/>
          <w:sz w:val="32"/>
          <w:szCs w:val="32"/>
        </w:rPr>
        <w:t>28万人。</w:t>
      </w:r>
    </w:p>
    <w:p>
      <w:pPr>
        <w:pBdr>
          <w:bottom w:val="single" w:color="FFFFFF" w:sz="4" w:space="31"/>
        </w:pBdr>
        <w:topLinePunct/>
        <w:spacing w:after="0" w:line="600" w:lineRule="exact"/>
        <w:jc w:val="both"/>
        <w:rPr>
          <w:rFonts w:ascii="楷体_GB2312" w:eastAsia="楷体_GB2312"/>
          <w:b/>
          <w:sz w:val="32"/>
          <w:szCs w:val="32"/>
        </w:rPr>
      </w:pPr>
    </w:p>
    <w:p>
      <w:pPr>
        <w:pBdr>
          <w:bottom w:val="single" w:color="FFFFFF" w:sz="4" w:space="31"/>
        </w:pBdr>
        <w:topLinePunct/>
        <w:spacing w:after="0" w:line="600" w:lineRule="exact"/>
        <w:jc w:val="both"/>
        <w:rPr>
          <w:rFonts w:ascii="楷体_GB2312" w:eastAsia="楷体_GB2312"/>
          <w:b/>
          <w:sz w:val="32"/>
          <w:szCs w:val="32"/>
        </w:rPr>
      </w:pPr>
    </w:p>
    <w:p>
      <w:pPr>
        <w:pBdr>
          <w:bottom w:val="single" w:color="FFFFFF" w:sz="4" w:space="31"/>
        </w:pBdr>
        <w:topLinePunct/>
        <w:spacing w:after="0" w:line="600" w:lineRule="exact"/>
        <w:jc w:val="both"/>
        <w:rPr>
          <w:rFonts w:hint="eastAsia" w:ascii="楷体_GB2312" w:eastAsia="楷体_GB2312"/>
          <w:b/>
          <w:sz w:val="32"/>
          <w:szCs w:val="32"/>
        </w:rPr>
      </w:pPr>
    </w:p>
    <w:p>
      <w:pPr>
        <w:pBdr>
          <w:bottom w:val="single" w:color="FFFFFF" w:sz="4" w:space="31"/>
        </w:pBdr>
        <w:topLinePunct/>
        <w:spacing w:after="0" w:line="600" w:lineRule="exact"/>
        <w:jc w:val="center"/>
        <w:rPr>
          <w:rFonts w:hint="eastAsia" w:ascii="楷体_GB2312" w:eastAsia="楷体_GB2312"/>
          <w:b/>
          <w:sz w:val="32"/>
          <w:szCs w:val="32"/>
        </w:rPr>
      </w:pPr>
      <w:r>
        <w:rPr>
          <w:rFonts w:hint="eastAsia" w:ascii="楷体_GB2312" w:eastAsia="楷体_GB2312"/>
          <w:b/>
          <w:sz w:val="32"/>
          <w:szCs w:val="32"/>
        </w:rPr>
        <w:t>第四节  大幅提高城乡居民收入</w:t>
      </w:r>
    </w:p>
    <w:p>
      <w:pPr>
        <w:pBdr>
          <w:bottom w:val="single" w:color="FFFFFF" w:sz="4" w:space="31"/>
        </w:pBdr>
        <w:topLinePunct/>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挖掘农业增收潜力，推广“公司</w:t>
      </w:r>
      <w:r>
        <w:rPr>
          <w:rFonts w:ascii="仿宋_GB2312" w:eastAsia="仿宋_GB2312"/>
          <w:sz w:val="32"/>
          <w:szCs w:val="32"/>
        </w:rPr>
        <w:t>+</w:t>
      </w:r>
      <w:r>
        <w:rPr>
          <w:rFonts w:hint="eastAsia" w:ascii="仿宋_GB2312" w:eastAsia="仿宋_GB2312"/>
          <w:sz w:val="32"/>
          <w:szCs w:val="32"/>
        </w:rPr>
        <w:t>合作社</w:t>
      </w:r>
      <w:r>
        <w:rPr>
          <w:rFonts w:ascii="仿宋_GB2312" w:eastAsia="仿宋_GB2312"/>
          <w:sz w:val="32"/>
          <w:szCs w:val="32"/>
        </w:rPr>
        <w:t>+</w:t>
      </w:r>
      <w:r>
        <w:rPr>
          <w:rFonts w:hint="eastAsia" w:ascii="仿宋_GB2312" w:eastAsia="仿宋_GB2312"/>
          <w:sz w:val="32"/>
          <w:szCs w:val="32"/>
        </w:rPr>
        <w:t>农户”的产业化组织形式，实施经营品牌化。提高城镇落户农村居民退出宅基地、承包地、林权等补贴标准，逐步实施土地、林权流转，增加农村财产性收入。继续实施农业政策性补贴，开展政策性农业保险，逐步提高保险补贴标准，保障农民财产成本。加大创业贴息贷款和小额担保基金支持力度，落实工商、税务和其他行政事业性收费优惠政策。扩大就业规模，完善劳务输出服务机制，增加务工人员工资性收入。用足用好国家政策，建立企业职工工资正常增长机制，调整优化公务员工资结构，实施机关事业单位工资制度改革。“十三五”期间，城镇和农民居民人均可支配收入年均分别增长</w:t>
      </w:r>
      <w:r>
        <w:rPr>
          <w:rFonts w:ascii="仿宋_GB2312" w:eastAsia="仿宋_GB2312"/>
          <w:sz w:val="32"/>
          <w:szCs w:val="32"/>
        </w:rPr>
        <w:t>10%</w:t>
      </w:r>
      <w:r>
        <w:rPr>
          <w:rFonts w:hint="eastAsia" w:ascii="仿宋_GB2312" w:eastAsia="仿宋_GB2312"/>
          <w:sz w:val="32"/>
          <w:szCs w:val="32"/>
        </w:rPr>
        <w:t>和</w:t>
      </w:r>
      <w:r>
        <w:rPr>
          <w:rFonts w:ascii="仿宋_GB2312" w:eastAsia="仿宋_GB2312"/>
          <w:sz w:val="32"/>
          <w:szCs w:val="32"/>
        </w:rPr>
        <w:t>11%</w:t>
      </w:r>
      <w:r>
        <w:rPr>
          <w:rFonts w:hint="eastAsia" w:ascii="仿宋_GB2312" w:eastAsia="仿宋_GB2312"/>
          <w:sz w:val="32"/>
          <w:szCs w:val="32"/>
        </w:rPr>
        <w:t>左右。“十三五”末，基本呈现收入分配格局趋向合理，收入差距明显缩小，形成以中等收入群体为主的社会结构。</w:t>
      </w:r>
    </w:p>
    <w:p>
      <w:pPr>
        <w:pBdr>
          <w:bottom w:val="single" w:color="FFFFFF" w:sz="4" w:space="31"/>
        </w:pBdr>
        <w:topLinePunct/>
        <w:spacing w:after="0" w:line="600" w:lineRule="exact"/>
        <w:jc w:val="center"/>
        <w:rPr>
          <w:rFonts w:hint="eastAsia" w:ascii="华文中宋" w:hAnsi="华文中宋" w:eastAsia="华文中宋"/>
          <w:b/>
          <w:sz w:val="36"/>
          <w:szCs w:val="36"/>
        </w:rPr>
      </w:pPr>
    </w:p>
    <w:p>
      <w:pPr>
        <w:pBdr>
          <w:bottom w:val="single" w:color="FFFFFF" w:sz="4" w:space="31"/>
        </w:pBdr>
        <w:topLinePunct/>
        <w:spacing w:after="0" w:line="600" w:lineRule="exact"/>
        <w:jc w:val="center"/>
        <w:rPr>
          <w:rFonts w:hint="eastAsia" w:ascii="华文中宋" w:hAnsi="华文中宋" w:eastAsia="华文中宋"/>
          <w:b/>
          <w:sz w:val="36"/>
          <w:szCs w:val="36"/>
        </w:rPr>
      </w:pPr>
      <w:r>
        <w:rPr>
          <w:rFonts w:hint="eastAsia" w:ascii="华文中宋" w:hAnsi="华文中宋" w:eastAsia="华文中宋"/>
          <w:b/>
          <w:sz w:val="36"/>
          <w:szCs w:val="36"/>
        </w:rPr>
        <w:t>第九篇  推进精准扶贫精准脱贫</w:t>
      </w:r>
    </w:p>
    <w:p>
      <w:pPr>
        <w:pBdr>
          <w:bottom w:val="single" w:color="FFFFFF" w:sz="4" w:space="31"/>
        </w:pBdr>
        <w:topLinePunct/>
        <w:spacing w:after="0" w:line="600" w:lineRule="exact"/>
        <w:ind w:firstLine="640" w:firstLineChars="200"/>
        <w:jc w:val="both"/>
        <w:rPr>
          <w:rFonts w:hint="eastAsia" w:ascii="仿宋_GB2312" w:eastAsia="仿宋_GB2312"/>
          <w:sz w:val="32"/>
          <w:szCs w:val="32"/>
        </w:rPr>
      </w:pPr>
    </w:p>
    <w:p>
      <w:pPr>
        <w:pBdr>
          <w:bottom w:val="single" w:color="FFFFFF" w:sz="4" w:space="31"/>
        </w:pBdr>
        <w:topLinePunct/>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以改革创新为动力，以增加农民收入为核心，坚持开发式扶贫方针，按照“精准识别、精准扶贫、精准管理”的原则，逐村逐户制定帮扶措施，集中力量予以扶持，确保到2020年</w:t>
      </w:r>
      <w:r>
        <w:rPr>
          <w:rFonts w:ascii="Times New Roman" w:hAnsi="Times New Roman" w:eastAsia="仿宋_GB2312"/>
          <w:sz w:val="32"/>
          <w:szCs w:val="32"/>
        </w:rPr>
        <w:t>,</w:t>
      </w:r>
      <w:r>
        <w:rPr>
          <w:rFonts w:hint="eastAsia" w:ascii="仿宋_GB2312" w:eastAsia="仿宋_GB2312"/>
          <w:sz w:val="32"/>
          <w:szCs w:val="32"/>
        </w:rPr>
        <w:t>实现现行标准下农村贫困人口全部脱贫，贫困县全部摘帽</w:t>
      </w:r>
      <w:r>
        <w:rPr>
          <w:rFonts w:hint="eastAsia" w:ascii="Times New Roman" w:hAnsi="Times New Roman" w:eastAsia="仿宋_GB2312"/>
          <w:sz w:val="32"/>
          <w:szCs w:val="32"/>
        </w:rPr>
        <w:t>，</w:t>
      </w:r>
      <w:r>
        <w:rPr>
          <w:rFonts w:hint="eastAsia" w:ascii="仿宋_GB2312" w:eastAsia="仿宋_GB2312"/>
          <w:sz w:val="32"/>
          <w:szCs w:val="32"/>
        </w:rPr>
        <w:t>贫困群众与全市人民同步够格进入小康社会。</w:t>
      </w:r>
    </w:p>
    <w:p>
      <w:pPr>
        <w:pBdr>
          <w:bottom w:val="single" w:color="FFFFFF" w:sz="4" w:space="31"/>
        </w:pBdr>
        <w:topLinePunct/>
        <w:spacing w:after="0" w:line="600" w:lineRule="exact"/>
        <w:jc w:val="center"/>
        <w:rPr>
          <w:rFonts w:ascii="黑体" w:hAnsi="黑体" w:eastAsia="黑体"/>
          <w:sz w:val="32"/>
          <w:szCs w:val="32"/>
        </w:rPr>
      </w:pPr>
    </w:p>
    <w:p>
      <w:pPr>
        <w:pBdr>
          <w:bottom w:val="single" w:color="FFFFFF" w:sz="4" w:space="31"/>
        </w:pBdr>
        <w:topLinePunct/>
        <w:spacing w:after="0" w:line="600" w:lineRule="exact"/>
        <w:jc w:val="center"/>
        <w:rPr>
          <w:rFonts w:hint="eastAsia" w:ascii="黑体" w:hAnsi="黑体" w:eastAsia="黑体"/>
          <w:sz w:val="32"/>
          <w:szCs w:val="32"/>
        </w:rPr>
      </w:pPr>
      <w:r>
        <w:rPr>
          <w:rFonts w:hint="eastAsia" w:ascii="黑体" w:hAnsi="黑体" w:eastAsia="黑体"/>
          <w:sz w:val="32"/>
          <w:szCs w:val="32"/>
        </w:rPr>
        <w:t>第三十章  打赢脱贫攻坚战</w:t>
      </w:r>
    </w:p>
    <w:p>
      <w:pPr>
        <w:pBdr>
          <w:bottom w:val="single" w:color="FFFFFF" w:sz="4" w:space="31"/>
        </w:pBdr>
        <w:topLinePunct/>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以连片特困县和西部山区为主战场，坚持整体推进与精准扶贫相结合，坚持扶贫开发与社会保障有效衔接，实施“五个一批”（发展生产脱贫一批、易地搬迁脱贫一批、生态补偿脱贫一批、发展教育脱贫一批、社会保障兜底一批），做到“六个精准”（扶持对象精准、项目安排精准、资金使用精准、措施到户精准、因村派人精准、脱贫成效精准）。加大专项扶贫力度，积极推行行业扶贫和社会扶贫，提高全市兜底扶贫能力，</w:t>
      </w:r>
      <w:r>
        <w:rPr>
          <w:rFonts w:hint="eastAsia" w:ascii="仿宋_GB2312" w:eastAsia="仿宋_GB2312" w:cs="宋体"/>
          <w:sz w:val="32"/>
          <w:szCs w:val="32"/>
        </w:rPr>
        <w:t>举全市之力，坚决打赢脱贫攻坚战。</w:t>
      </w:r>
      <w:r>
        <w:rPr>
          <w:rFonts w:hint="eastAsia" w:ascii="仿宋_GB2312" w:eastAsia="仿宋_GB2312"/>
          <w:sz w:val="32"/>
          <w:szCs w:val="32"/>
        </w:rPr>
        <w:t>到2020年稳定实现扶贫对象“两不愁（不愁吃、不愁穿）、三保障（保障义务教育、基本医疗、住房安全）”，贫困地区农民人均可支配收入增长幅度高于全市平均水平，基本公共服务主要领域指标接近全市平均水平。</w:t>
      </w:r>
    </w:p>
    <w:p>
      <w:pPr>
        <w:spacing w:after="0" w:line="100" w:lineRule="exact"/>
        <w:ind w:firstLine="640" w:firstLineChars="200"/>
        <w:rPr>
          <w:rFonts w:hint="eastAsia" w:ascii="仿宋_GB2312" w:eastAsia="仿宋_GB2312"/>
          <w:sz w:val="32"/>
          <w:szCs w:val="32"/>
        </w:rPr>
      </w:pPr>
    </w:p>
    <w:p>
      <w:pPr>
        <w:spacing w:after="0" w:line="600" w:lineRule="exact"/>
        <w:jc w:val="center"/>
        <w:rPr>
          <w:rFonts w:ascii="黑体" w:hAnsi="黑体" w:eastAsia="黑体"/>
          <w:sz w:val="32"/>
          <w:szCs w:val="32"/>
        </w:rPr>
      </w:pPr>
      <w:r>
        <w:rPr>
          <w:rFonts w:hint="eastAsia" w:ascii="黑体" w:hAnsi="黑体" w:eastAsia="黑体"/>
          <w:sz w:val="32"/>
          <w:szCs w:val="32"/>
        </w:rPr>
        <w:t>第三十一章  增强扶贫针对性</w:t>
      </w:r>
    </w:p>
    <w:p>
      <w:pPr>
        <w:spacing w:after="0" w:line="600" w:lineRule="exact"/>
        <w:jc w:val="center"/>
        <w:rPr>
          <w:rFonts w:hint="eastAsia" w:ascii="黑体" w:hAnsi="黑体" w:eastAsia="黑体"/>
          <w:sz w:val="32"/>
          <w:szCs w:val="32"/>
        </w:rPr>
      </w:pPr>
    </w:p>
    <w:p>
      <w:pPr>
        <w:pBdr>
          <w:bottom w:val="single" w:color="FFFFFF" w:sz="4" w:space="31"/>
        </w:pBdr>
        <w:topLinePunct/>
        <w:spacing w:after="0" w:line="600" w:lineRule="exact"/>
        <w:jc w:val="center"/>
        <w:rPr>
          <w:rFonts w:hint="eastAsia" w:ascii="楷体_GB2312" w:eastAsia="楷体_GB2312"/>
          <w:b/>
          <w:sz w:val="32"/>
          <w:szCs w:val="32"/>
        </w:rPr>
      </w:pPr>
      <w:r>
        <w:rPr>
          <w:rFonts w:hint="eastAsia" w:ascii="楷体_GB2312" w:eastAsia="楷体_GB2312"/>
          <w:b/>
          <w:sz w:val="32"/>
          <w:szCs w:val="32"/>
        </w:rPr>
        <w:t>第一节  加大专项扶贫力度</w:t>
      </w:r>
    </w:p>
    <w:p>
      <w:pPr>
        <w:pBdr>
          <w:bottom w:val="single" w:color="FFFFFF" w:sz="4" w:space="31"/>
        </w:pBdr>
        <w:topLinePunct/>
        <w:spacing w:after="0" w:line="600" w:lineRule="exact"/>
        <w:ind w:firstLine="640" w:firstLineChars="200"/>
        <w:jc w:val="both"/>
        <w:rPr>
          <w:rFonts w:hint="eastAsia" w:ascii="仿宋_GB2312" w:eastAsia="仿宋_GB2312"/>
          <w:sz w:val="32"/>
          <w:szCs w:val="32"/>
        </w:rPr>
      </w:pPr>
      <w:r>
        <w:rPr>
          <w:rFonts w:hint="eastAsia" w:ascii="仿宋_GB2312" w:hAnsi="仿宋" w:eastAsia="仿宋_GB2312" w:cs="宋体"/>
          <w:sz w:val="32"/>
          <w:szCs w:val="32"/>
        </w:rPr>
        <w:t>加大“五个一批”的扶贫项目支持，扩大地方支出规模，增加对贫困地区水电路气网等基础设施建设和提高基本公共服务水平的投入。</w:t>
      </w:r>
      <w:r>
        <w:rPr>
          <w:rFonts w:hint="eastAsia" w:ascii="仿宋_GB2312" w:eastAsia="仿宋_GB2312"/>
          <w:sz w:val="32"/>
          <w:szCs w:val="32"/>
        </w:rPr>
        <w:t>积极实施整村推进项目，全面提升贫困村整体承载功能和持续发展能力，努力改善群众生产生活条件。按照农业产业整体布局和贫困地区产业发展特点，积极发展以奶畜、核桃、肉畜等为贫困地区重点发展的优势主导产业，鲜杂果、猕猴桃、肉（蛋）鸡等为特色的增收项目。加大创业培训和创业指导力度，加强技能培训和农业技术推广，鼓励扶持贫困人员创办个体经济和小微企业，增强贫困户创业就业能力。加大大学生助学投入，实现农村贫困家庭大学生资助全覆盖。积极创办有特色的家庭农场、农民合作社、农业龙头企业，把产业链、供应链、价值链等现代产业发展理念和组织方式引入农业。拓宽扶贫思路，创新扶贫形式，积极开展旅游扶贫、光伏扶贫、金融扶贫、电商扶贫等新的扶贫方式。</w:t>
      </w:r>
      <w:r>
        <w:rPr>
          <w:rFonts w:hint="eastAsia" w:ascii="仿宋_GB2312" w:hAnsi="Calibri" w:eastAsia="仿宋_GB2312" w:cs="宋体"/>
          <w:sz w:val="32"/>
          <w:szCs w:val="32"/>
        </w:rPr>
        <w:t>建立市县扶贫开发投融资平台，</w:t>
      </w:r>
      <w:r>
        <w:rPr>
          <w:rFonts w:hint="eastAsia" w:ascii="仿宋_GB2312" w:hAnsi="仿宋" w:eastAsia="仿宋_GB2312" w:cs="仿宋"/>
          <w:sz w:val="32"/>
          <w:szCs w:val="32"/>
        </w:rPr>
        <w:t>支持涉农金融机构、城市商业银行向贫困地区延伸服务网络，</w:t>
      </w:r>
      <w:r>
        <w:rPr>
          <w:rFonts w:hint="eastAsia" w:ascii="仿宋_GB2312" w:eastAsia="仿宋_GB2312"/>
          <w:sz w:val="32"/>
          <w:szCs w:val="32"/>
        </w:rPr>
        <w:t>积极开展国际合作，实施世行贷款扶贫项目。</w:t>
      </w:r>
    </w:p>
    <w:p>
      <w:pPr>
        <w:spacing w:after="0" w:line="600" w:lineRule="exact"/>
        <w:jc w:val="center"/>
        <w:rPr>
          <w:rFonts w:hint="eastAsia" w:ascii="楷体_GB2312" w:eastAsia="楷体_GB2312"/>
          <w:b/>
          <w:sz w:val="32"/>
          <w:szCs w:val="32"/>
        </w:rPr>
      </w:pPr>
      <w:r>
        <w:rPr>
          <w:rFonts w:hint="eastAsia" w:ascii="楷体_GB2312" w:eastAsia="楷体_GB2312"/>
          <w:b/>
          <w:sz w:val="32"/>
          <w:szCs w:val="32"/>
        </w:rPr>
        <w:t>第二节  推进易地搬迁脱贫</w:t>
      </w:r>
    </w:p>
    <w:p>
      <w:pPr>
        <w:spacing w:after="0" w:line="600" w:lineRule="exact"/>
        <w:ind w:firstLine="640" w:firstLineChars="200"/>
        <w:jc w:val="both"/>
        <w:rPr>
          <w:rFonts w:hint="eastAsia" w:ascii="仿宋_GB2312" w:eastAsia="仿宋_GB2312" w:cs="宋体"/>
          <w:sz w:val="32"/>
          <w:szCs w:val="32"/>
        </w:rPr>
      </w:pPr>
      <w:r>
        <w:rPr>
          <w:rFonts w:hint="eastAsia" w:ascii="仿宋_GB2312" w:hAnsi="宋体" w:eastAsia="仿宋_GB2312" w:cs="宋体"/>
          <w:sz w:val="32"/>
          <w:szCs w:val="32"/>
        </w:rPr>
        <w:t>以靠近城镇、园区、中心村“三靠近”为原则，稳定提高</w:t>
      </w:r>
      <w:r>
        <w:rPr>
          <w:rFonts w:hint="eastAsia" w:ascii="仿宋_GB2312" w:hAnsi="Calibri" w:eastAsia="仿宋_GB2312" w:cs="宋体"/>
          <w:sz w:val="32"/>
          <w:szCs w:val="32"/>
        </w:rPr>
        <w:t>移民搬迁补助政策标准，</w:t>
      </w:r>
      <w:r>
        <w:rPr>
          <w:rFonts w:hint="eastAsia" w:ascii="仿宋_GB2312" w:eastAsia="仿宋_GB2312"/>
          <w:sz w:val="32"/>
          <w:szCs w:val="32"/>
        </w:rPr>
        <w:t>集中力量对生存条件恶劣、地质灾害频发、洪灾受害区域贫困户实施易地移民搬迁。</w:t>
      </w:r>
      <w:r>
        <w:rPr>
          <w:rFonts w:hint="eastAsia" w:ascii="仿宋_GB2312" w:hAnsi="宋体" w:eastAsia="仿宋_GB2312" w:cs="宋体"/>
          <w:sz w:val="32"/>
          <w:szCs w:val="32"/>
        </w:rPr>
        <w:t>以城市社区配置为标准，同步规划建设配套服务设施，</w:t>
      </w:r>
      <w:r>
        <w:rPr>
          <w:rFonts w:hint="eastAsia" w:ascii="仿宋_GB2312" w:eastAsia="仿宋_GB2312"/>
          <w:sz w:val="32"/>
          <w:szCs w:val="32"/>
        </w:rPr>
        <w:t>加大集中安置点公共服务设施建设力度，建设功能健全、环境优美的移民新村。</w:t>
      </w:r>
      <w:r>
        <w:rPr>
          <w:rFonts w:hint="eastAsia" w:ascii="仿宋_GB2312" w:hAnsi="Calibri" w:eastAsia="仿宋_GB2312" w:cs="宋体"/>
          <w:sz w:val="32"/>
          <w:szCs w:val="32"/>
        </w:rPr>
        <w:t>加强搬迁地区产业发展和技能培训工作，</w:t>
      </w:r>
      <w:r>
        <w:rPr>
          <w:rFonts w:hint="eastAsia" w:ascii="仿宋_GB2312" w:eastAsia="仿宋_GB2312"/>
          <w:sz w:val="32"/>
          <w:szCs w:val="32"/>
        </w:rPr>
        <w:t>实现移民安置点增收有渠道、产业有发展、服务有保障。</w:t>
      </w:r>
      <w:r>
        <w:rPr>
          <w:rFonts w:hint="eastAsia" w:ascii="仿宋_GB2312" w:hAnsi="Calibri" w:eastAsia="仿宋_GB2312" w:cs="宋体"/>
          <w:sz w:val="32"/>
          <w:szCs w:val="32"/>
        </w:rPr>
        <w:t>落实好特困户、五保户安置政策，确保特困群众优先享受移民搬迁政策。</w:t>
      </w:r>
      <w:r>
        <w:rPr>
          <w:rFonts w:hint="eastAsia" w:ascii="仿宋_GB2312" w:hAnsi="宋体" w:eastAsia="仿宋_GB2312" w:cs="宋体"/>
          <w:sz w:val="32"/>
          <w:szCs w:val="32"/>
        </w:rPr>
        <w:t>农村危房改造与移民搬迁有机结合，优先实施建档立卡贫困户危房改造</w:t>
      </w:r>
      <w:r>
        <w:rPr>
          <w:rFonts w:hint="eastAsia" w:ascii="仿宋_GB2312" w:hAnsi="Courier New" w:eastAsia="仿宋_GB2312" w:cs="Courier New"/>
          <w:sz w:val="32"/>
          <w:szCs w:val="32"/>
        </w:rPr>
        <w:t>。</w:t>
      </w:r>
      <w:r>
        <w:rPr>
          <w:rFonts w:hint="eastAsia" w:ascii="仿宋_GB2312" w:hAnsi="宋体" w:eastAsia="仿宋_GB2312" w:cs="宋体"/>
          <w:sz w:val="32"/>
          <w:szCs w:val="32"/>
        </w:rPr>
        <w:t>继续推进贫困地区农村环境连片整治，加大贫困村和移民点生活垃圾处理、污水治理、改厕和村庄绿化美化力度，扎实推进美丽乡村建设。</w:t>
      </w:r>
      <w:r>
        <w:rPr>
          <w:rFonts w:hint="eastAsia" w:ascii="仿宋_GB2312" w:eastAsia="仿宋_GB2312" w:cs="宋体"/>
          <w:sz w:val="32"/>
          <w:szCs w:val="32"/>
        </w:rPr>
        <w:t>太白县、金台区和渭滨区率先完成建档立卡搬迁户建房任务，2018年完成全市建档立卡搬迁户建房任务。</w:t>
      </w:r>
    </w:p>
    <w:p>
      <w:pPr>
        <w:pBdr>
          <w:bottom w:val="single" w:color="FFFFFF" w:sz="4" w:space="31"/>
        </w:pBdr>
        <w:topLinePunct/>
        <w:spacing w:after="0" w:line="600" w:lineRule="exact"/>
        <w:jc w:val="center"/>
        <w:rPr>
          <w:rFonts w:hint="eastAsia" w:ascii="楷体_GB2312" w:eastAsia="楷体_GB2312"/>
          <w:b/>
          <w:sz w:val="32"/>
          <w:szCs w:val="32"/>
        </w:rPr>
      </w:pPr>
    </w:p>
    <w:p>
      <w:pPr>
        <w:pBdr>
          <w:bottom w:val="single" w:color="FFFFFF" w:sz="4" w:space="31"/>
        </w:pBdr>
        <w:topLinePunct/>
        <w:spacing w:after="0" w:line="600" w:lineRule="exact"/>
        <w:jc w:val="center"/>
        <w:rPr>
          <w:rFonts w:hint="eastAsia" w:ascii="楷体_GB2312" w:eastAsia="楷体_GB2312"/>
          <w:b/>
          <w:sz w:val="32"/>
          <w:szCs w:val="32"/>
        </w:rPr>
      </w:pPr>
      <w:r>
        <w:rPr>
          <w:rFonts w:hint="eastAsia" w:ascii="楷体_GB2312" w:eastAsia="楷体_GB2312"/>
          <w:b/>
          <w:sz w:val="32"/>
          <w:szCs w:val="32"/>
        </w:rPr>
        <w:t>第三节  加大行业扶贫力度</w:t>
      </w:r>
    </w:p>
    <w:p>
      <w:pPr>
        <w:pBdr>
          <w:bottom w:val="single" w:color="FFFFFF" w:sz="4" w:space="31"/>
        </w:pBdr>
        <w:topLinePunct/>
        <w:spacing w:after="0" w:line="600" w:lineRule="exact"/>
        <w:ind w:firstLine="640" w:firstLineChars="200"/>
        <w:jc w:val="both"/>
        <w:rPr>
          <w:rFonts w:ascii="仿宋_GB2312" w:eastAsia="仿宋_GB2312"/>
          <w:sz w:val="32"/>
          <w:szCs w:val="32"/>
        </w:rPr>
      </w:pPr>
      <w:r>
        <w:rPr>
          <w:rFonts w:hint="eastAsia" w:ascii="仿宋_GB2312" w:eastAsia="仿宋_GB2312"/>
          <w:sz w:val="32"/>
          <w:szCs w:val="32"/>
        </w:rPr>
        <w:t>加大贫困地区村级道路、饮水安全、电力保障、住房安全、特色产业、乡村旅游、教育、卫生计生、文化建设、贫困村信息化等基础设施投资力度，建设一批带动当地经济社会发展的交通、水利等重大项目，改善贫困地区的基础设施条件和公共服务水平。加快贫困地区社会事业发展，实现贫困地区农村养老全覆盖、农村合作医疗全覆盖、高中阶段免费教育全覆盖，进一步提升贫困地区社会保障水平。推进扶贫开发政策与农村低保制度有效衔接，做到既保又扶全覆盖，重点扶持无缝隙。落实集中连片特困地区发展支持政策，统筹推进基础设施、产业发展、民生改善、社会事业、生态环境建设，确保各项扶持政策不折不扣地落实到贫困地区和贫困户。</w:t>
      </w:r>
    </w:p>
    <w:p>
      <w:pPr>
        <w:pBdr>
          <w:bottom w:val="single" w:color="FFFFFF" w:sz="4" w:space="31"/>
        </w:pBdr>
        <w:topLinePunct/>
        <w:spacing w:after="0" w:line="600" w:lineRule="exact"/>
        <w:ind w:firstLine="640" w:firstLineChars="200"/>
        <w:jc w:val="both"/>
        <w:rPr>
          <w:rFonts w:hint="eastAsia" w:ascii="仿宋_GB2312" w:eastAsia="仿宋_GB2312"/>
          <w:sz w:val="32"/>
          <w:szCs w:val="32"/>
        </w:rPr>
      </w:pPr>
    </w:p>
    <w:p>
      <w:pPr>
        <w:pBdr>
          <w:bottom w:val="single" w:color="FFFFFF" w:sz="4" w:space="31"/>
        </w:pBdr>
        <w:topLinePunct/>
        <w:spacing w:after="0" w:line="600" w:lineRule="exact"/>
        <w:jc w:val="center"/>
        <w:rPr>
          <w:rFonts w:ascii="楷体_GB2312" w:eastAsia="楷体_GB2312"/>
          <w:b/>
          <w:sz w:val="32"/>
          <w:szCs w:val="32"/>
        </w:rPr>
      </w:pPr>
      <w:r>
        <w:rPr>
          <w:rFonts w:hint="eastAsia" w:ascii="楷体_GB2312" w:eastAsia="楷体_GB2312"/>
          <w:b/>
          <w:sz w:val="32"/>
          <w:szCs w:val="32"/>
        </w:rPr>
        <w:t>第四节  积极推行社会扶贫</w:t>
      </w:r>
    </w:p>
    <w:p>
      <w:pPr>
        <w:widowControl w:val="0"/>
        <w:pBdr>
          <w:bottom w:val="single" w:color="FFFFFF" w:sz="4" w:space="31"/>
        </w:pBdr>
        <w:topLinePunct/>
        <w:spacing w:after="0" w:line="600" w:lineRule="exact"/>
        <w:ind w:firstLine="660"/>
        <w:rPr>
          <w:rFonts w:ascii="仿宋_GB2312" w:eastAsia="仿宋_GB2312"/>
          <w:sz w:val="32"/>
          <w:szCs w:val="32"/>
        </w:rPr>
      </w:pPr>
      <w:r>
        <w:rPr>
          <w:rFonts w:hint="eastAsia" w:ascii="仿宋_GB2312" w:eastAsia="仿宋_GB2312"/>
          <w:sz w:val="32"/>
          <w:szCs w:val="32"/>
        </w:rPr>
        <w:t>以中央单位定点扶贫和省级部门单位 “两联一包”扶贫工作为引领，组建扶贫驻村工作队、市级领导扶贫联系点、市级部门包村帮扶点和企村结对帮扶点。建立社会扶贫信息交流平台，积极动员社会力量投入扶贫开发，实现帮扶需求与供给对接。鼓励民营企业投资兴业参与扶贫开发，支持有条件的企业设立“扶贫公益基金”，引导各类社会组织和志愿者参与到村、到户、到人精准扶贫。加强单位扶贫工作队进驻贫困村开展驻村联户扶贫工作，实现帮扶村整体脱贫，确保贫困户稳定脱贫不脱钩。</w:t>
      </w:r>
    </w:p>
    <w:p>
      <w:pPr>
        <w:widowControl w:val="0"/>
        <w:pBdr>
          <w:bottom w:val="single" w:color="FFFFFF" w:sz="4" w:space="31"/>
        </w:pBdr>
        <w:topLinePunct/>
        <w:spacing w:after="0" w:line="600" w:lineRule="exact"/>
        <w:ind w:firstLine="660"/>
        <w:rPr>
          <w:rFonts w:hint="eastAsia"/>
        </w:rPr>
      </w:pPr>
    </w:p>
    <w:p>
      <w:pPr>
        <w:pBdr>
          <w:bottom w:val="single" w:color="FFFFFF" w:sz="4" w:space="31"/>
        </w:pBdr>
        <w:topLinePunct/>
        <w:spacing w:after="0" w:line="600" w:lineRule="exact"/>
        <w:jc w:val="center"/>
        <w:rPr>
          <w:rFonts w:hint="eastAsia" w:ascii="黑体" w:hAnsi="黑体" w:eastAsia="黑体"/>
          <w:sz w:val="32"/>
          <w:szCs w:val="32"/>
        </w:rPr>
      </w:pPr>
      <w:r>
        <w:rPr>
          <w:rFonts w:hint="eastAsia" w:ascii="黑体" w:hAnsi="黑体" w:eastAsia="黑体"/>
          <w:sz w:val="32"/>
          <w:szCs w:val="32"/>
        </w:rPr>
        <w:t>第三十二章</w:t>
      </w:r>
      <w:r>
        <w:rPr>
          <w:rFonts w:ascii="黑体" w:hAnsi="黑体" w:eastAsia="黑体"/>
          <w:sz w:val="32"/>
          <w:szCs w:val="32"/>
        </w:rPr>
        <w:t xml:space="preserve">   </w:t>
      </w:r>
      <w:r>
        <w:rPr>
          <w:rFonts w:hint="eastAsia" w:ascii="黑体" w:hAnsi="黑体" w:eastAsia="黑体"/>
          <w:sz w:val="32"/>
          <w:szCs w:val="32"/>
        </w:rPr>
        <w:t>守住底线保障群众基本生活</w:t>
      </w:r>
    </w:p>
    <w:p>
      <w:pPr>
        <w:pBdr>
          <w:bottom w:val="single" w:color="FFFFFF" w:sz="4" w:space="31"/>
        </w:pBdr>
        <w:topLinePunct/>
        <w:spacing w:after="0" w:line="600" w:lineRule="exact"/>
        <w:jc w:val="center"/>
        <w:rPr>
          <w:rFonts w:hint="eastAsia" w:ascii="楷体_GB2312" w:eastAsia="楷体_GB2312"/>
          <w:b/>
          <w:sz w:val="32"/>
          <w:szCs w:val="32"/>
        </w:rPr>
      </w:pPr>
    </w:p>
    <w:p>
      <w:pPr>
        <w:pBdr>
          <w:bottom w:val="single" w:color="FFFFFF" w:sz="4" w:space="31"/>
        </w:pBdr>
        <w:topLinePunct/>
        <w:spacing w:after="0" w:line="600" w:lineRule="exact"/>
        <w:jc w:val="center"/>
        <w:rPr>
          <w:rFonts w:hint="eastAsia" w:ascii="楷体_GB2312" w:eastAsia="楷体_GB2312"/>
          <w:b/>
          <w:sz w:val="32"/>
          <w:szCs w:val="32"/>
        </w:rPr>
      </w:pPr>
      <w:r>
        <w:rPr>
          <w:rFonts w:hint="eastAsia" w:ascii="楷体_GB2312" w:eastAsia="楷体_GB2312"/>
          <w:b/>
          <w:sz w:val="32"/>
          <w:szCs w:val="32"/>
        </w:rPr>
        <w:t>第一节   提升兜底扶贫能力</w:t>
      </w:r>
    </w:p>
    <w:p>
      <w:pPr>
        <w:widowControl w:val="0"/>
        <w:pBdr>
          <w:bottom w:val="single" w:color="FFFFFF" w:sz="4" w:space="31"/>
        </w:pBdr>
        <w:topLinePunct/>
        <w:spacing w:after="0" w:line="590" w:lineRule="exact"/>
        <w:ind w:firstLine="640" w:firstLineChars="200"/>
        <w:jc w:val="both"/>
        <w:rPr>
          <w:rFonts w:hint="eastAsia" w:ascii="仿宋_GB2312" w:eastAsia="仿宋_GB2312"/>
          <w:sz w:val="32"/>
          <w:szCs w:val="32"/>
        </w:rPr>
      </w:pPr>
      <w:r>
        <w:rPr>
          <w:rFonts w:hint="eastAsia" w:ascii="仿宋_GB2312" w:eastAsia="仿宋_GB2312"/>
          <w:sz w:val="32"/>
          <w:szCs w:val="32"/>
        </w:rPr>
        <w:t>把社会保障兜底脱贫作为根本保障，筑牢脱贫攻坚最后一道防线。实行农村低保标准与扶贫标准“两线合一”。完善农村最低生活保障制度，对无法依靠产业扶持和就业帮助脱贫的家庭实行社会保障兜底。建立低保渐退帮扶机制，对当年超过低保标准但收入尚不稳定的农村家庭，延续12个月低保政策，残疾人家庭延长至18个月。进一步完善临时救助制度，加大临时救助政策在贫困地区的落实力度。加大农村敬老院建设力度，最大限度实现对农村特困人员集中供养，实现农村幸福院中心村全覆盖。推行分类施保政策，对纳入农村低保对象中的70岁以上老年人和计生困难家庭按保障标准的20%，重残人员（一、二级）、重病患者和父母一方去世的单亲未成年人按保障标准的50%，儿童和父母离异的单亲未成年人按保障标准的30%，哺乳期妇女按保障标准的70%，非义务教育阶段学生按保障标准的60%分别增加低保金。建立健全留守儿童、留守妇女、留守老人和残疾人关爱服务体系。</w:t>
      </w:r>
    </w:p>
    <w:p>
      <w:pPr>
        <w:pBdr>
          <w:bottom w:val="single" w:color="FFFFFF" w:sz="4" w:space="31"/>
        </w:pBdr>
        <w:topLinePunct/>
        <w:spacing w:after="0" w:line="590" w:lineRule="exact"/>
        <w:jc w:val="center"/>
        <w:rPr>
          <w:rFonts w:hint="eastAsia" w:ascii="楷体_GB2312" w:eastAsia="楷体_GB2312"/>
          <w:b/>
          <w:sz w:val="32"/>
          <w:szCs w:val="32"/>
        </w:rPr>
      </w:pPr>
      <w:r>
        <w:rPr>
          <w:rFonts w:hint="eastAsia" w:ascii="楷体_GB2312" w:eastAsia="楷体_GB2312"/>
          <w:b/>
          <w:sz w:val="32"/>
          <w:szCs w:val="32"/>
        </w:rPr>
        <w:t>第二节  完善城乡最低保障</w:t>
      </w:r>
    </w:p>
    <w:p>
      <w:pPr>
        <w:pBdr>
          <w:bottom w:val="single" w:color="FFFFFF" w:sz="4" w:space="31"/>
        </w:pBdr>
        <w:topLinePunct/>
        <w:spacing w:after="0" w:line="590" w:lineRule="exact"/>
        <w:ind w:firstLine="640" w:firstLineChars="200"/>
        <w:jc w:val="both"/>
        <w:rPr>
          <w:rFonts w:ascii="仿宋_GB2312" w:eastAsia="仿宋_GB2312"/>
          <w:sz w:val="32"/>
          <w:szCs w:val="32"/>
        </w:rPr>
      </w:pPr>
      <w:r>
        <w:rPr>
          <w:rFonts w:hint="eastAsia" w:ascii="仿宋_GB2312" w:eastAsia="仿宋_GB2312"/>
          <w:sz w:val="32"/>
          <w:szCs w:val="32"/>
        </w:rPr>
        <w:t>大力推动城乡低保制度统筹发展，建立健全市县两级居民家庭状况信息核对机构和平台，确保城乡低保管理阳光公平。以救急、救难为重点，统筹各项社会救助资源，全面推进救急难工作。完善农村五保供养标准评价体系，大力推进规范化建设，确保全市五保供养服务水平稳步提升。健全医疗救助制度，进一步完善住院救助、门诊救助、资助参合“三位一体”的救助模式，推进医疗救助与基本医疗保险、大病保险和补充保险的有效衔接，继续完善医疗救助“一站式”即时结算平台建设，切实解决困难群众“看病贵”难题。完善孤儿保障制度，适时提高供养标准。加强救助机构规范化管理，进一步完善城市生活无着流浪乞讨人员救助管理机制；大幅提高在乡复员军人、烈士家属等优抚对象的抚恤补助标准。到2020年，城乡低保标准分别达到当地上一年度人均消费支出的35%和45%左右；全市五保集中供养率达到55%以上；城乡低保等重点救助对象政策范围内住院自付医疗费用平均救助比例达到70%。</w:t>
      </w:r>
    </w:p>
    <w:p>
      <w:pPr>
        <w:widowControl w:val="0"/>
        <w:pBdr>
          <w:bottom w:val="single" w:color="FFFFFF" w:sz="4" w:space="31"/>
        </w:pBdr>
        <w:topLinePunct/>
        <w:spacing w:after="0" w:line="600" w:lineRule="exact"/>
        <w:ind w:firstLine="640" w:firstLineChars="200"/>
        <w:jc w:val="both"/>
        <w:rPr>
          <w:rFonts w:ascii="仿宋_GB2312" w:eastAsia="仿宋_GB2312"/>
          <w:sz w:val="32"/>
          <w:szCs w:val="32"/>
        </w:rPr>
      </w:pPr>
    </w:p>
    <w:p>
      <w:pPr>
        <w:widowControl w:val="0"/>
        <w:pBdr>
          <w:bottom w:val="single" w:color="FFFFFF" w:sz="4" w:space="31"/>
        </w:pBdr>
        <w:topLinePunct/>
        <w:spacing w:after="0" w:line="600" w:lineRule="exact"/>
        <w:jc w:val="center"/>
        <w:rPr>
          <w:rFonts w:ascii="华文中宋" w:hAnsi="华文中宋" w:eastAsia="华文中宋"/>
          <w:b/>
          <w:sz w:val="36"/>
          <w:szCs w:val="36"/>
        </w:rPr>
      </w:pPr>
      <w:r>
        <w:rPr>
          <w:rFonts w:hint="eastAsia" w:ascii="华文中宋" w:hAnsi="华文中宋" w:eastAsia="华文中宋"/>
          <w:b/>
          <w:sz w:val="36"/>
          <w:szCs w:val="36"/>
        </w:rPr>
        <w:t>第十篇  全面深化各项改革</w:t>
      </w:r>
    </w:p>
    <w:p>
      <w:pPr>
        <w:widowControl w:val="0"/>
        <w:pBdr>
          <w:bottom w:val="single" w:color="FFFFFF" w:sz="4" w:space="31"/>
        </w:pBdr>
        <w:topLinePunct/>
        <w:spacing w:after="0" w:line="600" w:lineRule="exact"/>
        <w:ind w:firstLine="640" w:firstLineChars="200"/>
        <w:jc w:val="both"/>
        <w:rPr>
          <w:rFonts w:ascii="仿宋_GB2312" w:eastAsia="仿宋_GB2312"/>
          <w:sz w:val="32"/>
          <w:szCs w:val="32"/>
        </w:rPr>
      </w:pPr>
    </w:p>
    <w:p>
      <w:pPr>
        <w:widowControl w:val="0"/>
        <w:pBdr>
          <w:bottom w:val="single" w:color="FFFFFF" w:sz="4" w:space="31"/>
        </w:pBdr>
        <w:topLinePunct/>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全面深化改革，是各项事业进步、破解发展难题、实现转型升级、全面建成小康社会的动力源泉。把全面改革贯穿于经济社会发展的全局，推进重点领域和关键环节改革，形成经济社会发展的新动力。</w:t>
      </w:r>
    </w:p>
    <w:p>
      <w:pPr>
        <w:widowControl w:val="0"/>
        <w:pBdr>
          <w:bottom w:val="single" w:color="FFFFFF" w:sz="4" w:space="31"/>
        </w:pBdr>
        <w:topLinePunct/>
        <w:spacing w:after="0" w:line="596" w:lineRule="exact"/>
        <w:ind w:firstLine="440" w:firstLineChars="200"/>
        <w:jc w:val="both"/>
        <w:rPr>
          <w:rFonts w:ascii="仿宋_GB2312" w:eastAsia="仿宋_GB2312"/>
          <w:sz w:val="32"/>
          <w:szCs w:val="32"/>
        </w:rPr>
      </w:pPr>
      <w:r>
        <w:rPr>
          <w:rFonts w:hint="eastAsia"/>
        </w:rPr>
        <mc:AlternateContent>
          <mc:Choice Requires="wps">
            <w:drawing>
              <wp:anchor distT="45720" distB="45720" distL="114300" distR="114300" simplePos="0" relativeHeight="251695104" behindDoc="0" locked="0" layoutInCell="1" allowOverlap="1">
                <wp:simplePos x="0" y="0"/>
                <wp:positionH relativeFrom="column">
                  <wp:posOffset>15875</wp:posOffset>
                </wp:positionH>
                <wp:positionV relativeFrom="paragraph">
                  <wp:posOffset>154940</wp:posOffset>
                </wp:positionV>
                <wp:extent cx="5546090" cy="3012440"/>
                <wp:effectExtent l="4445" t="4445" r="12065" b="12065"/>
                <wp:wrapSquare wrapText="bothSides"/>
                <wp:docPr id="36" name="文本框 2"/>
                <wp:cNvGraphicFramePr/>
                <a:graphic xmlns:a="http://schemas.openxmlformats.org/drawingml/2006/main">
                  <a:graphicData uri="http://schemas.microsoft.com/office/word/2010/wordprocessingShape">
                    <wps:wsp>
                      <wps:cNvSpPr txBox="1"/>
                      <wps:spPr>
                        <a:xfrm>
                          <a:off x="0" y="0"/>
                          <a:ext cx="5546090" cy="3012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3</w:t>
                            </w:r>
                          </w:p>
                          <w:p>
                            <w:pPr>
                              <w:spacing w:after="0" w:line="300" w:lineRule="exact"/>
                              <w:jc w:val="center"/>
                              <w:rPr>
                                <w:rFonts w:ascii="黑体" w:hAnsi="黑体" w:eastAsia="黑体"/>
                                <w:sz w:val="21"/>
                                <w:szCs w:val="21"/>
                              </w:rPr>
                            </w:pPr>
                            <w:r>
                              <w:rPr>
                                <w:rFonts w:hint="eastAsia" w:ascii="黑体" w:hAnsi="黑体" w:eastAsia="黑体"/>
                                <w:b/>
                                <w:sz w:val="21"/>
                                <w:szCs w:val="21"/>
                              </w:rPr>
                              <w:t>“十三五”期间全面改革目标</w:t>
                            </w:r>
                            <w:r>
                              <w:rPr>
                                <w:rFonts w:hint="eastAsia" w:ascii="楷体_GB2312" w:eastAsia="楷体_GB2312"/>
                                <w:b/>
                                <w:sz w:val="21"/>
                                <w:szCs w:val="21"/>
                              </w:rPr>
                              <w:t>（</w:t>
                            </w:r>
                            <w:r>
                              <w:rPr>
                                <w:rFonts w:ascii="楷体_GB2312" w:eastAsia="楷体_GB2312"/>
                                <w:b/>
                                <w:sz w:val="21"/>
                                <w:szCs w:val="21"/>
                              </w:rPr>
                              <w:t>10</w:t>
                            </w:r>
                            <w:r>
                              <w:rPr>
                                <w:rFonts w:hint="eastAsia" w:ascii="楷体_GB2312" w:eastAsia="楷体_GB2312"/>
                                <w:b/>
                                <w:sz w:val="21"/>
                                <w:szCs w:val="21"/>
                              </w:rPr>
                              <w:t>个方面</w:t>
                            </w:r>
                            <w:r>
                              <w:rPr>
                                <w:rFonts w:ascii="楷体_GB2312" w:eastAsia="楷体_GB2312"/>
                                <w:b/>
                                <w:sz w:val="21"/>
                                <w:szCs w:val="21"/>
                              </w:rPr>
                              <w:t>35</w:t>
                            </w:r>
                            <w:r>
                              <w:rPr>
                                <w:rFonts w:hint="eastAsia" w:ascii="楷体_GB2312" w:eastAsia="楷体_GB2312"/>
                                <w:b/>
                                <w:sz w:val="21"/>
                                <w:szCs w:val="21"/>
                              </w:rPr>
                              <w:t>项）</w:t>
                            </w:r>
                          </w:p>
                          <w:p>
                            <w:pPr>
                              <w:spacing w:after="0" w:line="300" w:lineRule="exact"/>
                              <w:ind w:firstLine="422" w:firstLineChars="200"/>
                            </w:pPr>
                            <w:r>
                              <w:rPr>
                                <w:rFonts w:hint="eastAsia" w:ascii="楷体_GB2312" w:eastAsia="楷体_GB2312"/>
                                <w:b/>
                                <w:sz w:val="21"/>
                                <w:szCs w:val="21"/>
                              </w:rPr>
                              <w:t>经济转型体制机制改革：</w:t>
                            </w:r>
                            <w:r>
                              <w:rPr>
                                <w:rFonts w:hint="eastAsia" w:ascii="楷体_GB2312" w:eastAsia="楷体_GB2312"/>
                                <w:sz w:val="21"/>
                                <w:szCs w:val="21"/>
                              </w:rPr>
                              <w:t>深化国有企业和政府经营性资产改革；支持非公有制经济健康发展；积极发展混合所有制经济；完善产业升级改造机制。</w:t>
                            </w:r>
                            <w:r>
                              <w:rPr>
                                <w:rFonts w:hint="eastAsia" w:ascii="楷体_GB2312" w:eastAsia="楷体_GB2312"/>
                                <w:b/>
                                <w:sz w:val="21"/>
                                <w:szCs w:val="21"/>
                              </w:rPr>
                              <w:t>资源配置市场化改革：</w:t>
                            </w:r>
                            <w:r>
                              <w:rPr>
                                <w:rFonts w:hint="eastAsia" w:ascii="楷体_GB2312" w:eastAsia="楷体_GB2312"/>
                                <w:sz w:val="21"/>
                                <w:szCs w:val="21"/>
                              </w:rPr>
                              <w:t>完善市场规则和价格机制；构建城乡统一的建设用地市场；积极稳妥推进财税体制改革；健全金融市场体系；完善科技创新体制机制。</w:t>
                            </w:r>
                            <w:r>
                              <w:rPr>
                                <w:rFonts w:hint="eastAsia" w:ascii="楷体_GB2312" w:eastAsia="楷体_GB2312"/>
                                <w:b/>
                                <w:sz w:val="21"/>
                                <w:szCs w:val="21"/>
                              </w:rPr>
                              <w:t>城乡发展一体化体制机制改革：</w:t>
                            </w:r>
                            <w:r>
                              <w:rPr>
                                <w:rFonts w:hint="eastAsia" w:ascii="楷体_GB2312" w:eastAsia="楷体_GB2312"/>
                                <w:sz w:val="21"/>
                                <w:szCs w:val="21"/>
                              </w:rPr>
                              <w:t>构建新型农业经营体系；赋予农民更多财产权利；推进城乡要素平等交换和公共资源均衡配置；完善城镇化发展体制机制。</w:t>
                            </w:r>
                            <w:r>
                              <w:rPr>
                                <w:rFonts w:hint="eastAsia" w:ascii="楷体_GB2312" w:eastAsia="楷体_GB2312"/>
                                <w:b/>
                                <w:sz w:val="21"/>
                                <w:szCs w:val="21"/>
                              </w:rPr>
                              <w:t>开放型经济新体制改革：</w:t>
                            </w:r>
                            <w:r>
                              <w:rPr>
                                <w:rFonts w:hint="eastAsia" w:ascii="楷体_GB2312" w:eastAsia="楷体_GB2312"/>
                                <w:sz w:val="21"/>
                                <w:szCs w:val="21"/>
                              </w:rPr>
                              <w:t>构建宝鸡全方位开放新格局；加快宝鸡综合保税区建设；完善开放型经济发展体制机制。</w:t>
                            </w:r>
                            <w:r>
                              <w:rPr>
                                <w:rFonts w:hint="eastAsia" w:ascii="楷体_GB2312" w:eastAsia="楷体_GB2312"/>
                                <w:b/>
                                <w:sz w:val="21"/>
                                <w:szCs w:val="21"/>
                              </w:rPr>
                              <w:t>文化体制机制创新：</w:t>
                            </w:r>
                            <w:r>
                              <w:rPr>
                                <w:rFonts w:hint="eastAsia" w:ascii="楷体_GB2312" w:eastAsia="楷体_GB2312"/>
                                <w:sz w:val="21"/>
                                <w:szCs w:val="21"/>
                              </w:rPr>
                              <w:t>完善文化管理体制；培育现代文化市场体系；构建现代公共文化服务体系。</w:t>
                            </w:r>
                            <w:r>
                              <w:rPr>
                                <w:rFonts w:hint="eastAsia" w:ascii="楷体_GB2312" w:eastAsia="楷体_GB2312"/>
                                <w:b/>
                                <w:sz w:val="21"/>
                                <w:szCs w:val="21"/>
                              </w:rPr>
                              <w:t>社会事业改革：</w:t>
                            </w:r>
                            <w:r>
                              <w:rPr>
                                <w:rFonts w:hint="eastAsia" w:ascii="楷体_GB2312" w:eastAsia="楷体_GB2312"/>
                                <w:sz w:val="21"/>
                                <w:szCs w:val="21"/>
                              </w:rPr>
                              <w:t>完善就业创业和收入分配制度；稳妥推进社会保障制度改革；深化医药卫生体制改革；加快教育领域综合改革。</w:t>
                            </w:r>
                            <w:r>
                              <w:rPr>
                                <w:rFonts w:hint="eastAsia" w:ascii="楷体_GB2312" w:eastAsia="楷体_GB2312"/>
                                <w:b/>
                                <w:sz w:val="21"/>
                                <w:szCs w:val="21"/>
                              </w:rPr>
                              <w:t>生态文明制度改革：</w:t>
                            </w:r>
                            <w:r>
                              <w:rPr>
                                <w:rFonts w:hint="eastAsia" w:ascii="楷体_GB2312" w:eastAsia="楷体_GB2312"/>
                                <w:sz w:val="21"/>
                                <w:szCs w:val="21"/>
                              </w:rPr>
                              <w:t>构建完整的生态文明体系；加强生态文明制度建设；加大生态环境治理力度。</w:t>
                            </w:r>
                            <w:r>
                              <w:rPr>
                                <w:rFonts w:hint="eastAsia" w:ascii="楷体_GB2312" w:eastAsia="楷体_GB2312"/>
                                <w:b/>
                                <w:sz w:val="21"/>
                                <w:szCs w:val="21"/>
                              </w:rPr>
                              <w:t>行政体制改革：</w:t>
                            </w:r>
                            <w:r>
                              <w:rPr>
                                <w:rFonts w:hint="eastAsia" w:ascii="楷体_GB2312" w:eastAsia="楷体_GB2312"/>
                                <w:sz w:val="21"/>
                                <w:szCs w:val="21"/>
                              </w:rPr>
                              <w:t>推进市县政府机构改革；推进事业单位分类改革；深化行政审批制度改革。</w:t>
                            </w:r>
                            <w:r>
                              <w:rPr>
                                <w:rFonts w:hint="eastAsia" w:ascii="楷体_GB2312" w:eastAsia="楷体_GB2312"/>
                                <w:b/>
                                <w:sz w:val="21"/>
                                <w:szCs w:val="21"/>
                              </w:rPr>
                              <w:t>民主法制建设</w:t>
                            </w:r>
                            <w:r>
                              <w:rPr>
                                <w:rFonts w:hint="eastAsia" w:ascii="楷体_GB2312" w:eastAsia="楷体_GB2312"/>
                                <w:sz w:val="21"/>
                                <w:szCs w:val="21"/>
                              </w:rPr>
                              <w:t>：加强民主政治建设；夯实基层民主制度；深入推进法治社会建设。</w:t>
                            </w:r>
                            <w:r>
                              <w:rPr>
                                <w:rFonts w:hint="eastAsia" w:ascii="楷体_GB2312" w:eastAsia="楷体_GB2312"/>
                                <w:b/>
                                <w:sz w:val="21"/>
                                <w:szCs w:val="21"/>
                              </w:rPr>
                              <w:t>社会治理体制改革：</w:t>
                            </w:r>
                            <w:r>
                              <w:rPr>
                                <w:rFonts w:hint="eastAsia" w:ascii="楷体_GB2312" w:eastAsia="楷体_GB2312"/>
                                <w:sz w:val="21"/>
                                <w:szCs w:val="21"/>
                              </w:rPr>
                              <w:t>创新社会治理方式；激发社会组织活力；健全公共安全体系。</w:t>
                            </w:r>
                          </w:p>
                        </w:txbxContent>
                      </wps:txbx>
                      <wps:bodyPr wrap="square" upright="1"/>
                    </wps:wsp>
                  </a:graphicData>
                </a:graphic>
              </wp:anchor>
            </w:drawing>
          </mc:Choice>
          <mc:Fallback>
            <w:pict>
              <v:shape id="文本框 2" o:spid="_x0000_s1026" o:spt="202" type="#_x0000_t202" style="position:absolute;left:0pt;margin-left:1.25pt;margin-top:12.2pt;height:237.2pt;width:436.7pt;mso-wrap-distance-bottom:3.6pt;mso-wrap-distance-left:9pt;mso-wrap-distance-right:9pt;mso-wrap-distance-top:3.6pt;z-index:251695104;mso-width-relative:margin;mso-height-relative:margin;" fillcolor="#FFFFFF" filled="t" stroked="t" coordsize="21600,21600" o:gfxdata="UEsDBAoAAAAAAIdO4kAAAAAAAAAAAAAAAAAEAAAAZHJzL1BLAwQUAAAACACHTuJA3NBjutgAAAAI&#10;AQAADwAAAGRycy9kb3ducmV2LnhtbE2PwU7DMBBE70j8g7VIXBB1WtI2CXF6QALBDQqCqxtvkwh7&#10;HWw3LX/PcoLTaDWjmbf15uSsmDDEwZOC+SwDgdR6M1Cn4O31/roAEZMmo60nVPCNETbN+VmtK+OP&#10;9ILTNnWCSyhWWkGf0lhJGdsenY4zPyKxt/fB6cRn6KQJ+sjlzspFlq2k0wPxQq9HvOux/dwenIIi&#10;f5w+4tPN83u72tsyXa2nh6+g1OXFPLsFkfCU/sLwi8/o0DDTzh/IRGEVLJYcZMlzEGwX62UJYqcg&#10;L4sCZFPL/w80P1BLAwQUAAAACACHTuJAaC54ZBkCAABGBAAADgAAAGRycy9lMm9Eb2MueG1srVNL&#10;jhMxEN0jcQfLe9KdTBIxrXRGghA2CJAGDuDY7m5L/uFy0p0LwA1YsWHPuXKOKTuZzAcWWdALd9lV&#10;flXvVXlxMxhNdjKAcram41FJibTcCWXbmn79sn71mhKIzAqmnZU13UugN8uXLxa9r+TEdU4LGQiC&#10;WKh6X9MuRl8VBfBOGgYj56VFZ+OCYRG3oS1EYD2iG11MynJe9C4IHxyXAHi6OjrpCTFcAuiaRnG5&#10;cnxrpI1H1CA1i0gJOuWBLnO1TSN5/NQ0ICPRNUWmMa+YBO1NWovlglVtYL5T/FQCu6SEZ5wMUxaT&#10;nqFWLDKyDeovKKN4cOCaOOLOFEciWRFkMS6faXPbMS8zF5Qa/Fl0+H+w/OPucyBK1PRqTollBjt+&#10;+Pnj8OvP4fd3Mkn69B4qDLv1GBiHN27Aqbk/BzxMtIcmmPRHQgT9qO7+rK4cIuF4OJtN5+U1ujj6&#10;rsrxZDrN+hcP132A+F46Q5JR04Dty6qy3QeIWAqG3oekbOC0Emuldd6EdvNWB7Jj2Op1/lKVeOVJ&#10;mLakr+n1bDLDQhjOb4Nzg6bxqAHYNud7cgMeA5f5+xdwKmzFoDsWkBFSGKuMijJkq5NMvLOCxL1H&#10;mS0+L5qKMVJQoiW+xmTlyMiUviQS2WmLJFOPjr1IVhw2A8Ikc+PEHvvW44QjvW9bFjDn1gfVdihw&#10;7mO+jOOVtTo9hTS/j/c5xcPzX9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NBjutgAAAAIAQAA&#10;DwAAAAAAAAABACAAAAAiAAAAZHJzL2Rvd25yZXYueG1sUEsBAhQAFAAAAAgAh07iQGgueGQZAgAA&#10;RgQAAA4AAAAAAAAAAQAgAAAAJwEAAGRycy9lMm9Eb2MueG1sUEsFBgAAAAAGAAYAWQEAALIFAAAA&#10;AA==&#10;">
                <v:fill on="t" focussize="0,0"/>
                <v:stroke color="#000000" joinstyle="miter"/>
                <v:imagedata o:title=""/>
                <o:lock v:ext="edit" aspectratio="f"/>
                <v:textbox>
                  <w:txbxContent>
                    <w:p>
                      <w:pPr>
                        <w:spacing w:after="0" w:line="300" w:lineRule="exact"/>
                        <w:rPr>
                          <w:rFonts w:hint="eastAsia" w:ascii="黑体" w:hAnsi="黑体" w:eastAsia="黑体"/>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3</w:t>
                      </w:r>
                    </w:p>
                    <w:p>
                      <w:pPr>
                        <w:spacing w:after="0" w:line="300" w:lineRule="exact"/>
                        <w:jc w:val="center"/>
                        <w:rPr>
                          <w:rFonts w:ascii="黑体" w:hAnsi="黑体" w:eastAsia="黑体"/>
                          <w:sz w:val="21"/>
                          <w:szCs w:val="21"/>
                        </w:rPr>
                      </w:pPr>
                      <w:r>
                        <w:rPr>
                          <w:rFonts w:hint="eastAsia" w:ascii="黑体" w:hAnsi="黑体" w:eastAsia="黑体"/>
                          <w:b/>
                          <w:sz w:val="21"/>
                          <w:szCs w:val="21"/>
                        </w:rPr>
                        <w:t>“十三五”期间全面改革目标</w:t>
                      </w:r>
                      <w:r>
                        <w:rPr>
                          <w:rFonts w:hint="eastAsia" w:ascii="楷体_GB2312" w:eastAsia="楷体_GB2312"/>
                          <w:b/>
                          <w:sz w:val="21"/>
                          <w:szCs w:val="21"/>
                        </w:rPr>
                        <w:t>（</w:t>
                      </w:r>
                      <w:r>
                        <w:rPr>
                          <w:rFonts w:ascii="楷体_GB2312" w:eastAsia="楷体_GB2312"/>
                          <w:b/>
                          <w:sz w:val="21"/>
                          <w:szCs w:val="21"/>
                        </w:rPr>
                        <w:t>10</w:t>
                      </w:r>
                      <w:r>
                        <w:rPr>
                          <w:rFonts w:hint="eastAsia" w:ascii="楷体_GB2312" w:eastAsia="楷体_GB2312"/>
                          <w:b/>
                          <w:sz w:val="21"/>
                          <w:szCs w:val="21"/>
                        </w:rPr>
                        <w:t>个方面</w:t>
                      </w:r>
                      <w:r>
                        <w:rPr>
                          <w:rFonts w:ascii="楷体_GB2312" w:eastAsia="楷体_GB2312"/>
                          <w:b/>
                          <w:sz w:val="21"/>
                          <w:szCs w:val="21"/>
                        </w:rPr>
                        <w:t>35</w:t>
                      </w:r>
                      <w:r>
                        <w:rPr>
                          <w:rFonts w:hint="eastAsia" w:ascii="楷体_GB2312" w:eastAsia="楷体_GB2312"/>
                          <w:b/>
                          <w:sz w:val="21"/>
                          <w:szCs w:val="21"/>
                        </w:rPr>
                        <w:t>项）</w:t>
                      </w:r>
                    </w:p>
                    <w:p>
                      <w:pPr>
                        <w:spacing w:after="0" w:line="300" w:lineRule="exact"/>
                        <w:ind w:firstLine="422" w:firstLineChars="200"/>
                      </w:pPr>
                      <w:r>
                        <w:rPr>
                          <w:rFonts w:hint="eastAsia" w:ascii="楷体_GB2312" w:eastAsia="楷体_GB2312"/>
                          <w:b/>
                          <w:sz w:val="21"/>
                          <w:szCs w:val="21"/>
                        </w:rPr>
                        <w:t>经济转型体制机制改革：</w:t>
                      </w:r>
                      <w:r>
                        <w:rPr>
                          <w:rFonts w:hint="eastAsia" w:ascii="楷体_GB2312" w:eastAsia="楷体_GB2312"/>
                          <w:sz w:val="21"/>
                          <w:szCs w:val="21"/>
                        </w:rPr>
                        <w:t>深化国有企业和政府经营性资产改革；支持非公有制经济健康发展；积极发展混合所有制经济；完善产业升级改造机制。</w:t>
                      </w:r>
                      <w:r>
                        <w:rPr>
                          <w:rFonts w:hint="eastAsia" w:ascii="楷体_GB2312" w:eastAsia="楷体_GB2312"/>
                          <w:b/>
                          <w:sz w:val="21"/>
                          <w:szCs w:val="21"/>
                        </w:rPr>
                        <w:t>资源配置市场化改革：</w:t>
                      </w:r>
                      <w:r>
                        <w:rPr>
                          <w:rFonts w:hint="eastAsia" w:ascii="楷体_GB2312" w:eastAsia="楷体_GB2312"/>
                          <w:sz w:val="21"/>
                          <w:szCs w:val="21"/>
                        </w:rPr>
                        <w:t>完善市场规则和价格机制；构建城乡统一的建设用地市场；积极稳妥推进财税体制改革；健全金融市场体系；完善科技创新体制机制。</w:t>
                      </w:r>
                      <w:r>
                        <w:rPr>
                          <w:rFonts w:hint="eastAsia" w:ascii="楷体_GB2312" w:eastAsia="楷体_GB2312"/>
                          <w:b/>
                          <w:sz w:val="21"/>
                          <w:szCs w:val="21"/>
                        </w:rPr>
                        <w:t>城乡发展一体化体制机制改革：</w:t>
                      </w:r>
                      <w:r>
                        <w:rPr>
                          <w:rFonts w:hint="eastAsia" w:ascii="楷体_GB2312" w:eastAsia="楷体_GB2312"/>
                          <w:sz w:val="21"/>
                          <w:szCs w:val="21"/>
                        </w:rPr>
                        <w:t>构建新型农业经营体系；赋予农民更多财产权利；推进城乡要素平等交换和公共资源均衡配置；完善城镇化发展体制机制。</w:t>
                      </w:r>
                      <w:r>
                        <w:rPr>
                          <w:rFonts w:hint="eastAsia" w:ascii="楷体_GB2312" w:eastAsia="楷体_GB2312"/>
                          <w:b/>
                          <w:sz w:val="21"/>
                          <w:szCs w:val="21"/>
                        </w:rPr>
                        <w:t>开放型经济新体制改革：</w:t>
                      </w:r>
                      <w:r>
                        <w:rPr>
                          <w:rFonts w:hint="eastAsia" w:ascii="楷体_GB2312" w:eastAsia="楷体_GB2312"/>
                          <w:sz w:val="21"/>
                          <w:szCs w:val="21"/>
                        </w:rPr>
                        <w:t>构建宝鸡全方位开放新格局；加快宝鸡综合保税区建设；完善开放型经济发展体制机制。</w:t>
                      </w:r>
                      <w:r>
                        <w:rPr>
                          <w:rFonts w:hint="eastAsia" w:ascii="楷体_GB2312" w:eastAsia="楷体_GB2312"/>
                          <w:b/>
                          <w:sz w:val="21"/>
                          <w:szCs w:val="21"/>
                        </w:rPr>
                        <w:t>文化体制机制创新：</w:t>
                      </w:r>
                      <w:r>
                        <w:rPr>
                          <w:rFonts w:hint="eastAsia" w:ascii="楷体_GB2312" w:eastAsia="楷体_GB2312"/>
                          <w:sz w:val="21"/>
                          <w:szCs w:val="21"/>
                        </w:rPr>
                        <w:t>完善文化管理体制；培育现代文化市场体系；构建现代公共文化服务体系。</w:t>
                      </w:r>
                      <w:r>
                        <w:rPr>
                          <w:rFonts w:hint="eastAsia" w:ascii="楷体_GB2312" w:eastAsia="楷体_GB2312"/>
                          <w:b/>
                          <w:sz w:val="21"/>
                          <w:szCs w:val="21"/>
                        </w:rPr>
                        <w:t>社会事业改革：</w:t>
                      </w:r>
                      <w:r>
                        <w:rPr>
                          <w:rFonts w:hint="eastAsia" w:ascii="楷体_GB2312" w:eastAsia="楷体_GB2312"/>
                          <w:sz w:val="21"/>
                          <w:szCs w:val="21"/>
                        </w:rPr>
                        <w:t>完善就业创业和收入分配制度；稳妥推进社会保障制度改革；深化医药卫生体制改革；加快教育领域综合改革。</w:t>
                      </w:r>
                      <w:r>
                        <w:rPr>
                          <w:rFonts w:hint="eastAsia" w:ascii="楷体_GB2312" w:eastAsia="楷体_GB2312"/>
                          <w:b/>
                          <w:sz w:val="21"/>
                          <w:szCs w:val="21"/>
                        </w:rPr>
                        <w:t>生态文明制度改革：</w:t>
                      </w:r>
                      <w:r>
                        <w:rPr>
                          <w:rFonts w:hint="eastAsia" w:ascii="楷体_GB2312" w:eastAsia="楷体_GB2312"/>
                          <w:sz w:val="21"/>
                          <w:szCs w:val="21"/>
                        </w:rPr>
                        <w:t>构建完整的生态文明体系；加强生态文明制度建设；加大生态环境治理力度。</w:t>
                      </w:r>
                      <w:r>
                        <w:rPr>
                          <w:rFonts w:hint="eastAsia" w:ascii="楷体_GB2312" w:eastAsia="楷体_GB2312"/>
                          <w:b/>
                          <w:sz w:val="21"/>
                          <w:szCs w:val="21"/>
                        </w:rPr>
                        <w:t>行政体制改革：</w:t>
                      </w:r>
                      <w:r>
                        <w:rPr>
                          <w:rFonts w:hint="eastAsia" w:ascii="楷体_GB2312" w:eastAsia="楷体_GB2312"/>
                          <w:sz w:val="21"/>
                          <w:szCs w:val="21"/>
                        </w:rPr>
                        <w:t>推进市县政府机构改革；推进事业单位分类改革；深化行政审批制度改革。</w:t>
                      </w:r>
                      <w:r>
                        <w:rPr>
                          <w:rFonts w:hint="eastAsia" w:ascii="楷体_GB2312" w:eastAsia="楷体_GB2312"/>
                          <w:b/>
                          <w:sz w:val="21"/>
                          <w:szCs w:val="21"/>
                        </w:rPr>
                        <w:t>民主法制建设</w:t>
                      </w:r>
                      <w:r>
                        <w:rPr>
                          <w:rFonts w:hint="eastAsia" w:ascii="楷体_GB2312" w:eastAsia="楷体_GB2312"/>
                          <w:sz w:val="21"/>
                          <w:szCs w:val="21"/>
                        </w:rPr>
                        <w:t>：加强民主政治建设；夯实基层民主制度；深入推进法治社会建设。</w:t>
                      </w:r>
                      <w:r>
                        <w:rPr>
                          <w:rFonts w:hint="eastAsia" w:ascii="楷体_GB2312" w:eastAsia="楷体_GB2312"/>
                          <w:b/>
                          <w:sz w:val="21"/>
                          <w:szCs w:val="21"/>
                        </w:rPr>
                        <w:t>社会治理体制改革：</w:t>
                      </w:r>
                      <w:r>
                        <w:rPr>
                          <w:rFonts w:hint="eastAsia" w:ascii="楷体_GB2312" w:eastAsia="楷体_GB2312"/>
                          <w:sz w:val="21"/>
                          <w:szCs w:val="21"/>
                        </w:rPr>
                        <w:t>创新社会治理方式；激发社会组织活力；健全公共安全体系。</w:t>
                      </w:r>
                    </w:p>
                  </w:txbxContent>
                </v:textbox>
                <w10:wrap type="square"/>
              </v:shape>
            </w:pict>
          </mc:Fallback>
        </mc:AlternateContent>
      </w:r>
    </w:p>
    <w:p>
      <w:pPr>
        <w:pBdr>
          <w:bottom w:val="single" w:color="FFFFFF" w:sz="4" w:space="31"/>
        </w:pBdr>
        <w:topLinePunct/>
        <w:spacing w:after="0" w:line="600" w:lineRule="exact"/>
        <w:jc w:val="center"/>
        <w:rPr>
          <w:rFonts w:hint="eastAsia" w:ascii="黑体" w:hAnsi="黑体" w:eastAsia="黑体"/>
          <w:sz w:val="32"/>
          <w:szCs w:val="32"/>
        </w:rPr>
      </w:pPr>
      <w:r>
        <w:rPr>
          <w:rFonts w:hint="eastAsia" w:ascii="黑体" w:hAnsi="黑体" w:eastAsia="黑体"/>
          <w:sz w:val="32"/>
          <w:szCs w:val="32"/>
        </w:rPr>
        <w:t>第三十三章</w:t>
      </w:r>
      <w:r>
        <w:rPr>
          <w:rFonts w:ascii="黑体" w:hAnsi="黑体" w:eastAsia="黑体"/>
          <w:sz w:val="32"/>
          <w:szCs w:val="32"/>
        </w:rPr>
        <w:t xml:space="preserve">  </w:t>
      </w:r>
      <w:r>
        <w:rPr>
          <w:rFonts w:hint="eastAsia" w:ascii="黑体" w:hAnsi="黑体" w:eastAsia="黑体"/>
          <w:sz w:val="32"/>
          <w:szCs w:val="32"/>
        </w:rPr>
        <w:t>把握改革的总体要求</w:t>
      </w:r>
    </w:p>
    <w:p>
      <w:pPr>
        <w:pBdr>
          <w:bottom w:val="single" w:color="FFFFFF" w:sz="4" w:space="31"/>
        </w:pBdr>
        <w:topLinePunct/>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遵循十八届三中全会精神和中省各项改革的部署要求，落实《中共宝鸡市委关于全面推进各项改革的实施意见》，坚持社会主义市场经济改革方向，以经济体制改革为重点，紧紧围绕使市场在资源配置中起决定性作用和更好发挥政府作用这个核心，加快构建和完善有利于科学发展、突破发展的体制机制。坚持顶层设计和实践探索相结合、协调推进和因地制宜相结合、整体推进和重点突破相结合、改革创新和发展稳定相结合的基本原则，全面深化十大重点领域体制改革，开创具有宝鸡特色的改革之路。力争到2018年,在一些重要领域和关键环节改革上取得决定性成果;到2020年，全面完成各项改革任务,形成更加健全的体制机制和更加完善的制度体系。</w:t>
      </w:r>
    </w:p>
    <w:p>
      <w:pPr>
        <w:pBdr>
          <w:bottom w:val="single" w:color="FFFFFF" w:sz="4" w:space="31"/>
        </w:pBdr>
        <w:topLinePunct/>
        <w:spacing w:after="0" w:line="600" w:lineRule="exact"/>
        <w:ind w:firstLine="640" w:firstLineChars="200"/>
        <w:jc w:val="both"/>
        <w:rPr>
          <w:rFonts w:hint="eastAsia" w:ascii="仿宋_GB2312" w:eastAsia="仿宋_GB2312"/>
          <w:sz w:val="32"/>
          <w:szCs w:val="32"/>
        </w:rPr>
      </w:pPr>
    </w:p>
    <w:p>
      <w:pPr>
        <w:widowControl w:val="0"/>
        <w:pBdr>
          <w:bottom w:val="single" w:color="FFFFFF" w:sz="4" w:space="31"/>
        </w:pBdr>
        <w:topLinePunct/>
        <w:spacing w:after="0" w:line="600" w:lineRule="exact"/>
        <w:jc w:val="center"/>
        <w:rPr>
          <w:rFonts w:ascii="黑体" w:hAnsi="黑体" w:eastAsia="黑体"/>
          <w:sz w:val="32"/>
          <w:szCs w:val="32"/>
        </w:rPr>
      </w:pPr>
      <w:r>
        <w:rPr>
          <w:rFonts w:hint="eastAsia" w:ascii="黑体" w:hAnsi="黑体" w:eastAsia="黑体"/>
          <w:sz w:val="32"/>
          <w:szCs w:val="32"/>
        </w:rPr>
        <w:t>第三十四章</w:t>
      </w:r>
      <w:r>
        <w:rPr>
          <w:rFonts w:ascii="黑体" w:hAnsi="黑体" w:eastAsia="黑体"/>
          <w:sz w:val="32"/>
          <w:szCs w:val="32"/>
        </w:rPr>
        <w:t xml:space="preserve">  </w:t>
      </w:r>
      <w:r>
        <w:rPr>
          <w:rFonts w:hint="eastAsia" w:ascii="黑体" w:hAnsi="黑体" w:eastAsia="黑体"/>
          <w:sz w:val="32"/>
          <w:szCs w:val="32"/>
        </w:rPr>
        <w:t>推进经济体制改革</w:t>
      </w:r>
    </w:p>
    <w:p>
      <w:pPr>
        <w:widowControl w:val="0"/>
        <w:pBdr>
          <w:bottom w:val="single" w:color="FFFFFF" w:sz="4" w:space="31"/>
        </w:pBdr>
        <w:topLinePunct/>
        <w:spacing w:after="0" w:line="600" w:lineRule="exact"/>
        <w:ind w:firstLine="640" w:firstLineChars="200"/>
        <w:jc w:val="both"/>
        <w:rPr>
          <w:rFonts w:ascii="仿宋_GB2312" w:eastAsia="仿宋_GB2312"/>
          <w:sz w:val="32"/>
          <w:szCs w:val="32"/>
        </w:rPr>
      </w:pPr>
      <w:r>
        <w:rPr>
          <w:rFonts w:hint="eastAsia" w:ascii="仿宋_GB2312" w:eastAsia="仿宋_GB2312"/>
          <w:sz w:val="32"/>
          <w:szCs w:val="32"/>
        </w:rPr>
        <w:t>准确界定不同国有企业功能，加快国有企业分类改革，确保国有资本按照市场机制有序进退；坚持权利平等、机会平等、规则平等的原则，废除各种不合理规定，完善非公有制企业进入特许经营领域具体办法和政策措施；支持民间资本参与国有企业改革重组，大力发展国有资本、集体资本和非公有资本等交叉持股、相互融合的混合所有制经济；制定差异化产业扶持政策和承接东部产业转移支持政策，健全传统产业改造升级、先进装备制造业和战略性新兴产业培育发展机制；积极推进企业上市融资和员工持股改革，提高国有资本证券化率和国有资本收益上交财政比率，推动产业集群提质增效，进一步激发市场主体活力。</w:t>
      </w:r>
    </w:p>
    <w:p>
      <w:pPr>
        <w:spacing w:after="0" w:line="600" w:lineRule="exact"/>
        <w:jc w:val="center"/>
        <w:rPr>
          <w:rFonts w:hint="eastAsia" w:ascii="黑体" w:hAnsi="黑体" w:eastAsia="黑体"/>
          <w:sz w:val="32"/>
          <w:szCs w:val="32"/>
        </w:rPr>
      </w:pPr>
      <w:r>
        <w:rPr>
          <w:rFonts w:hint="eastAsia" w:ascii="黑体" w:hAnsi="黑体" w:eastAsia="黑体"/>
          <w:sz w:val="32"/>
          <w:szCs w:val="32"/>
        </w:rPr>
        <w:t>第三十五章  深化行政管理体制改革</w:t>
      </w:r>
    </w:p>
    <w:p>
      <w:pPr>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按照中省统一部署和精简、统一、效能的原则，切实转变政府职能，深入推进市县政府机构改革;加快事业单位分类改革，推动公办事业单位与主管部门理顺关系和去行政化；进一步简政放权，推行各级政府权力清单和责任清单制度，实现省市县联网审批，落实企业和个人投资自主权，把政府工作着力点放在提供公共服务、加强市场监管上；推进行政区划体制创新，推进县域副中心建设和有条件县撤县设区设市工作，加快实施镇村综合改革，促进新型城镇化建设；深化财税和投融资体制改革，推进规范透明的预算制度，强化全口径预算管理，推进专项资金实质性整合，改革专项转移支付分配办法，全面推进政府和社会资本合作模式；加快建设投资项目在线审批监管平台，全面推行网上并联审批核准制度；加快推进工商营业执照、组织机构代码和税务登记证“三证合一”、“一证一码”登记制度。</w:t>
      </w:r>
    </w:p>
    <w:p>
      <w:pPr>
        <w:spacing w:after="0" w:line="600" w:lineRule="exact"/>
        <w:rPr>
          <w:rFonts w:hint="eastAsia"/>
        </w:rPr>
      </w:pPr>
    </w:p>
    <w:p>
      <w:pPr>
        <w:spacing w:after="0" w:line="600" w:lineRule="exact"/>
        <w:jc w:val="center"/>
        <w:rPr>
          <w:rFonts w:ascii="黑体" w:hAnsi="黑体" w:eastAsia="黑体"/>
          <w:sz w:val="32"/>
          <w:szCs w:val="32"/>
        </w:rPr>
      </w:pPr>
      <w:r>
        <w:rPr>
          <w:rFonts w:hint="eastAsia" w:ascii="黑体" w:hAnsi="黑体" w:eastAsia="黑体"/>
          <w:sz w:val="32"/>
          <w:szCs w:val="32"/>
        </w:rPr>
        <w:t>第三十六章</w:t>
      </w:r>
      <w:r>
        <w:rPr>
          <w:rFonts w:ascii="黑体" w:hAnsi="黑体" w:eastAsia="黑体"/>
          <w:sz w:val="32"/>
          <w:szCs w:val="32"/>
        </w:rPr>
        <w:t xml:space="preserve">  </w:t>
      </w:r>
      <w:r>
        <w:rPr>
          <w:rFonts w:hint="eastAsia" w:ascii="黑体" w:hAnsi="黑体" w:eastAsia="黑体"/>
          <w:sz w:val="32"/>
          <w:szCs w:val="32"/>
        </w:rPr>
        <w:t>推动重点领域改革创新</w:t>
      </w:r>
    </w:p>
    <w:p>
      <w:pPr>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通过抓好农村土地确权颁证、农村土地流转、宅基地制度改革、农业经营体制创新等改革农村产权制度，建设城乡统一的建设用地市场；通过抓好构建新型农业经营体系、推进城乡要素平等交换和公共资源均衡配置、完善城镇化发展体制机制，进一步健全城乡一体化发展机制；深化集体林权制度改革，全面推进国有林场改革；完善市场规则和价格机制，推进水、电、油、气、医等领域价格改革，积极稳妥推进财税体制、科技创新体制、金融市场体系改革，整体推进资源配置市场化改革；研究制定民生托底的机制、政策、范围，建立起全市民生政策兜底线，稳妥推进社会保障制度改革；破除以药补医机制，建立科学合理补偿机制，鼓励和支持多元化办医，建立分级诊疗模式，综合推进医药卫生体制改革；加强政府教育统筹，坚持分类指导，推动管办评分离，统筹城乡义务教育均衡发展，加快教育领域综合改革。</w:t>
      </w:r>
    </w:p>
    <w:p>
      <w:pPr>
        <w:spacing w:after="0" w:line="600" w:lineRule="exact"/>
        <w:ind w:firstLine="640" w:firstLineChars="200"/>
        <w:jc w:val="both"/>
        <w:rPr>
          <w:rFonts w:ascii="仿宋_GB2312" w:eastAsia="仿宋_GB2312"/>
          <w:sz w:val="32"/>
          <w:szCs w:val="32"/>
        </w:rPr>
      </w:pPr>
    </w:p>
    <w:p>
      <w:pPr>
        <w:spacing w:after="0" w:line="600" w:lineRule="exact"/>
        <w:ind w:firstLine="640" w:firstLineChars="200"/>
        <w:jc w:val="both"/>
        <w:rPr>
          <w:rFonts w:hint="eastAsia" w:ascii="仿宋_GB2312" w:eastAsia="仿宋_GB2312"/>
          <w:sz w:val="32"/>
          <w:szCs w:val="32"/>
        </w:rPr>
      </w:pPr>
    </w:p>
    <w:p>
      <w:pPr>
        <w:spacing w:after="0" w:line="600" w:lineRule="exact"/>
        <w:jc w:val="center"/>
        <w:rPr>
          <w:rFonts w:ascii="华文中宋" w:hAnsi="华文中宋" w:eastAsia="华文中宋"/>
          <w:b/>
          <w:sz w:val="36"/>
          <w:szCs w:val="36"/>
        </w:rPr>
      </w:pPr>
      <w:r>
        <w:rPr>
          <w:rFonts w:hint="eastAsia" w:ascii="华文中宋" w:hAnsi="华文中宋" w:eastAsia="华文中宋"/>
          <w:b/>
          <w:sz w:val="36"/>
          <w:szCs w:val="36"/>
        </w:rPr>
        <w:t>第十一篇  实施创新驱动发展战略</w:t>
      </w:r>
    </w:p>
    <w:p>
      <w:pPr>
        <w:spacing w:after="0" w:line="600" w:lineRule="exact"/>
        <w:jc w:val="center"/>
        <w:rPr>
          <w:rFonts w:hint="eastAsia" w:ascii="方正小标宋简体" w:eastAsia="方正小标宋简体"/>
          <w:b/>
          <w:sz w:val="32"/>
          <w:szCs w:val="32"/>
        </w:rPr>
      </w:pPr>
    </w:p>
    <w:p>
      <w:pPr>
        <w:widowControl w:val="0"/>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把创新作为第一动力，发挥科技创新引领作用，加快政府职能从研发管理向创新服务转变步伐，强化企业创新主体地位，抓住国家创新型城市建设试点的机遇，营造促进创新发展的体制机制，充分发挥科技引领产业发展的作用，推动经济发展提质增效升级，提高创新驱动发展体系的整体效能，建立“大众创业、万众创新”的机制体制，全面实施创新驱动发展战略，激发社会创新创业力量。</w:t>
      </w:r>
    </w:p>
    <w:p>
      <w:pPr>
        <w:widowControl w:val="0"/>
        <w:spacing w:after="0" w:line="600" w:lineRule="exact"/>
        <w:jc w:val="center"/>
        <w:rPr>
          <w:rFonts w:ascii="黑体" w:hAnsi="黑体" w:eastAsia="黑体"/>
          <w:sz w:val="32"/>
          <w:szCs w:val="32"/>
        </w:rPr>
      </w:pPr>
    </w:p>
    <w:p>
      <w:pPr>
        <w:widowControl w:val="0"/>
        <w:spacing w:after="0" w:line="600" w:lineRule="exact"/>
        <w:jc w:val="center"/>
        <w:rPr>
          <w:rFonts w:hint="eastAsia" w:ascii="黑体" w:hAnsi="黑体" w:eastAsia="黑体"/>
          <w:sz w:val="32"/>
          <w:szCs w:val="32"/>
        </w:rPr>
      </w:pPr>
      <w:r>
        <w:rPr>
          <w:rFonts w:hint="eastAsia" w:ascii="黑体" w:hAnsi="黑体" w:eastAsia="黑体"/>
          <w:sz w:val="32"/>
          <w:szCs w:val="32"/>
        </w:rPr>
        <w:t>第三十七章</w:t>
      </w:r>
      <w:r>
        <w:rPr>
          <w:rFonts w:ascii="黑体" w:hAnsi="黑体" w:eastAsia="黑体"/>
          <w:sz w:val="32"/>
          <w:szCs w:val="32"/>
        </w:rPr>
        <w:t xml:space="preserve">  </w:t>
      </w:r>
      <w:r>
        <w:rPr>
          <w:rFonts w:hint="eastAsia" w:ascii="黑体" w:hAnsi="黑体" w:eastAsia="黑体"/>
          <w:sz w:val="32"/>
          <w:szCs w:val="32"/>
        </w:rPr>
        <w:t>加快科技创新步伐</w:t>
      </w:r>
    </w:p>
    <w:p>
      <w:pPr>
        <w:widowControl w:val="0"/>
        <w:spacing w:after="0" w:line="600" w:lineRule="exact"/>
        <w:rPr>
          <w:rFonts w:hint="eastAsia"/>
        </w:rPr>
      </w:pPr>
    </w:p>
    <w:p>
      <w:pPr>
        <w:widowControl w:val="0"/>
        <w:spacing w:after="0" w:line="600" w:lineRule="exact"/>
        <w:jc w:val="center"/>
        <w:rPr>
          <w:rFonts w:hint="eastAsia" w:ascii="楷体_GB2312" w:eastAsia="楷体_GB2312"/>
          <w:b/>
          <w:sz w:val="32"/>
          <w:szCs w:val="32"/>
        </w:rPr>
      </w:pPr>
      <w:r>
        <w:rPr>
          <w:rFonts w:hint="eastAsia" w:ascii="楷体_GB2312" w:eastAsia="楷体_GB2312"/>
          <w:b/>
          <w:sz w:val="32"/>
          <w:szCs w:val="32"/>
        </w:rPr>
        <w:t>第一节  加大科技投入和融资力度</w:t>
      </w:r>
    </w:p>
    <w:p>
      <w:pPr>
        <w:widowControl w:val="0"/>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逐步建立政府引导、市场驱动，企业投入为主体，多元化、多渠道、高效率</w:t>
      </w:r>
      <w:r>
        <w:rPr>
          <w:rFonts w:hint="eastAsia" w:ascii="仿宋_GB2312" w:eastAsia="仿宋_GB2312"/>
          <w:color w:val="000000"/>
          <w:sz w:val="32"/>
          <w:szCs w:val="32"/>
        </w:rPr>
        <w:t>的科技投入体系，引导企业和社会资金投向科学研究与技术开发，全社会研发经费投入强度逐年明显提高。建立财政科技投入稳定增长机制；完善财政科技经费评价体系，面向结果，追踪问效</w:t>
      </w:r>
      <w:r>
        <w:rPr>
          <w:rFonts w:hint="eastAsia" w:ascii="仿宋_GB2312" w:eastAsia="仿宋_GB2312"/>
          <w:sz w:val="32"/>
          <w:szCs w:val="32"/>
        </w:rPr>
        <w:t>，提高资金使用效益。调整投入方向，加大对新兴产业的扶持力度。创新投入方式，充分发挥财政资金的杠杆效应，灵活使用无偿资助、贷款贴息、偿还性资助、贷款风险补偿、后补助等，激发企业增加科技投入的积极性。促进建立和完善“担保、银行、企业、财政”四方联运机制，创新科技金融工具，支持科技型中小企业发展壮大，引导和吸引金融资金投向高新技术产业，支持科技型企业多渠道融资。到2020年，研发经费投入强度达到3.</w:t>
      </w:r>
      <w:r>
        <w:rPr>
          <w:rFonts w:ascii="仿宋_GB2312" w:eastAsia="仿宋_GB2312"/>
          <w:sz w:val="32"/>
          <w:szCs w:val="32"/>
        </w:rPr>
        <w:t>5</w:t>
      </w:r>
      <w:r>
        <w:rPr>
          <w:rFonts w:hint="eastAsia" w:ascii="仿宋_GB2312" w:eastAsia="仿宋_GB2312"/>
          <w:sz w:val="32"/>
          <w:szCs w:val="32"/>
        </w:rPr>
        <w:t>%;市、县（区）财政科技投入占本级财政预算支出2%和1.5%以上；企业研究开发投入额占主营业务收入的比例达到2%以上。</w:t>
      </w:r>
    </w:p>
    <w:p>
      <w:pPr>
        <w:widowControl w:val="0"/>
        <w:spacing w:after="0" w:line="600" w:lineRule="exact"/>
        <w:jc w:val="both"/>
        <w:rPr>
          <w:rFonts w:hint="eastAsia"/>
        </w:rPr>
      </w:pPr>
    </w:p>
    <w:p>
      <w:pPr>
        <w:widowControl w:val="0"/>
        <w:spacing w:after="0" w:line="600" w:lineRule="exact"/>
        <w:jc w:val="center"/>
        <w:rPr>
          <w:rFonts w:ascii="楷体_GB2312" w:eastAsia="楷体_GB2312"/>
          <w:b/>
          <w:sz w:val="32"/>
          <w:szCs w:val="32"/>
        </w:rPr>
      </w:pPr>
      <w:r>
        <w:rPr>
          <w:rFonts w:hint="eastAsia" w:ascii="楷体_GB2312" w:eastAsia="楷体_GB2312"/>
          <w:b/>
          <w:sz w:val="32"/>
          <w:szCs w:val="32"/>
        </w:rPr>
        <w:t>第二节  强化产业技术平台建设</w:t>
      </w:r>
      <w:r>
        <w:rPr>
          <w:rFonts w:ascii="楷体_GB2312" w:eastAsia="楷体_GB2312"/>
          <w:b/>
          <w:sz w:val="32"/>
          <w:szCs w:val="32"/>
        </w:rPr>
        <w:t xml:space="preserve">    </w:t>
      </w:r>
    </w:p>
    <w:p>
      <w:pPr>
        <w:widowControl w:val="0"/>
        <w:spacing w:after="0" w:line="600" w:lineRule="exact"/>
        <w:rPr>
          <w:rFonts w:ascii="楷体_GB2312" w:eastAsia="楷体_GB2312"/>
          <w:b/>
          <w:sz w:val="32"/>
          <w:szCs w:val="32"/>
        </w:rPr>
      </w:pPr>
      <w:r>
        <w:rPr>
          <w:lang/>
        </w:rPr>
        <mc:AlternateContent>
          <mc:Choice Requires="wps">
            <w:drawing>
              <wp:anchor distT="45720" distB="45720" distL="114300" distR="114300" simplePos="0" relativeHeight="251735040" behindDoc="1" locked="0" layoutInCell="1" allowOverlap="1">
                <wp:simplePos x="0" y="0"/>
                <wp:positionH relativeFrom="column">
                  <wp:posOffset>15240</wp:posOffset>
                </wp:positionH>
                <wp:positionV relativeFrom="paragraph">
                  <wp:posOffset>2157095</wp:posOffset>
                </wp:positionV>
                <wp:extent cx="5526405" cy="2872740"/>
                <wp:effectExtent l="4445" t="4445" r="12700" b="18415"/>
                <wp:wrapTight wrapText="bothSides">
                  <wp:wrapPolygon>
                    <wp:start x="-37" y="-72"/>
                    <wp:lineTo x="-37" y="21600"/>
                    <wp:lineTo x="21637" y="21600"/>
                    <wp:lineTo x="21637" y="-72"/>
                    <wp:lineTo x="-37" y="-72"/>
                  </wp:wrapPolygon>
                </wp:wrapTight>
                <wp:docPr id="75" name="文本框 2"/>
                <wp:cNvGraphicFramePr/>
                <a:graphic xmlns:a="http://schemas.openxmlformats.org/drawingml/2006/main">
                  <a:graphicData uri="http://schemas.microsoft.com/office/word/2010/wordprocessingShape">
                    <wps:wsp>
                      <wps:cNvSpPr txBox="1"/>
                      <wps:spPr>
                        <a:xfrm>
                          <a:off x="0" y="0"/>
                          <a:ext cx="5526405" cy="2872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eastAsia="黑体" w:cs="仿宋_GB2312"/>
                                <w:b/>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4</w:t>
                            </w:r>
                          </w:p>
                          <w:p>
                            <w:pPr>
                              <w:spacing w:after="0" w:line="300" w:lineRule="exact"/>
                              <w:jc w:val="center"/>
                              <w:rPr>
                                <w:rFonts w:ascii="楷体_GB2312" w:eastAsia="楷体_GB2312" w:cs="仿宋_GB2312"/>
                                <w:b/>
                                <w:bCs/>
                                <w:sz w:val="21"/>
                                <w:szCs w:val="21"/>
                              </w:rPr>
                            </w:pPr>
                            <w:r>
                              <w:rPr>
                                <w:rFonts w:hint="eastAsia" w:ascii="黑体" w:eastAsia="黑体" w:cs="仿宋_GB2312"/>
                                <w:b/>
                                <w:sz w:val="21"/>
                                <w:szCs w:val="21"/>
                              </w:rPr>
                              <w:t>产业技术平台建设重点</w:t>
                            </w:r>
                          </w:p>
                          <w:p>
                            <w:pPr>
                              <w:spacing w:after="0" w:line="300" w:lineRule="exact"/>
                              <w:ind w:firstLine="527" w:firstLineChars="250"/>
                            </w:pPr>
                            <w:r>
                              <w:rPr>
                                <w:rFonts w:hint="eastAsia" w:ascii="楷体_GB2312" w:eastAsia="楷体_GB2312" w:cs="仿宋_GB2312"/>
                                <w:b/>
                                <w:bCs/>
                                <w:sz w:val="21"/>
                                <w:szCs w:val="21"/>
                              </w:rPr>
                              <w:t>汽车制造技术关键技术研发平台：</w:t>
                            </w:r>
                            <w:r>
                              <w:rPr>
                                <w:rFonts w:hint="eastAsia" w:ascii="楷体_GB2312" w:eastAsia="楷体_GB2312" w:cs="仿宋_GB2312"/>
                                <w:sz w:val="21"/>
                                <w:szCs w:val="21"/>
                              </w:rPr>
                              <w:t>围绕发动机、自动变速器、减振器、制动系统、汽车传感器、安全控制系统、车桥系列产品、汽车电喷节流阀体总成、汽车零件模具等的研发，建立完整的产品研发、生产制造、检测调试、市场营销技术平台。</w:t>
                            </w:r>
                            <w:r>
                              <w:rPr>
                                <w:rFonts w:hint="eastAsia" w:ascii="楷体_GB2312" w:eastAsia="楷体_GB2312" w:cs="仿宋_GB2312"/>
                                <w:b/>
                                <w:bCs/>
                                <w:sz w:val="21"/>
                                <w:szCs w:val="21"/>
                              </w:rPr>
                              <w:t>钛及钛合金新材料研发平台：</w:t>
                            </w:r>
                            <w:r>
                              <w:rPr>
                                <w:rFonts w:hint="eastAsia" w:ascii="楷体_GB2312" w:eastAsia="楷体_GB2312" w:cs="仿宋_GB2312"/>
                                <w:sz w:val="21"/>
                                <w:szCs w:val="21"/>
                              </w:rPr>
                              <w:t>建立电子束冷床炉熔炼钛及钛合金、</w:t>
                            </w:r>
                            <w:r>
                              <w:rPr>
                                <w:rFonts w:ascii="楷体_GB2312" w:eastAsia="楷体_GB2312" w:cs="仿宋_GB2312"/>
                                <w:sz w:val="21"/>
                                <w:szCs w:val="21"/>
                              </w:rPr>
                              <w:t>3D</w:t>
                            </w:r>
                            <w:r>
                              <w:rPr>
                                <w:rFonts w:hint="eastAsia" w:ascii="楷体_GB2312" w:eastAsia="楷体_GB2312" w:cs="仿宋_GB2312"/>
                                <w:sz w:val="21"/>
                                <w:szCs w:val="21"/>
                              </w:rPr>
                              <w:t>打印钛及钛合金粉末高质量表面加工、组织均匀性控制、钛合金残料制取新型材料、大规格板材轧制、棒材锻造工艺、超薄超细特异形材料等产品的研发平台。</w:t>
                            </w:r>
                            <w:r>
                              <w:rPr>
                                <w:rFonts w:hint="eastAsia" w:ascii="楷体_GB2312" w:eastAsia="楷体_GB2312" w:cs="仿宋_GB2312"/>
                                <w:b/>
                                <w:bCs/>
                                <w:sz w:val="21"/>
                                <w:szCs w:val="21"/>
                              </w:rPr>
                              <w:t>石油装备自主创新平台：</w:t>
                            </w:r>
                            <w:r>
                              <w:rPr>
                                <w:rFonts w:hint="eastAsia" w:ascii="楷体_GB2312" w:eastAsia="楷体_GB2312" w:cs="仿宋_GB2312"/>
                                <w:sz w:val="21"/>
                                <w:szCs w:val="21"/>
                              </w:rPr>
                              <w:t>以海洋、海外石油钻井平台为重点，建立自主创新平台。</w:t>
                            </w:r>
                            <w:r>
                              <w:rPr>
                                <w:rFonts w:hint="eastAsia" w:ascii="楷体_GB2312" w:eastAsia="楷体_GB2312" w:cs="仿宋_GB2312"/>
                                <w:b/>
                                <w:bCs/>
                                <w:sz w:val="21"/>
                                <w:szCs w:val="21"/>
                              </w:rPr>
                              <w:t>机床工具制造工艺研发平台：</w:t>
                            </w:r>
                            <w:r>
                              <w:rPr>
                                <w:rFonts w:hint="eastAsia" w:ascii="楷体_GB2312" w:eastAsia="楷体_GB2312" w:cs="仿宋_GB2312"/>
                                <w:sz w:val="21"/>
                                <w:szCs w:val="21"/>
                              </w:rPr>
                              <w:t>建立高精尖的关键技术、关键制造工艺、新产品研发平台。</w:t>
                            </w:r>
                            <w:r>
                              <w:rPr>
                                <w:rFonts w:hint="eastAsia" w:ascii="楷体_GB2312" w:eastAsia="楷体_GB2312" w:cs="仿宋_GB2312"/>
                                <w:b/>
                                <w:sz w:val="21"/>
                                <w:szCs w:val="21"/>
                              </w:rPr>
                              <w:t>轨道交通</w:t>
                            </w:r>
                            <w:r>
                              <w:rPr>
                                <w:rFonts w:ascii="楷体_GB2312" w:eastAsia="楷体_GB2312" w:cs="仿宋_GB2312"/>
                                <w:b/>
                                <w:sz w:val="21"/>
                                <w:szCs w:val="21"/>
                              </w:rPr>
                              <w:t>250</w:t>
                            </w:r>
                            <w:r>
                              <w:rPr>
                                <w:rFonts w:hint="eastAsia" w:ascii="楷体_GB2312" w:eastAsia="楷体_GB2312" w:cs="仿宋_GB2312"/>
                                <w:b/>
                                <w:sz w:val="21"/>
                                <w:szCs w:val="21"/>
                              </w:rPr>
                              <w:t>公里以上研发平台</w:t>
                            </w:r>
                            <w:r>
                              <w:rPr>
                                <w:rFonts w:hint="eastAsia" w:ascii="楷体_GB2312" w:eastAsia="楷体_GB2312" w:cs="仿宋_GB2312"/>
                                <w:sz w:val="21"/>
                                <w:szCs w:val="21"/>
                              </w:rPr>
                              <w:t>：时速</w:t>
                            </w:r>
                            <w:r>
                              <w:rPr>
                                <w:rFonts w:ascii="楷体_GB2312" w:eastAsia="楷体_GB2312" w:cs="仿宋_GB2312"/>
                                <w:sz w:val="21"/>
                                <w:szCs w:val="21"/>
                              </w:rPr>
                              <w:t>250</w:t>
                            </w:r>
                            <w:r>
                              <w:rPr>
                                <w:rFonts w:hint="eastAsia" w:ascii="楷体_GB2312" w:eastAsia="楷体_GB2312" w:cs="仿宋_GB2312"/>
                                <w:sz w:val="21"/>
                                <w:szCs w:val="21"/>
                              </w:rPr>
                              <w:t>和</w:t>
                            </w:r>
                            <w:r>
                              <w:rPr>
                                <w:rFonts w:ascii="楷体_GB2312" w:eastAsia="楷体_GB2312" w:cs="仿宋_GB2312"/>
                                <w:sz w:val="21"/>
                                <w:szCs w:val="21"/>
                              </w:rPr>
                              <w:t>350</w:t>
                            </w:r>
                            <w:r>
                              <w:rPr>
                                <w:rFonts w:hint="eastAsia" w:ascii="楷体_GB2312" w:eastAsia="楷体_GB2312" w:cs="仿宋_GB2312"/>
                                <w:sz w:val="21"/>
                                <w:szCs w:val="21"/>
                              </w:rPr>
                              <w:t>公里道岔和适应</w:t>
                            </w:r>
                            <w:r>
                              <w:rPr>
                                <w:rFonts w:ascii="楷体_GB2312" w:eastAsia="楷体_GB2312" w:cs="仿宋_GB2312"/>
                                <w:sz w:val="21"/>
                                <w:szCs w:val="21"/>
                              </w:rPr>
                              <w:t>2</w:t>
                            </w:r>
                            <w:r>
                              <w:rPr>
                                <w:rFonts w:hint="eastAsia" w:ascii="楷体_GB2312" w:eastAsia="楷体_GB2312" w:cs="仿宋_GB2312"/>
                                <w:sz w:val="21"/>
                                <w:szCs w:val="21"/>
                              </w:rPr>
                              <w:t>万吨级重载线路运营要求的重载系列道岔，研究、开发满足市场需要的地铁道岔、中低速磁浮道岔系列产品。</w:t>
                            </w:r>
                            <w:r>
                              <w:rPr>
                                <w:rFonts w:hint="eastAsia" w:ascii="楷体_GB2312" w:eastAsia="楷体_GB2312" w:cs="仿宋_GB2312"/>
                                <w:b/>
                                <w:sz w:val="21"/>
                                <w:szCs w:val="21"/>
                              </w:rPr>
                              <w:t>航空航天：</w:t>
                            </w:r>
                            <w:r>
                              <w:rPr>
                                <w:rFonts w:hint="eastAsia" w:ascii="楷体_GB2312" w:eastAsia="楷体_GB2312" w:cs="仿宋_GB2312"/>
                                <w:sz w:val="21"/>
                                <w:szCs w:val="21"/>
                              </w:rPr>
                              <w:t>加快光纤陀螺用多功能集成光学器件、</w:t>
                            </w:r>
                            <w:r>
                              <w:rPr>
                                <w:rFonts w:ascii="楷体_GB2312" w:eastAsia="楷体_GB2312" w:cs="仿宋_GB2312"/>
                                <w:sz w:val="21"/>
                                <w:szCs w:val="21"/>
                              </w:rPr>
                              <w:t>EMS(</w:t>
                            </w:r>
                            <w:r>
                              <w:rPr>
                                <w:rFonts w:hint="eastAsia" w:ascii="楷体_GB2312" w:eastAsia="楷体_GB2312" w:cs="仿宋_GB2312"/>
                                <w:sz w:val="21"/>
                                <w:szCs w:val="21"/>
                              </w:rPr>
                              <w:t>发动机电子参数系统）、通用航空电子指示仪表的研发技术平台。</w:t>
                            </w:r>
                            <w:r>
                              <w:rPr>
                                <w:rFonts w:hint="eastAsia" w:ascii="楷体_GB2312" w:eastAsia="楷体_GB2312" w:cs="仿宋_GB2312"/>
                                <w:b/>
                                <w:sz w:val="21"/>
                                <w:szCs w:val="21"/>
                              </w:rPr>
                              <w:t>现代农业科技平台</w:t>
                            </w:r>
                            <w:r>
                              <w:rPr>
                                <w:rFonts w:hint="eastAsia" w:ascii="楷体_GB2312" w:eastAsia="楷体_GB2312" w:cs="仿宋_GB2312"/>
                                <w:sz w:val="21"/>
                                <w:szCs w:val="21"/>
                              </w:rPr>
                              <w:t>：</w:t>
                            </w:r>
                            <w:r>
                              <w:rPr>
                                <w:rFonts w:ascii="楷体_GB2312" w:eastAsia="楷体_GB2312" w:cs="仿宋_GB2312"/>
                                <w:sz w:val="21"/>
                                <w:szCs w:val="21"/>
                              </w:rPr>
                              <w:t>加强农业技术集成和配套，突破主要农作物育种和高效生产、畜牧育种及健康养殖和疫病控制关键技术，开展生物技术应用开发。</w:t>
                            </w:r>
                          </w:p>
                        </w:txbxContent>
                      </wps:txbx>
                      <wps:bodyPr wrap="square" upright="1"/>
                    </wps:wsp>
                  </a:graphicData>
                </a:graphic>
              </wp:anchor>
            </w:drawing>
          </mc:Choice>
          <mc:Fallback>
            <w:pict>
              <v:shape id="文本框 2" o:spid="_x0000_s1026" o:spt="202" type="#_x0000_t202" style="position:absolute;left:0pt;margin-left:1.2pt;margin-top:169.85pt;height:226.2pt;width:435.15pt;mso-wrap-distance-left:9pt;mso-wrap-distance-right:9pt;z-index:-251581440;mso-width-relative:margin;mso-height-relative:margin;" fillcolor="#FFFFFF" filled="t" stroked="t" coordsize="21600,21600" wrapcoords="-37 -72 -37 21600 21637 21600 21637 -72 -37 -72" o:gfxdata="UEsDBAoAAAAAAIdO4kAAAAAAAAAAAAAAAAAEAAAAZHJzL1BLAwQUAAAACACHTuJAGIPletkAAAAJ&#10;AQAADwAAAGRycy9kb3ducmV2LnhtbE2PS0/DMBCE70j8B2uRuCDqPKrmQTY9IIHgRgtqr27sJhF+&#10;BNtNy79nOcFtVjOa+bZZX4xms/JhdBYhXSTAlO2cHG2P8PH+dF8CC1FYKbSzCuFbBVi311eNqKU7&#10;242at7FnVGJDLRCGGKea89ANyoiwcJOy5B2dNyLS6XsuvThTudE8S5IVN2K0tDCIST0OqvvcngxC&#10;uXyZ9+E1f9t1q6Ou4l0xP395xNubNHkAFtUl/oXhF5/QoSWmgztZGZhGyJYURMjzqgBGfllkJA4I&#10;RZWlwNuG//+g/QFQSwMEFAAAAAgAh07iQIQWKpcYAgAARgQAAA4AAABkcnMvZTJvRG9jLnhtbK1T&#10;zY7TMBC+I/EOlu802Wi7XaKmK0EpFwRICw8wtZ3Ekv+w3SZ9AXgDTly481x9jh273e4PHHogB2ds&#10;j7+Z75uZ+c2oFdkKH6Q1Db2YlJQIwyyXpmvo1y+rV9eUhAiGg7JGNHQnAr1ZvHwxH1wtKttbxYUn&#10;CGJCPbiG9jG6uigC64WGMLFOGLxsrdcQceu7gnsYEF2roirLq2KwnjtvmQgBT5eHS3pE9OcA2raV&#10;TCwt22hh4gHVCwURKYVeukAXOdu2FSx+atsgIlENRaYxrxgE7XVai8Uc6s6D6yU7pgDnpPCMkwZp&#10;MOgJagkRyMbLv6C0ZN4G28YJs7o4EMmKIIuL8pk2tz04kbmg1MGdRA//D5Z93H72RPKGzqaUGNBY&#10;8f3PH/tff/a/v5Mq6TO4UKPbrUPHOL6xI3bN/XnAw0R7bL1OfyRE8B7V3Z3UFWMkDA+n0+rqssQo&#10;DO+q61k1u8z6Fw/PnQ/xvbCaJKOhHsuXVYXthxAxFXS9d0nRglWSr6RSeeO79VvlyRaw1Kv8pSzx&#10;yRM3ZcjQ0NfTKiUC2L8t9g2a2qEGwXQ53pMX4TFwmb9/AafElhD6QwIZIblBrWUUPlu9AP7OcBJ3&#10;DmU2OF40JaMFp0QJnMZkZc8IUp3jieyUQZKpRodaJCuO6xFhkrm2fId1G7DDkd63DXiMuXFedj0K&#10;nOuYH2N7Za2Oo5D69/E+h3gY/8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IPletkAAAAJAQAA&#10;DwAAAAAAAAABACAAAAAiAAAAZHJzL2Rvd25yZXYueG1sUEsBAhQAFAAAAAgAh07iQIQWKpcYAgAA&#10;RgQAAA4AAAAAAAAAAQAgAAAAKAEAAGRycy9lMm9Eb2MueG1sUEsFBgAAAAAGAAYAWQEAALIFAAAA&#10;AA==&#10;">
                <v:fill on="t" focussize="0,0"/>
                <v:stroke color="#000000" joinstyle="miter"/>
                <v:imagedata o:title=""/>
                <o:lock v:ext="edit" aspectratio="f"/>
                <v:textbox>
                  <w:txbxContent>
                    <w:p>
                      <w:pPr>
                        <w:spacing w:after="0" w:line="300" w:lineRule="exact"/>
                        <w:rPr>
                          <w:rFonts w:hint="eastAsia" w:ascii="黑体" w:eastAsia="黑体" w:cs="仿宋_GB2312"/>
                          <w:b/>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4</w:t>
                      </w:r>
                    </w:p>
                    <w:p>
                      <w:pPr>
                        <w:spacing w:after="0" w:line="300" w:lineRule="exact"/>
                        <w:jc w:val="center"/>
                        <w:rPr>
                          <w:rFonts w:ascii="楷体_GB2312" w:eastAsia="楷体_GB2312" w:cs="仿宋_GB2312"/>
                          <w:b/>
                          <w:bCs/>
                          <w:sz w:val="21"/>
                          <w:szCs w:val="21"/>
                        </w:rPr>
                      </w:pPr>
                      <w:r>
                        <w:rPr>
                          <w:rFonts w:hint="eastAsia" w:ascii="黑体" w:eastAsia="黑体" w:cs="仿宋_GB2312"/>
                          <w:b/>
                          <w:sz w:val="21"/>
                          <w:szCs w:val="21"/>
                        </w:rPr>
                        <w:t>产业技术平台建设重点</w:t>
                      </w:r>
                    </w:p>
                    <w:p>
                      <w:pPr>
                        <w:spacing w:after="0" w:line="300" w:lineRule="exact"/>
                        <w:ind w:firstLine="527" w:firstLineChars="250"/>
                      </w:pPr>
                      <w:r>
                        <w:rPr>
                          <w:rFonts w:hint="eastAsia" w:ascii="楷体_GB2312" w:eastAsia="楷体_GB2312" w:cs="仿宋_GB2312"/>
                          <w:b/>
                          <w:bCs/>
                          <w:sz w:val="21"/>
                          <w:szCs w:val="21"/>
                        </w:rPr>
                        <w:t>汽车制造技术关键技术研发平台：</w:t>
                      </w:r>
                      <w:r>
                        <w:rPr>
                          <w:rFonts w:hint="eastAsia" w:ascii="楷体_GB2312" w:eastAsia="楷体_GB2312" w:cs="仿宋_GB2312"/>
                          <w:sz w:val="21"/>
                          <w:szCs w:val="21"/>
                        </w:rPr>
                        <w:t>围绕发动机、自动变速器、减振器、制动系统、汽车传感器、安全控制系统、车桥系列产品、汽车电喷节流阀体总成、汽车零件模具等的研发，建立完整的产品研发、生产制造、检测调试、市场营销技术平台。</w:t>
                      </w:r>
                      <w:r>
                        <w:rPr>
                          <w:rFonts w:hint="eastAsia" w:ascii="楷体_GB2312" w:eastAsia="楷体_GB2312" w:cs="仿宋_GB2312"/>
                          <w:b/>
                          <w:bCs/>
                          <w:sz w:val="21"/>
                          <w:szCs w:val="21"/>
                        </w:rPr>
                        <w:t>钛及钛合金新材料研发平台：</w:t>
                      </w:r>
                      <w:r>
                        <w:rPr>
                          <w:rFonts w:hint="eastAsia" w:ascii="楷体_GB2312" w:eastAsia="楷体_GB2312" w:cs="仿宋_GB2312"/>
                          <w:sz w:val="21"/>
                          <w:szCs w:val="21"/>
                        </w:rPr>
                        <w:t>建立电子束冷床炉熔炼钛及钛合金、</w:t>
                      </w:r>
                      <w:r>
                        <w:rPr>
                          <w:rFonts w:ascii="楷体_GB2312" w:eastAsia="楷体_GB2312" w:cs="仿宋_GB2312"/>
                          <w:sz w:val="21"/>
                          <w:szCs w:val="21"/>
                        </w:rPr>
                        <w:t>3D</w:t>
                      </w:r>
                      <w:r>
                        <w:rPr>
                          <w:rFonts w:hint="eastAsia" w:ascii="楷体_GB2312" w:eastAsia="楷体_GB2312" w:cs="仿宋_GB2312"/>
                          <w:sz w:val="21"/>
                          <w:szCs w:val="21"/>
                        </w:rPr>
                        <w:t>打印钛及钛合金粉末高质量表面加工、组织均匀性控制、钛合金残料制取新型材料、大规格板材轧制、棒材锻造工艺、超薄超细特异形材料等产品的研发平台。</w:t>
                      </w:r>
                      <w:r>
                        <w:rPr>
                          <w:rFonts w:hint="eastAsia" w:ascii="楷体_GB2312" w:eastAsia="楷体_GB2312" w:cs="仿宋_GB2312"/>
                          <w:b/>
                          <w:bCs/>
                          <w:sz w:val="21"/>
                          <w:szCs w:val="21"/>
                        </w:rPr>
                        <w:t>石油装备自主创新平台：</w:t>
                      </w:r>
                      <w:r>
                        <w:rPr>
                          <w:rFonts w:hint="eastAsia" w:ascii="楷体_GB2312" w:eastAsia="楷体_GB2312" w:cs="仿宋_GB2312"/>
                          <w:sz w:val="21"/>
                          <w:szCs w:val="21"/>
                        </w:rPr>
                        <w:t>以海洋、海外石油钻井平台为重点，建立自主创新平台。</w:t>
                      </w:r>
                      <w:r>
                        <w:rPr>
                          <w:rFonts w:hint="eastAsia" w:ascii="楷体_GB2312" w:eastAsia="楷体_GB2312" w:cs="仿宋_GB2312"/>
                          <w:b/>
                          <w:bCs/>
                          <w:sz w:val="21"/>
                          <w:szCs w:val="21"/>
                        </w:rPr>
                        <w:t>机床工具制造工艺研发平台：</w:t>
                      </w:r>
                      <w:r>
                        <w:rPr>
                          <w:rFonts w:hint="eastAsia" w:ascii="楷体_GB2312" w:eastAsia="楷体_GB2312" w:cs="仿宋_GB2312"/>
                          <w:sz w:val="21"/>
                          <w:szCs w:val="21"/>
                        </w:rPr>
                        <w:t>建立高精尖的关键技术、关键制造工艺、新产品研发平台。</w:t>
                      </w:r>
                      <w:r>
                        <w:rPr>
                          <w:rFonts w:hint="eastAsia" w:ascii="楷体_GB2312" w:eastAsia="楷体_GB2312" w:cs="仿宋_GB2312"/>
                          <w:b/>
                          <w:sz w:val="21"/>
                          <w:szCs w:val="21"/>
                        </w:rPr>
                        <w:t>轨道交通</w:t>
                      </w:r>
                      <w:r>
                        <w:rPr>
                          <w:rFonts w:ascii="楷体_GB2312" w:eastAsia="楷体_GB2312" w:cs="仿宋_GB2312"/>
                          <w:b/>
                          <w:sz w:val="21"/>
                          <w:szCs w:val="21"/>
                        </w:rPr>
                        <w:t>250</w:t>
                      </w:r>
                      <w:r>
                        <w:rPr>
                          <w:rFonts w:hint="eastAsia" w:ascii="楷体_GB2312" w:eastAsia="楷体_GB2312" w:cs="仿宋_GB2312"/>
                          <w:b/>
                          <w:sz w:val="21"/>
                          <w:szCs w:val="21"/>
                        </w:rPr>
                        <w:t>公里以上研发平台</w:t>
                      </w:r>
                      <w:r>
                        <w:rPr>
                          <w:rFonts w:hint="eastAsia" w:ascii="楷体_GB2312" w:eastAsia="楷体_GB2312" w:cs="仿宋_GB2312"/>
                          <w:sz w:val="21"/>
                          <w:szCs w:val="21"/>
                        </w:rPr>
                        <w:t>：时速</w:t>
                      </w:r>
                      <w:r>
                        <w:rPr>
                          <w:rFonts w:ascii="楷体_GB2312" w:eastAsia="楷体_GB2312" w:cs="仿宋_GB2312"/>
                          <w:sz w:val="21"/>
                          <w:szCs w:val="21"/>
                        </w:rPr>
                        <w:t>250</w:t>
                      </w:r>
                      <w:r>
                        <w:rPr>
                          <w:rFonts w:hint="eastAsia" w:ascii="楷体_GB2312" w:eastAsia="楷体_GB2312" w:cs="仿宋_GB2312"/>
                          <w:sz w:val="21"/>
                          <w:szCs w:val="21"/>
                        </w:rPr>
                        <w:t>和</w:t>
                      </w:r>
                      <w:r>
                        <w:rPr>
                          <w:rFonts w:ascii="楷体_GB2312" w:eastAsia="楷体_GB2312" w:cs="仿宋_GB2312"/>
                          <w:sz w:val="21"/>
                          <w:szCs w:val="21"/>
                        </w:rPr>
                        <w:t>350</w:t>
                      </w:r>
                      <w:r>
                        <w:rPr>
                          <w:rFonts w:hint="eastAsia" w:ascii="楷体_GB2312" w:eastAsia="楷体_GB2312" w:cs="仿宋_GB2312"/>
                          <w:sz w:val="21"/>
                          <w:szCs w:val="21"/>
                        </w:rPr>
                        <w:t>公里道岔和适应</w:t>
                      </w:r>
                      <w:r>
                        <w:rPr>
                          <w:rFonts w:ascii="楷体_GB2312" w:eastAsia="楷体_GB2312" w:cs="仿宋_GB2312"/>
                          <w:sz w:val="21"/>
                          <w:szCs w:val="21"/>
                        </w:rPr>
                        <w:t>2</w:t>
                      </w:r>
                      <w:r>
                        <w:rPr>
                          <w:rFonts w:hint="eastAsia" w:ascii="楷体_GB2312" w:eastAsia="楷体_GB2312" w:cs="仿宋_GB2312"/>
                          <w:sz w:val="21"/>
                          <w:szCs w:val="21"/>
                        </w:rPr>
                        <w:t>万吨级重载线路运营要求的重载系列道岔，研究、开发满足市场需要的地铁道岔、中低速磁浮道岔系列产品。</w:t>
                      </w:r>
                      <w:r>
                        <w:rPr>
                          <w:rFonts w:hint="eastAsia" w:ascii="楷体_GB2312" w:eastAsia="楷体_GB2312" w:cs="仿宋_GB2312"/>
                          <w:b/>
                          <w:sz w:val="21"/>
                          <w:szCs w:val="21"/>
                        </w:rPr>
                        <w:t>航空航天：</w:t>
                      </w:r>
                      <w:r>
                        <w:rPr>
                          <w:rFonts w:hint="eastAsia" w:ascii="楷体_GB2312" w:eastAsia="楷体_GB2312" w:cs="仿宋_GB2312"/>
                          <w:sz w:val="21"/>
                          <w:szCs w:val="21"/>
                        </w:rPr>
                        <w:t>加快光纤陀螺用多功能集成光学器件、</w:t>
                      </w:r>
                      <w:r>
                        <w:rPr>
                          <w:rFonts w:ascii="楷体_GB2312" w:eastAsia="楷体_GB2312" w:cs="仿宋_GB2312"/>
                          <w:sz w:val="21"/>
                          <w:szCs w:val="21"/>
                        </w:rPr>
                        <w:t>EMS(</w:t>
                      </w:r>
                      <w:r>
                        <w:rPr>
                          <w:rFonts w:hint="eastAsia" w:ascii="楷体_GB2312" w:eastAsia="楷体_GB2312" w:cs="仿宋_GB2312"/>
                          <w:sz w:val="21"/>
                          <w:szCs w:val="21"/>
                        </w:rPr>
                        <w:t>发动机电子参数系统）、通用航空电子指示仪表的研发技术平台。</w:t>
                      </w:r>
                      <w:r>
                        <w:rPr>
                          <w:rFonts w:hint="eastAsia" w:ascii="楷体_GB2312" w:eastAsia="楷体_GB2312" w:cs="仿宋_GB2312"/>
                          <w:b/>
                          <w:sz w:val="21"/>
                          <w:szCs w:val="21"/>
                        </w:rPr>
                        <w:t>现代农业科技平台</w:t>
                      </w:r>
                      <w:r>
                        <w:rPr>
                          <w:rFonts w:hint="eastAsia" w:ascii="楷体_GB2312" w:eastAsia="楷体_GB2312" w:cs="仿宋_GB2312"/>
                          <w:sz w:val="21"/>
                          <w:szCs w:val="21"/>
                        </w:rPr>
                        <w:t>：</w:t>
                      </w:r>
                      <w:r>
                        <w:rPr>
                          <w:rFonts w:ascii="楷体_GB2312" w:eastAsia="楷体_GB2312" w:cs="仿宋_GB2312"/>
                          <w:sz w:val="21"/>
                          <w:szCs w:val="21"/>
                        </w:rPr>
                        <w:t>加强农业技术集成和配套，突破主要农作物育种和高效生产、畜牧育种及健康养殖和疫病控制关键技术，开展生物技术应用开发。</w:t>
                      </w:r>
                    </w:p>
                  </w:txbxContent>
                </v:textbox>
                <w10:wrap type="tight"/>
              </v:shape>
            </w:pict>
          </mc:Fallback>
        </mc:AlternateContent>
      </w:r>
      <w:r>
        <w:rPr>
          <w:rFonts w:ascii="楷体_GB2312" w:eastAsia="楷体_GB2312"/>
          <w:b/>
          <w:sz w:val="32"/>
          <w:szCs w:val="32"/>
        </w:rPr>
        <w:t xml:space="preserve">    </w:t>
      </w:r>
      <w:r>
        <w:rPr>
          <w:rFonts w:hint="eastAsia" w:ascii="仿宋_GB2312" w:eastAsia="仿宋_GB2312"/>
          <w:sz w:val="32"/>
          <w:szCs w:val="32"/>
        </w:rPr>
        <w:t>支持国家级、省级企业技术中心、工程中心、工程技术研究中心的建设，提高技术创新能力。围绕汽车制造、钛及钛合金、石油装备、机床工具、轨道交通、航空航天等产业领域核心关键技术，大力推动共性技术平台建设，为创新活动提供优质服务。</w:t>
      </w:r>
    </w:p>
    <w:p>
      <w:pPr>
        <w:widowControl w:val="0"/>
        <w:spacing w:after="0" w:line="600" w:lineRule="exact"/>
        <w:jc w:val="center"/>
        <w:rPr>
          <w:rFonts w:hint="eastAsia" w:ascii="楷体_GB2312" w:eastAsia="楷体_GB2312"/>
          <w:b/>
          <w:sz w:val="32"/>
          <w:szCs w:val="32"/>
        </w:rPr>
      </w:pPr>
      <w:r>
        <w:rPr>
          <w:rFonts w:hint="eastAsia" w:ascii="楷体_GB2312" w:eastAsia="楷体_GB2312"/>
          <w:b/>
          <w:sz w:val="32"/>
          <w:szCs w:val="32"/>
        </w:rPr>
        <w:t>第三节  建立企业技术创新主体机制</w:t>
      </w:r>
    </w:p>
    <w:p>
      <w:pPr>
        <w:widowControl w:val="0"/>
        <w:spacing w:after="0" w:line="590" w:lineRule="exact"/>
        <w:ind w:firstLine="640" w:firstLineChars="200"/>
        <w:jc w:val="both"/>
        <w:rPr>
          <w:rFonts w:hint="eastAsia" w:ascii="仿宋_GB2312" w:eastAsia="仿宋_GB2312"/>
          <w:sz w:val="32"/>
          <w:szCs w:val="32"/>
        </w:rPr>
      </w:pPr>
      <w:r>
        <w:rPr>
          <w:rFonts w:hint="eastAsia" w:ascii="仿宋_GB2312" w:eastAsia="仿宋_GB2312"/>
          <w:sz w:val="32"/>
          <w:szCs w:val="32"/>
        </w:rPr>
        <mc:AlternateContent>
          <mc:Choice Requires="wps">
            <w:drawing>
              <wp:anchor distT="45720" distB="45720" distL="114300" distR="114300" simplePos="0" relativeHeight="251692032" behindDoc="1" locked="0" layoutInCell="1" allowOverlap="1">
                <wp:simplePos x="0" y="0"/>
                <wp:positionH relativeFrom="column">
                  <wp:posOffset>19685</wp:posOffset>
                </wp:positionH>
                <wp:positionV relativeFrom="paragraph">
                  <wp:posOffset>4599305</wp:posOffset>
                </wp:positionV>
                <wp:extent cx="5520055" cy="4116070"/>
                <wp:effectExtent l="4445" t="4445" r="19050" b="13335"/>
                <wp:wrapTight wrapText="bothSides">
                  <wp:wrapPolygon>
                    <wp:start x="-37" y="-50"/>
                    <wp:lineTo x="-37" y="21600"/>
                    <wp:lineTo x="21637" y="21600"/>
                    <wp:lineTo x="21637" y="-50"/>
                    <wp:lineTo x="-37" y="-50"/>
                  </wp:wrapPolygon>
                </wp:wrapTight>
                <wp:docPr id="33" name="文本框 2"/>
                <wp:cNvGraphicFramePr/>
                <a:graphic xmlns:a="http://schemas.openxmlformats.org/drawingml/2006/main">
                  <a:graphicData uri="http://schemas.microsoft.com/office/word/2010/wordprocessingShape">
                    <wps:wsp>
                      <wps:cNvSpPr txBox="1"/>
                      <wps:spPr>
                        <a:xfrm>
                          <a:off x="0" y="0"/>
                          <a:ext cx="5520055" cy="411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eastAsia="黑体" w:cs="仿宋_GB2312"/>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5</w:t>
                            </w:r>
                          </w:p>
                          <w:p>
                            <w:pPr>
                              <w:spacing w:after="0" w:line="300" w:lineRule="exact"/>
                              <w:jc w:val="center"/>
                              <w:rPr>
                                <w:rFonts w:hint="eastAsia" w:ascii="楷体_GB2312" w:eastAsia="楷体_GB2312" w:cs="仿宋_GB2312"/>
                                <w:b/>
                                <w:bCs/>
                                <w:sz w:val="21"/>
                                <w:szCs w:val="21"/>
                              </w:rPr>
                            </w:pPr>
                            <w:r>
                              <w:rPr>
                                <w:rFonts w:hint="eastAsia" w:ascii="黑体" w:eastAsia="黑体" w:cs="仿宋_GB2312"/>
                                <w:b/>
                                <w:sz w:val="21"/>
                                <w:szCs w:val="21"/>
                              </w:rPr>
                              <w:t>科技创新十大工程</w:t>
                            </w:r>
                          </w:p>
                          <w:p>
                            <w:pPr>
                              <w:widowControl w:val="0"/>
                              <w:spacing w:after="0" w:line="280" w:lineRule="exact"/>
                              <w:ind w:firstLine="527" w:firstLineChars="250"/>
                            </w:pPr>
                            <w:r>
                              <w:rPr>
                                <w:rFonts w:hint="eastAsia" w:ascii="楷体_GB2312" w:eastAsia="楷体_GB2312" w:cs="仿宋_GB2312"/>
                                <w:b/>
                                <w:bCs/>
                                <w:sz w:val="21"/>
                                <w:szCs w:val="21"/>
                              </w:rPr>
                              <w:t>实施企业技术创新工程。</w:t>
                            </w:r>
                            <w:r>
                              <w:rPr>
                                <w:rFonts w:hint="eastAsia" w:ascii="楷体_GB2312" w:eastAsia="楷体_GB2312" w:cs="仿宋_GB2312"/>
                                <w:bCs/>
                                <w:sz w:val="21"/>
                                <w:szCs w:val="21"/>
                              </w:rPr>
                              <w:t>构建以国际化大企业、大集团为核心的创新企业体系，打造一批拥有核心技术和自主品牌，产值超百亿的龙头企业，培育引导一批“专、精、特、新”的高成长性中小企业，延伸产业链。</w:t>
                            </w:r>
                            <w:r>
                              <w:rPr>
                                <w:rFonts w:hint="eastAsia" w:ascii="楷体_GB2312" w:eastAsia="楷体_GB2312" w:cs="仿宋_GB2312"/>
                                <w:b/>
                                <w:bCs/>
                                <w:sz w:val="21"/>
                                <w:szCs w:val="21"/>
                              </w:rPr>
                              <w:t>实施产业集群创新工程。</w:t>
                            </w:r>
                            <w:r>
                              <w:rPr>
                                <w:rFonts w:hint="eastAsia" w:ascii="楷体_GB2312" w:eastAsia="楷体_GB2312" w:cs="仿宋_GB2312"/>
                                <w:bCs/>
                                <w:sz w:val="21"/>
                                <w:szCs w:val="21"/>
                              </w:rPr>
                              <w:t>组织实施重大科技项目，主攻产业重大关键共性技术，开发新产品，提升石油装备、汽车制造、机床装备、轨道交通、石油钻采设备、钛及钛合金等重点产业的技术水平。</w:t>
                            </w:r>
                            <w:r>
                              <w:rPr>
                                <w:rFonts w:hint="eastAsia" w:ascii="楷体_GB2312" w:eastAsia="楷体_GB2312" w:cs="仿宋_GB2312"/>
                                <w:b/>
                                <w:bCs/>
                                <w:sz w:val="21"/>
                                <w:szCs w:val="21"/>
                              </w:rPr>
                              <w:t>实施战略性新兴产业创新工程</w:t>
                            </w:r>
                            <w:r>
                              <w:rPr>
                                <w:rFonts w:hint="eastAsia" w:ascii="楷体_GB2312" w:hAnsi="楷体_GB2312" w:eastAsia="楷体_GB2312" w:cs="楷体_GB2312"/>
                                <w:b/>
                                <w:bCs/>
                                <w:sz w:val="21"/>
                                <w:szCs w:val="21"/>
                              </w:rPr>
                              <w:t>。</w:t>
                            </w:r>
                            <w:r>
                              <w:rPr>
                                <w:rFonts w:hint="eastAsia" w:ascii="楷体_GB2312" w:hAnsi="楷体_GB2312" w:eastAsia="楷体_GB2312" w:cs="楷体_GB2312"/>
                                <w:bCs/>
                                <w:sz w:val="21"/>
                                <w:szCs w:val="21"/>
                              </w:rPr>
                              <w:t>加快建设航空安全装备产业园，培育发展节能环保、新能源汽车、物联网智能信息等技术，形成新的经济增长点。</w:t>
                            </w:r>
                            <w:r>
                              <w:rPr>
                                <w:rFonts w:hint="eastAsia" w:ascii="楷体_GB2312" w:eastAsia="楷体_GB2312" w:cs="仿宋_GB2312"/>
                                <w:b/>
                                <w:bCs/>
                                <w:sz w:val="21"/>
                                <w:szCs w:val="21"/>
                              </w:rPr>
                              <w:t>实施科技资源统筹创新工程。</w:t>
                            </w:r>
                            <w:r>
                              <w:rPr>
                                <w:rFonts w:hint="eastAsia" w:ascii="楷体_GB2312" w:eastAsia="楷体_GB2312" w:cs="仿宋_GB2312"/>
                                <w:bCs/>
                                <w:sz w:val="21"/>
                                <w:szCs w:val="21"/>
                              </w:rPr>
                              <w:t>完善科技资源共享体系，加快建设宝鸡科技创新服务中心，建立区域联动的科技资源共享体系。深化产权制度改革，制定《宝鸡市科技资源共享条例》。</w:t>
                            </w:r>
                            <w:r>
                              <w:rPr>
                                <w:rFonts w:hint="eastAsia" w:ascii="楷体_GB2312" w:eastAsia="楷体_GB2312" w:cs="仿宋_GB2312"/>
                                <w:b/>
                                <w:bCs/>
                                <w:sz w:val="21"/>
                                <w:szCs w:val="21"/>
                              </w:rPr>
                              <w:t>实施生产性服务业创新工程。</w:t>
                            </w:r>
                            <w:r>
                              <w:rPr>
                                <w:rFonts w:hint="eastAsia" w:ascii="楷体_GB2312" w:eastAsia="楷体_GB2312" w:cs="仿宋_GB2312"/>
                                <w:bCs/>
                                <w:sz w:val="21"/>
                                <w:szCs w:val="21"/>
                              </w:rPr>
                              <w:t>推进现代物流、科技研发、金融保险和商务服务等生产性服务业与现代信息技术的融合发展。</w:t>
                            </w:r>
                            <w:r>
                              <w:rPr>
                                <w:rFonts w:hint="eastAsia" w:ascii="楷体_GB2312" w:eastAsia="楷体_GB2312" w:cs="仿宋_GB2312"/>
                                <w:b/>
                                <w:bCs/>
                                <w:sz w:val="21"/>
                                <w:szCs w:val="21"/>
                              </w:rPr>
                              <w:t>实施科技惠民示范工程。</w:t>
                            </w:r>
                            <w:r>
                              <w:rPr>
                                <w:rFonts w:hint="eastAsia" w:ascii="楷体_GB2312" w:eastAsia="楷体_GB2312" w:cs="仿宋_GB2312"/>
                                <w:bCs/>
                                <w:sz w:val="21"/>
                                <w:szCs w:val="21"/>
                              </w:rPr>
                              <w:t>以高新技术带动传统农业产业升级，重点发展应用节能减排技术、清洁生产技术、绿色环保技术、灾害预警和安防技术，让科学技术广泛惠及民众。</w:t>
                            </w:r>
                            <w:r>
                              <w:rPr>
                                <w:rFonts w:hint="eastAsia" w:ascii="楷体_GB2312" w:eastAsia="楷体_GB2312" w:cs="仿宋_GB2312"/>
                                <w:b/>
                                <w:bCs/>
                                <w:sz w:val="21"/>
                                <w:szCs w:val="21"/>
                              </w:rPr>
                              <w:t>实施知识产权创造运用工程。</w:t>
                            </w:r>
                            <w:r>
                              <w:rPr>
                                <w:rFonts w:hint="eastAsia" w:ascii="楷体_GB2312" w:eastAsia="楷体_GB2312" w:cs="仿宋_GB2312"/>
                                <w:sz w:val="21"/>
                                <w:szCs w:val="21"/>
                              </w:rPr>
                              <w:t>重视知识产权在推动企业重组、品牌提升、产业化运用和促进转型升级中的作用，推动“宝鸡制造”向“宝鸡创造”转变，努力建设一流的知识产权强市，提升企业与区域经济竞争力。</w:t>
                            </w:r>
                            <w:r>
                              <w:rPr>
                                <w:rFonts w:hint="eastAsia" w:ascii="楷体_GB2312" w:eastAsia="楷体_GB2312" w:cs="仿宋_GB2312"/>
                                <w:b/>
                                <w:bCs/>
                                <w:sz w:val="21"/>
                                <w:szCs w:val="21"/>
                              </w:rPr>
                              <w:t>实施新一代信息技术应用培育工程。</w:t>
                            </w:r>
                            <w:r>
                              <w:rPr>
                                <w:rFonts w:hint="eastAsia" w:ascii="楷体_GB2312" w:eastAsia="楷体_GB2312" w:cs="仿宋_GB2312"/>
                                <w:bCs/>
                                <w:sz w:val="21"/>
                                <w:szCs w:val="21"/>
                              </w:rPr>
                              <w:t>加快发展新一代信息技术产业，加强电子信息元器件、信息网络、信息服务和软件等产品开发，推动物联网、云计算、移动互联网、新一代移动通信等新兴业态的发展。</w:t>
                            </w:r>
                            <w:r>
                              <w:rPr>
                                <w:rFonts w:hint="eastAsia" w:ascii="楷体_GB2312" w:eastAsia="楷体_GB2312" w:cs="仿宋_GB2312"/>
                                <w:b/>
                                <w:bCs/>
                                <w:sz w:val="21"/>
                                <w:szCs w:val="21"/>
                              </w:rPr>
                              <w:t>实施军民融合创新促进工程。</w:t>
                            </w:r>
                            <w:r>
                              <w:rPr>
                                <w:rFonts w:hint="eastAsia" w:ascii="楷体_GB2312" w:eastAsia="楷体_GB2312" w:cs="仿宋_GB2312"/>
                                <w:bCs/>
                                <w:sz w:val="21"/>
                                <w:szCs w:val="21"/>
                              </w:rPr>
                              <w:t>探索建立军民融合的基础设施资源共享体系、科技协同创新体系，加快形成军民融合深度发展格局。</w:t>
                            </w:r>
                            <w:r>
                              <w:rPr>
                                <w:rFonts w:hint="eastAsia" w:ascii="楷体_GB2312" w:eastAsia="楷体_GB2312" w:cs="仿宋_GB2312"/>
                                <w:b/>
                                <w:bCs/>
                                <w:sz w:val="21"/>
                                <w:szCs w:val="21"/>
                              </w:rPr>
                              <w:t>实施创新人才聚集提升工程。</w:t>
                            </w:r>
                            <w:r>
                              <w:rPr>
                                <w:rFonts w:hint="eastAsia" w:ascii="楷体_GB2312" w:eastAsia="楷体_GB2312" w:cs="仿宋_GB2312"/>
                                <w:sz w:val="21"/>
                                <w:szCs w:val="21"/>
                              </w:rPr>
                              <w:t>实施科教兴市和人才强市战略，优先发展教育事业，发挥洼地效应，打造人才高地，引进、培养和聚集一批高层次创新人才，全面加强各类专业技能人才队伍建设，为创新驱动发展提供人才支撑。</w:t>
                            </w:r>
                          </w:p>
                        </w:txbxContent>
                      </wps:txbx>
                      <wps:bodyPr wrap="square" upright="1"/>
                    </wps:wsp>
                  </a:graphicData>
                </a:graphic>
              </wp:anchor>
            </w:drawing>
          </mc:Choice>
          <mc:Fallback>
            <w:pict>
              <v:shape id="文本框 2" o:spid="_x0000_s1026" o:spt="202" type="#_x0000_t202" style="position:absolute;left:0pt;margin-left:1.55pt;margin-top:362.15pt;height:324.1pt;width:434.65pt;mso-wrap-distance-left:9pt;mso-wrap-distance-right:9pt;z-index:-251624448;mso-width-relative:margin;mso-height-relative:margin;" fillcolor="#FFFFFF" filled="t" stroked="t" coordsize="21600,21600" wrapcoords="-37 -50 -37 21600 21637 21600 21637 -50 -37 -50" o:gfxdata="UEsDBAoAAAAAAIdO4kAAAAAAAAAAAAAAAAAEAAAAZHJzL1BLAwQUAAAACACHTuJANaeKttkAAAAK&#10;AQAADwAAAGRycy9kb3ducmV2LnhtbE2PTU/DMAyG70j8h8hIXBBLP8ZaStMdkEBwGwPBNWu8tqJx&#10;SpJ1499jTnCz9T56/bhen+woZvRhcKQgXSQgkFpnBuoUvL0+XJcgQtRk9OgIFXxjgHVzflbryrgj&#10;veC8jZ3gEgqVVtDHOFVShrZHq8PCTUic7Z23OvLqO2m8PnK5HWWWJCtp9UB8odcT3vfYfm4PVkG5&#10;fJo/wnO+eW9X+/E2XhXz45dX6vIiTe5ARDzFPxh+9VkdGnbauQOZIEYFecqggiJb5iA4L3kCsWMw&#10;L7IbkE0t/7/Q/ABQSwMEFAAAAAgAh07iQLdEObcYAgAARgQAAA4AAABkcnMvZTJvRG9jLnhtbK1T&#10;S5LTMBDdU8UdVNozdjJkAFecqYIQNhRQNXCAjizbqtIPtRI7F4AbsGLDnnPlHLSUTOYDiyzwQm5J&#10;rdf9XnfPr0ej2VYGVM7WfHJRciatcI2yXc2/fF49e8kZRrANaGdlzXcS+fXi6ZP54Cs5db3TjQyM&#10;QCxWg695H6OvigJFLw3ghfPS0mXrgoFI29AVTYCB0I0upmV5VQwuND44IRHpdHm45EfEcA6ga1sl&#10;5NKJjZE2HlCD1BCJEvbKI1/kbNtWivixbVFGpmtOTGNeKQjZ67QWizlUXQDfK3FMAc5J4REnA8pS&#10;0BPUEiKwTVB/QRklgkPXxgvhTHEgkhUhFpPykTY3PXiZuZDU6E+i4/+DFR+2nwJTTc0vLzmzYKji&#10;+x/f9z9/7399Y9Okz+CxIrcbT45xfO1G6prbc6TDRHtsg0l/IsTontTdndSVY2SCDmczKv9sxpmg&#10;u+eTyVX5Iutf3D33AeM76QxLRs0DlS+rCtv3GCkVcr11SdHQadWslNZ5E7r1Gx3YFqjUq/ylLOnJ&#10;Azdt2VDzV7NpSgSof1vqGzKNJw3Qdjnegxd4H7jM37+AU2JLwP6QQEZIblAZFWXIVi+heWsbFnee&#10;ZLY0XjwlY2TDmZY0jcnKnhGUPseT2GlLJFONDrVIVhzXI8Ekc+2aHdVtoA4nel83ECjmxgfV9SRw&#10;rmN+TO2VtTqOQurf+/sc4m78F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aeKttkAAAAKAQAA&#10;DwAAAAAAAAABACAAAAAiAAAAZHJzL2Rvd25yZXYueG1sUEsBAhQAFAAAAAgAh07iQLdEObcYAgAA&#10;RgQAAA4AAAAAAAAAAQAgAAAAKAEAAGRycy9lMm9Eb2MueG1sUEsFBgAAAAAGAAYAWQEAALIFAAAA&#10;AA==&#10;">
                <v:fill on="t" focussize="0,0"/>
                <v:stroke color="#000000" joinstyle="miter"/>
                <v:imagedata o:title=""/>
                <o:lock v:ext="edit" aspectratio="f"/>
                <v:textbox>
                  <w:txbxContent>
                    <w:p>
                      <w:pPr>
                        <w:spacing w:after="0" w:line="300" w:lineRule="exact"/>
                        <w:rPr>
                          <w:rFonts w:hint="eastAsia" w:ascii="黑体" w:eastAsia="黑体" w:cs="仿宋_GB2312"/>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5</w:t>
                      </w:r>
                    </w:p>
                    <w:p>
                      <w:pPr>
                        <w:spacing w:after="0" w:line="300" w:lineRule="exact"/>
                        <w:jc w:val="center"/>
                        <w:rPr>
                          <w:rFonts w:hint="eastAsia" w:ascii="楷体_GB2312" w:eastAsia="楷体_GB2312" w:cs="仿宋_GB2312"/>
                          <w:b/>
                          <w:bCs/>
                          <w:sz w:val="21"/>
                          <w:szCs w:val="21"/>
                        </w:rPr>
                      </w:pPr>
                      <w:r>
                        <w:rPr>
                          <w:rFonts w:hint="eastAsia" w:ascii="黑体" w:eastAsia="黑体" w:cs="仿宋_GB2312"/>
                          <w:b/>
                          <w:sz w:val="21"/>
                          <w:szCs w:val="21"/>
                        </w:rPr>
                        <w:t>科技创新十大工程</w:t>
                      </w:r>
                    </w:p>
                    <w:p>
                      <w:pPr>
                        <w:widowControl w:val="0"/>
                        <w:spacing w:after="0" w:line="280" w:lineRule="exact"/>
                        <w:ind w:firstLine="527" w:firstLineChars="250"/>
                      </w:pPr>
                      <w:r>
                        <w:rPr>
                          <w:rFonts w:hint="eastAsia" w:ascii="楷体_GB2312" w:eastAsia="楷体_GB2312" w:cs="仿宋_GB2312"/>
                          <w:b/>
                          <w:bCs/>
                          <w:sz w:val="21"/>
                          <w:szCs w:val="21"/>
                        </w:rPr>
                        <w:t>实施企业技术创新工程。</w:t>
                      </w:r>
                      <w:r>
                        <w:rPr>
                          <w:rFonts w:hint="eastAsia" w:ascii="楷体_GB2312" w:eastAsia="楷体_GB2312" w:cs="仿宋_GB2312"/>
                          <w:bCs/>
                          <w:sz w:val="21"/>
                          <w:szCs w:val="21"/>
                        </w:rPr>
                        <w:t>构建以国际化大企业、大集团为核心的创新企业体系，打造一批拥有核心技术和自主品牌，产值超百亿的龙头企业，培育引导一批“专、精、特、新”的高成长性中小企业，延伸产业链。</w:t>
                      </w:r>
                      <w:r>
                        <w:rPr>
                          <w:rFonts w:hint="eastAsia" w:ascii="楷体_GB2312" w:eastAsia="楷体_GB2312" w:cs="仿宋_GB2312"/>
                          <w:b/>
                          <w:bCs/>
                          <w:sz w:val="21"/>
                          <w:szCs w:val="21"/>
                        </w:rPr>
                        <w:t>实施产业集群创新工程。</w:t>
                      </w:r>
                      <w:r>
                        <w:rPr>
                          <w:rFonts w:hint="eastAsia" w:ascii="楷体_GB2312" w:eastAsia="楷体_GB2312" w:cs="仿宋_GB2312"/>
                          <w:bCs/>
                          <w:sz w:val="21"/>
                          <w:szCs w:val="21"/>
                        </w:rPr>
                        <w:t>组织实施重大科技项目，主攻产业重大关键共性技术，开发新产品，提升石油装备、汽车制造、机床装备、轨道交通、石油钻采设备、钛及钛合金等重点产业的技术水平。</w:t>
                      </w:r>
                      <w:r>
                        <w:rPr>
                          <w:rFonts w:hint="eastAsia" w:ascii="楷体_GB2312" w:eastAsia="楷体_GB2312" w:cs="仿宋_GB2312"/>
                          <w:b/>
                          <w:bCs/>
                          <w:sz w:val="21"/>
                          <w:szCs w:val="21"/>
                        </w:rPr>
                        <w:t>实施战略性新兴产业创新工程</w:t>
                      </w:r>
                      <w:r>
                        <w:rPr>
                          <w:rFonts w:hint="eastAsia" w:ascii="楷体_GB2312" w:hAnsi="楷体_GB2312" w:eastAsia="楷体_GB2312" w:cs="楷体_GB2312"/>
                          <w:b/>
                          <w:bCs/>
                          <w:sz w:val="21"/>
                          <w:szCs w:val="21"/>
                        </w:rPr>
                        <w:t>。</w:t>
                      </w:r>
                      <w:r>
                        <w:rPr>
                          <w:rFonts w:hint="eastAsia" w:ascii="楷体_GB2312" w:hAnsi="楷体_GB2312" w:eastAsia="楷体_GB2312" w:cs="楷体_GB2312"/>
                          <w:bCs/>
                          <w:sz w:val="21"/>
                          <w:szCs w:val="21"/>
                        </w:rPr>
                        <w:t>加快建设航空安全装备产业园，培育发展节能环保、新能源汽车、物联网智能信息等技术，形成新的经济增长点。</w:t>
                      </w:r>
                      <w:r>
                        <w:rPr>
                          <w:rFonts w:hint="eastAsia" w:ascii="楷体_GB2312" w:eastAsia="楷体_GB2312" w:cs="仿宋_GB2312"/>
                          <w:b/>
                          <w:bCs/>
                          <w:sz w:val="21"/>
                          <w:szCs w:val="21"/>
                        </w:rPr>
                        <w:t>实施科技资源统筹创新工程。</w:t>
                      </w:r>
                      <w:r>
                        <w:rPr>
                          <w:rFonts w:hint="eastAsia" w:ascii="楷体_GB2312" w:eastAsia="楷体_GB2312" w:cs="仿宋_GB2312"/>
                          <w:bCs/>
                          <w:sz w:val="21"/>
                          <w:szCs w:val="21"/>
                        </w:rPr>
                        <w:t>完善科技资源共享体系，加快建设宝鸡科技创新服务中心，建立区域联动的科技资源共享体系。深化产权制度改革，制定《宝鸡市科技资源共享条例》。</w:t>
                      </w:r>
                      <w:r>
                        <w:rPr>
                          <w:rFonts w:hint="eastAsia" w:ascii="楷体_GB2312" w:eastAsia="楷体_GB2312" w:cs="仿宋_GB2312"/>
                          <w:b/>
                          <w:bCs/>
                          <w:sz w:val="21"/>
                          <w:szCs w:val="21"/>
                        </w:rPr>
                        <w:t>实施生产性服务业创新工程。</w:t>
                      </w:r>
                      <w:r>
                        <w:rPr>
                          <w:rFonts w:hint="eastAsia" w:ascii="楷体_GB2312" w:eastAsia="楷体_GB2312" w:cs="仿宋_GB2312"/>
                          <w:bCs/>
                          <w:sz w:val="21"/>
                          <w:szCs w:val="21"/>
                        </w:rPr>
                        <w:t>推进现代物流、科技研发、金融保险和商务服务等生产性服务业与现代信息技术的融合发展。</w:t>
                      </w:r>
                      <w:r>
                        <w:rPr>
                          <w:rFonts w:hint="eastAsia" w:ascii="楷体_GB2312" w:eastAsia="楷体_GB2312" w:cs="仿宋_GB2312"/>
                          <w:b/>
                          <w:bCs/>
                          <w:sz w:val="21"/>
                          <w:szCs w:val="21"/>
                        </w:rPr>
                        <w:t>实施科技惠民示范工程。</w:t>
                      </w:r>
                      <w:r>
                        <w:rPr>
                          <w:rFonts w:hint="eastAsia" w:ascii="楷体_GB2312" w:eastAsia="楷体_GB2312" w:cs="仿宋_GB2312"/>
                          <w:bCs/>
                          <w:sz w:val="21"/>
                          <w:szCs w:val="21"/>
                        </w:rPr>
                        <w:t>以高新技术带动传统农业产业升级，重点发展应用节能减排技术、清洁生产技术、绿色环保技术、灾害预警和安防技术，让科学技术广泛惠及民众。</w:t>
                      </w:r>
                      <w:r>
                        <w:rPr>
                          <w:rFonts w:hint="eastAsia" w:ascii="楷体_GB2312" w:eastAsia="楷体_GB2312" w:cs="仿宋_GB2312"/>
                          <w:b/>
                          <w:bCs/>
                          <w:sz w:val="21"/>
                          <w:szCs w:val="21"/>
                        </w:rPr>
                        <w:t>实施知识产权创造运用工程。</w:t>
                      </w:r>
                      <w:r>
                        <w:rPr>
                          <w:rFonts w:hint="eastAsia" w:ascii="楷体_GB2312" w:eastAsia="楷体_GB2312" w:cs="仿宋_GB2312"/>
                          <w:sz w:val="21"/>
                          <w:szCs w:val="21"/>
                        </w:rPr>
                        <w:t>重视知识产权在推动企业重组、品牌提升、产业化运用和促进转型升级中的作用，推动“宝鸡制造”向“宝鸡创造”转变，努力建设一流的知识产权强市，提升企业与区域经济竞争力。</w:t>
                      </w:r>
                      <w:r>
                        <w:rPr>
                          <w:rFonts w:hint="eastAsia" w:ascii="楷体_GB2312" w:eastAsia="楷体_GB2312" w:cs="仿宋_GB2312"/>
                          <w:b/>
                          <w:bCs/>
                          <w:sz w:val="21"/>
                          <w:szCs w:val="21"/>
                        </w:rPr>
                        <w:t>实施新一代信息技术应用培育工程。</w:t>
                      </w:r>
                      <w:r>
                        <w:rPr>
                          <w:rFonts w:hint="eastAsia" w:ascii="楷体_GB2312" w:eastAsia="楷体_GB2312" w:cs="仿宋_GB2312"/>
                          <w:bCs/>
                          <w:sz w:val="21"/>
                          <w:szCs w:val="21"/>
                        </w:rPr>
                        <w:t>加快发展新一代信息技术产业，加强电子信息元器件、信息网络、信息服务和软件等产品开发，推动物联网、云计算、移动互联网、新一代移动通信等新兴业态的发展。</w:t>
                      </w:r>
                      <w:r>
                        <w:rPr>
                          <w:rFonts w:hint="eastAsia" w:ascii="楷体_GB2312" w:eastAsia="楷体_GB2312" w:cs="仿宋_GB2312"/>
                          <w:b/>
                          <w:bCs/>
                          <w:sz w:val="21"/>
                          <w:szCs w:val="21"/>
                        </w:rPr>
                        <w:t>实施军民融合创新促进工程。</w:t>
                      </w:r>
                      <w:r>
                        <w:rPr>
                          <w:rFonts w:hint="eastAsia" w:ascii="楷体_GB2312" w:eastAsia="楷体_GB2312" w:cs="仿宋_GB2312"/>
                          <w:bCs/>
                          <w:sz w:val="21"/>
                          <w:szCs w:val="21"/>
                        </w:rPr>
                        <w:t>探索建立军民融合的基础设施资源共享体系、科技协同创新体系，加快形成军民融合深度发展格局。</w:t>
                      </w:r>
                      <w:r>
                        <w:rPr>
                          <w:rFonts w:hint="eastAsia" w:ascii="楷体_GB2312" w:eastAsia="楷体_GB2312" w:cs="仿宋_GB2312"/>
                          <w:b/>
                          <w:bCs/>
                          <w:sz w:val="21"/>
                          <w:szCs w:val="21"/>
                        </w:rPr>
                        <w:t>实施创新人才聚集提升工程。</w:t>
                      </w:r>
                      <w:r>
                        <w:rPr>
                          <w:rFonts w:hint="eastAsia" w:ascii="楷体_GB2312" w:eastAsia="楷体_GB2312" w:cs="仿宋_GB2312"/>
                          <w:sz w:val="21"/>
                          <w:szCs w:val="21"/>
                        </w:rPr>
                        <w:t>实施科教兴市和人才强市战略，优先发展教育事业，发挥洼地效应，打造人才高地，引进、培养和聚集一批高层次创新人才，全面加强各类专业技能人才队伍建设，为创新驱动发展提供人才支撑。</w:t>
                      </w:r>
                    </w:p>
                  </w:txbxContent>
                </v:textbox>
                <w10:wrap type="tight"/>
              </v:shape>
            </w:pict>
          </mc:Fallback>
        </mc:AlternateContent>
      </w:r>
      <w:r>
        <w:rPr>
          <w:rFonts w:hint="eastAsia" w:ascii="仿宋_GB2312" w:eastAsia="仿宋_GB2312"/>
          <w:sz w:val="32"/>
          <w:szCs w:val="32"/>
        </w:rPr>
        <w:t>加大以企业为主导开展技术研发创新的体制机制探索，强化企业技术创新主体地位，培育创新型企业，支持创建国家重点实验室，加强知识产权保护和应用，推动企业、高校、科研院所协同创新，促进科技成果尽快转化，支持企业加强研发中心建设，承担国家和地区重大科技项目。改革科技成果使用、处置、收益管理办法，积极培育综合性专利运营企业，探索科技贷款风险补偿和知识产权质押融资模式，发挥科技资源统筹中心平台作用，充分释放创新要素活力。统筹引导科研力量为企业研发中心服务，更好地实现产学研有机结合，提高科技成果转化水平。加强高新技术企业培育，支持龙头企业建立工程技术研究中心，组建产业技术创新战略联盟，</w:t>
      </w:r>
      <w:r>
        <w:rPr>
          <w:rFonts w:ascii="仿宋_GB2312" w:eastAsia="仿宋_GB2312"/>
          <w:sz w:val="32"/>
          <w:szCs w:val="32"/>
        </w:rPr>
        <w:t>2020</w:t>
      </w:r>
      <w:r>
        <w:rPr>
          <w:rFonts w:hint="eastAsia" w:ascii="仿宋_GB2312" w:eastAsia="仿宋_GB2312"/>
          <w:sz w:val="32"/>
          <w:szCs w:val="32"/>
        </w:rPr>
        <w:t>年科技进步贡献率提高到</w:t>
      </w:r>
      <w:r>
        <w:rPr>
          <w:rFonts w:ascii="仿宋_GB2312" w:eastAsia="仿宋_GB2312"/>
          <w:sz w:val="32"/>
          <w:szCs w:val="32"/>
        </w:rPr>
        <w:t>6</w:t>
      </w: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w:t>
      </w:r>
    </w:p>
    <w:p>
      <w:pPr>
        <w:widowControl w:val="0"/>
        <w:spacing w:after="0" w:line="600" w:lineRule="exact"/>
        <w:ind w:firstLine="640" w:firstLineChars="200"/>
        <w:rPr>
          <w:rFonts w:hint="eastAsia" w:ascii="仿宋_GB2312" w:eastAsia="仿宋_GB2312"/>
          <w:sz w:val="32"/>
          <w:szCs w:val="32"/>
        </w:rPr>
      </w:pPr>
    </w:p>
    <w:p>
      <w:pPr>
        <w:widowControl w:val="0"/>
        <w:spacing w:after="0" w:line="600" w:lineRule="exact"/>
        <w:jc w:val="center"/>
        <w:rPr>
          <w:rFonts w:ascii="黑体" w:hAnsi="黑体" w:eastAsia="黑体"/>
          <w:sz w:val="32"/>
          <w:szCs w:val="32"/>
        </w:rPr>
      </w:pPr>
      <w:r>
        <w:rPr>
          <w:rFonts w:hint="eastAsia" w:ascii="黑体" w:hAnsi="黑体" w:eastAsia="黑体"/>
          <w:sz w:val="32"/>
          <w:szCs w:val="32"/>
        </w:rPr>
        <w:t>第三十八章  实施人才强市战略</w:t>
      </w:r>
    </w:p>
    <w:p>
      <w:pPr>
        <w:widowControl w:val="0"/>
        <w:spacing w:after="0" w:line="600" w:lineRule="exact"/>
        <w:ind w:firstLine="640" w:firstLineChars="200"/>
        <w:jc w:val="both"/>
        <w:rPr>
          <w:rFonts w:ascii="仿宋_GB2312" w:eastAsia="仿宋_GB2312"/>
          <w:sz w:val="32"/>
          <w:szCs w:val="32"/>
        </w:rPr>
      </w:pPr>
      <w:r>
        <w:rPr>
          <w:rFonts w:hint="eastAsia" w:ascii="仿宋_GB2312" w:eastAsia="仿宋_GB2312"/>
          <w:sz w:val="32"/>
          <w:szCs w:val="32"/>
        </w:rPr>
        <w:t>大力推进人才强市战略。围绕重点产业、新兴产业发展，以及建设丝绸之路经济带战略新枢纽的需要，大力引进培养高层次创新创业人才和经济社会发展急需紧缺人才。全面深化校地合作，加大柔性引才。持续开展“一把手进高校、进院所，借智借力建设关天副中心”活动及“两院院士宝鸡行”、“企业老总院校行”、“院校专家企业行”活动，</w:t>
      </w:r>
      <w:r>
        <w:rPr>
          <w:rFonts w:hint="eastAsia" w:ascii="仿宋_GB2312" w:eastAsia="仿宋_GB2312"/>
          <w:color w:val="000000"/>
          <w:sz w:val="32"/>
          <w:szCs w:val="32"/>
        </w:rPr>
        <w:t>深入</w:t>
      </w:r>
      <w:r>
        <w:rPr>
          <w:rFonts w:ascii="仿宋_GB2312" w:eastAsia="仿宋_GB2312"/>
          <w:color w:val="000000"/>
          <w:sz w:val="32"/>
          <w:szCs w:val="32"/>
        </w:rPr>
        <w:t>推进在</w:t>
      </w:r>
      <w:r>
        <w:rPr>
          <w:rFonts w:hint="eastAsia" w:ascii="仿宋_GB2312" w:eastAsia="仿宋_GB2312"/>
          <w:color w:val="000000"/>
          <w:sz w:val="32"/>
          <w:szCs w:val="32"/>
        </w:rPr>
        <w:t>高校</w:t>
      </w:r>
      <w:r>
        <w:rPr>
          <w:rFonts w:ascii="仿宋_GB2312" w:eastAsia="仿宋_GB2312"/>
          <w:color w:val="000000"/>
          <w:sz w:val="32"/>
          <w:szCs w:val="32"/>
        </w:rPr>
        <w:t>、院所等科技资源富集的地方合建共建技术研发平台</w:t>
      </w:r>
      <w:r>
        <w:rPr>
          <w:rFonts w:hint="eastAsia" w:ascii="仿宋_GB2312" w:eastAsia="仿宋_GB2312"/>
          <w:color w:val="000000"/>
          <w:sz w:val="32"/>
          <w:szCs w:val="32"/>
        </w:rPr>
        <w:t>，</w:t>
      </w:r>
      <w:r>
        <w:rPr>
          <w:rFonts w:hint="eastAsia" w:ascii="仿宋_GB2312" w:eastAsia="仿宋_GB2312"/>
          <w:sz w:val="32"/>
          <w:szCs w:val="32"/>
        </w:rPr>
        <w:t>通过教授挂职、兼职，博士、硕士社会实践、项目承接</w:t>
      </w:r>
      <w:r>
        <w:rPr>
          <w:rFonts w:hint="eastAsia" w:ascii="仿宋_GB2312" w:eastAsia="仿宋_GB2312"/>
          <w:color w:val="000000"/>
          <w:sz w:val="32"/>
          <w:szCs w:val="32"/>
        </w:rPr>
        <w:t>及</w:t>
      </w:r>
      <w:r>
        <w:rPr>
          <w:rFonts w:hint="eastAsia" w:ascii="仿宋_GB2312" w:eastAsia="仿宋_GB2312"/>
          <w:sz w:val="32"/>
          <w:szCs w:val="32"/>
        </w:rPr>
        <w:t>联合攻关等形式，柔性引进高层次人才参与经济社会事业发展。到2020年柔性引进高校院所专家、教授1000人以上，力争在引进院士、国家“千人计划”、“万人计划”和省“百人计划”、“三秦学者”等高层次人才上实现新突破。推进实施十大重点人才工程，统筹推进各类人才队伍建设。推进人才发展改革试验区建设。实施人才发展改革试验区建设“1353”计划，探索建立与区域发展相适应的新型人才管理、创新创业机制，努力把宝鸡打造成为引才聚才、识才爱才、敬才用才的人才高地。到2020年，全市在重大产业、重点领域集聚和培养5-10名在国际国内有影响力的顶尖人才、50-100名在国内有竞争力的领军人才，全市科技人才总量达到8万人，培养引进10000名具有创新创业能力的优秀人才。全市人才总量由2015年的41.7万人增至61万人，年均增长7.9%。</w:t>
      </w:r>
    </w:p>
    <w:p>
      <w:pPr>
        <w:widowControl w:val="0"/>
        <w:spacing w:after="0" w:line="600" w:lineRule="exact"/>
        <w:ind w:firstLine="440" w:firstLineChars="200"/>
        <w:jc w:val="both"/>
        <w:rPr>
          <w:rFonts w:ascii="黑体" w:hAnsi="黑体" w:eastAsia="黑体"/>
          <w:sz w:val="32"/>
          <w:szCs w:val="32"/>
        </w:rPr>
      </w:pPr>
      <w:r>
        <w:rPr>
          <w:lang/>
        </w:rPr>
        <mc:AlternateContent>
          <mc:Choice Requires="wps">
            <w:drawing>
              <wp:anchor distT="45720" distB="45720" distL="114300" distR="114300" simplePos="0" relativeHeight="251691008" behindDoc="0" locked="0" layoutInCell="1" allowOverlap="1">
                <wp:simplePos x="0" y="0"/>
                <wp:positionH relativeFrom="margin">
                  <wp:posOffset>17780</wp:posOffset>
                </wp:positionH>
                <wp:positionV relativeFrom="margin">
                  <wp:posOffset>2237105</wp:posOffset>
                </wp:positionV>
                <wp:extent cx="5615305" cy="5464810"/>
                <wp:effectExtent l="4445" t="4445" r="19050" b="17145"/>
                <wp:wrapSquare wrapText="bothSides"/>
                <wp:docPr id="32" name="文本框 2"/>
                <wp:cNvGraphicFramePr/>
                <a:graphic xmlns:a="http://schemas.openxmlformats.org/drawingml/2006/main">
                  <a:graphicData uri="http://schemas.microsoft.com/office/word/2010/wordprocessingShape">
                    <wps:wsp>
                      <wps:cNvSpPr txBox="1"/>
                      <wps:spPr>
                        <a:xfrm>
                          <a:off x="0" y="0"/>
                          <a:ext cx="5615305" cy="5464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cs="仿宋_GB2312"/>
                                <w:b/>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7</w:t>
                            </w:r>
                          </w:p>
                          <w:p>
                            <w:pPr>
                              <w:spacing w:after="0" w:line="300" w:lineRule="exact"/>
                              <w:contextualSpacing/>
                              <w:jc w:val="center"/>
                              <w:rPr>
                                <w:rFonts w:hint="eastAsia" w:ascii="黑体" w:eastAsia="黑体" w:cs="仿宋_GB2312"/>
                                <w:b/>
                                <w:sz w:val="21"/>
                                <w:szCs w:val="21"/>
                              </w:rPr>
                            </w:pPr>
                            <w:r>
                              <w:rPr>
                                <w:rFonts w:hint="eastAsia" w:ascii="黑体" w:eastAsia="黑体" w:cs="仿宋_GB2312"/>
                                <w:b/>
                                <w:sz w:val="21"/>
                                <w:szCs w:val="21"/>
                              </w:rPr>
                              <w:t>十大重点人才工程</w:t>
                            </w:r>
                          </w:p>
                          <w:p>
                            <w:pPr>
                              <w:spacing w:after="0"/>
                              <w:ind w:firstLine="422" w:firstLineChars="200"/>
                              <w:jc w:val="both"/>
                            </w:pPr>
                            <w:r>
                              <w:rPr>
                                <w:rFonts w:hint="eastAsia" w:ascii="楷体_GB2312" w:eastAsia="楷体_GB2312" w:cs="仿宋_GB2312"/>
                                <w:b/>
                                <w:bCs/>
                                <w:sz w:val="21"/>
                                <w:szCs w:val="21"/>
                              </w:rPr>
                              <w:t>实施创新型人才引领工程。</w:t>
                            </w:r>
                            <w:r>
                              <w:rPr>
                                <w:rFonts w:hint="eastAsia" w:ascii="楷体_GB2312" w:eastAsia="楷体_GB2312" w:cs="仿宋_GB2312"/>
                                <w:bCs/>
                                <w:sz w:val="21"/>
                                <w:szCs w:val="21"/>
                              </w:rPr>
                              <w:t>瞄准科技前沿和战略性新兴产业，在全市重点培养和支持一批中青年科技创新人才，到</w:t>
                            </w:r>
                            <w:r>
                              <w:rPr>
                                <w:rFonts w:ascii="楷体_GB2312" w:eastAsia="楷体_GB2312" w:cs="仿宋_GB2312"/>
                                <w:bCs/>
                                <w:sz w:val="21"/>
                                <w:szCs w:val="21"/>
                              </w:rPr>
                              <w:t>2020</w:t>
                            </w:r>
                            <w:r>
                              <w:rPr>
                                <w:rFonts w:hint="eastAsia" w:ascii="楷体_GB2312" w:eastAsia="楷体_GB2312" w:cs="仿宋_GB2312"/>
                                <w:bCs/>
                                <w:sz w:val="21"/>
                                <w:szCs w:val="21"/>
                              </w:rPr>
                              <w:t>年，从事科技研发工作的科技人才总量达到</w:t>
                            </w:r>
                            <w:r>
                              <w:rPr>
                                <w:rFonts w:ascii="楷体_GB2312" w:eastAsia="楷体_GB2312" w:cs="仿宋_GB2312"/>
                                <w:bCs/>
                                <w:sz w:val="21"/>
                                <w:szCs w:val="21"/>
                              </w:rPr>
                              <w:t>2.5</w:t>
                            </w:r>
                            <w:r>
                              <w:rPr>
                                <w:rFonts w:hint="eastAsia" w:ascii="楷体_GB2312" w:eastAsia="楷体_GB2312" w:cs="仿宋_GB2312"/>
                                <w:bCs/>
                                <w:sz w:val="21"/>
                                <w:szCs w:val="21"/>
                              </w:rPr>
                              <w:t>万人/年左右，高端科技创新领军人才总量达到</w:t>
                            </w:r>
                            <w:r>
                              <w:rPr>
                                <w:rFonts w:ascii="楷体_GB2312" w:eastAsia="楷体_GB2312" w:cs="仿宋_GB2312"/>
                                <w:bCs/>
                                <w:sz w:val="21"/>
                                <w:szCs w:val="21"/>
                              </w:rPr>
                              <w:t>1000</w:t>
                            </w:r>
                            <w:r>
                              <w:rPr>
                                <w:rFonts w:hint="eastAsia" w:ascii="楷体_GB2312" w:eastAsia="楷体_GB2312" w:cs="仿宋_GB2312"/>
                                <w:bCs/>
                                <w:sz w:val="21"/>
                                <w:szCs w:val="21"/>
                              </w:rPr>
                              <w:t>人以上。</w:t>
                            </w:r>
                            <w:r>
                              <w:rPr>
                                <w:rFonts w:hint="eastAsia" w:ascii="楷体_GB2312" w:eastAsia="楷体_GB2312" w:cs="仿宋_GB2312"/>
                                <w:b/>
                                <w:bCs/>
                                <w:sz w:val="21"/>
                                <w:szCs w:val="21"/>
                              </w:rPr>
                              <w:t>实施企业经营管理人才聚集工程。</w:t>
                            </w:r>
                            <w:r>
                              <w:rPr>
                                <w:rFonts w:hint="eastAsia" w:ascii="楷体_GB2312" w:eastAsia="楷体_GB2312" w:cs="仿宋_GB2312"/>
                                <w:bCs/>
                                <w:sz w:val="21"/>
                                <w:szCs w:val="21"/>
                              </w:rPr>
                              <w:t>围绕重点产业发展，包装推介一批产业项目，吸引优秀企业家到宝鸡投资兴业。支持和鼓励企业董事会面向全国聘用职业经理人，柔性引进高校专家教授和优秀人才参与企业经营管理。分批组织企业高管到北京大学、清华大学等国内著名高校培训，拓展经营理念和视野，支持企业高管参加</w:t>
                            </w:r>
                            <w:r>
                              <w:rPr>
                                <w:rFonts w:ascii="楷体_GB2312" w:eastAsia="楷体_GB2312" w:cs="仿宋_GB2312"/>
                                <w:bCs/>
                                <w:sz w:val="21"/>
                                <w:szCs w:val="21"/>
                              </w:rPr>
                              <w:t>MBA</w:t>
                            </w:r>
                            <w:r>
                              <w:rPr>
                                <w:rFonts w:hint="eastAsia" w:ascii="楷体_GB2312" w:eastAsia="楷体_GB2312" w:cs="仿宋_GB2312"/>
                                <w:bCs/>
                                <w:sz w:val="21"/>
                                <w:szCs w:val="21"/>
                              </w:rPr>
                              <w:t>（</w:t>
                            </w:r>
                            <w:r>
                              <w:rPr>
                                <w:rFonts w:ascii="楷体_GB2312" w:eastAsia="楷体_GB2312" w:cs="仿宋_GB2312"/>
                                <w:bCs/>
                                <w:sz w:val="21"/>
                                <w:szCs w:val="21"/>
                              </w:rPr>
                              <w:t>EMBA</w:t>
                            </w:r>
                            <w:r>
                              <w:rPr>
                                <w:rFonts w:hint="eastAsia" w:ascii="楷体_GB2312" w:eastAsia="楷体_GB2312" w:cs="仿宋_GB2312"/>
                                <w:bCs/>
                                <w:sz w:val="21"/>
                                <w:szCs w:val="21"/>
                              </w:rPr>
                              <w:t>）培训学习。</w:t>
                            </w:r>
                            <w:r>
                              <w:rPr>
                                <w:rFonts w:hint="eastAsia" w:ascii="楷体_GB2312" w:eastAsia="楷体_GB2312" w:cs="仿宋_GB2312"/>
                                <w:b/>
                                <w:bCs/>
                                <w:sz w:val="21"/>
                                <w:szCs w:val="21"/>
                              </w:rPr>
                              <w:t>实施党政人才素质能力提升工程。</w:t>
                            </w:r>
                            <w:r>
                              <w:rPr>
                                <w:rFonts w:hint="eastAsia" w:ascii="楷体_GB2312" w:eastAsia="楷体_GB2312" w:cs="仿宋_GB2312"/>
                                <w:bCs/>
                                <w:sz w:val="21"/>
                                <w:szCs w:val="21"/>
                              </w:rPr>
                              <w:t>认真贯彻落实干部教育培训规划，不断提高各级干部全面深化改革、推动科学发展、促进社会和谐、服务人民群众的本领。</w:t>
                            </w:r>
                            <w:r>
                              <w:rPr>
                                <w:rFonts w:hint="eastAsia" w:ascii="楷体_GB2312" w:eastAsia="楷体_GB2312" w:cs="仿宋_GB2312"/>
                                <w:b/>
                                <w:bCs/>
                                <w:sz w:val="21"/>
                                <w:szCs w:val="21"/>
                              </w:rPr>
                              <w:t>实施专业技术人才开发工程。</w:t>
                            </w:r>
                            <w:r>
                              <w:rPr>
                                <w:rFonts w:hint="eastAsia" w:ascii="楷体_GB2312" w:eastAsia="楷体_GB2312" w:cs="仿宋_GB2312"/>
                                <w:bCs/>
                                <w:sz w:val="21"/>
                                <w:szCs w:val="21"/>
                              </w:rPr>
                              <w:t>打造本土高层次专业技术人才群体。依托高校、企业科研机构和专业培训机构，培养一批具有较强创新能力和较高专业技术水平的拔尖人才。</w:t>
                            </w:r>
                            <w:r>
                              <w:rPr>
                                <w:rFonts w:hint="eastAsia" w:ascii="楷体_GB2312" w:eastAsia="楷体_GB2312" w:cs="仿宋_GB2312"/>
                                <w:b/>
                                <w:bCs/>
                                <w:sz w:val="21"/>
                                <w:szCs w:val="21"/>
                              </w:rPr>
                              <w:t>实施高技能人才带动工程。</w:t>
                            </w:r>
                            <w:r>
                              <w:rPr>
                                <w:rFonts w:hint="eastAsia" w:ascii="楷体_GB2312" w:eastAsia="楷体_GB2312" w:cs="仿宋_GB2312"/>
                                <w:bCs/>
                                <w:sz w:val="21"/>
                                <w:szCs w:val="21"/>
                              </w:rPr>
                              <w:t>以技师和高级技师为重点，完善技能人才培养培训体系。着力打造“宝鸡技工”品牌，建设一支数量充足、结构合理、技艺较高，与我市经济社会发展要求相适应的高技能人才队伍。</w:t>
                            </w:r>
                            <w:r>
                              <w:rPr>
                                <w:rFonts w:hint="eastAsia" w:ascii="楷体_GB2312" w:eastAsia="楷体_GB2312" w:cs="仿宋_GB2312"/>
                                <w:b/>
                                <w:bCs/>
                                <w:sz w:val="21"/>
                                <w:szCs w:val="21"/>
                              </w:rPr>
                              <w:t>实施农村实用人才培养工程。</w:t>
                            </w:r>
                            <w:r>
                              <w:rPr>
                                <w:rFonts w:hint="eastAsia" w:ascii="楷体_GB2312" w:eastAsia="楷体_GB2312" w:cs="仿宋_GB2312"/>
                                <w:bCs/>
                                <w:sz w:val="21"/>
                                <w:szCs w:val="21"/>
                              </w:rPr>
                              <w:t>大规模开展农村实用人才培训，培养农民技术员、职业农民、农民企业家和农村能工巧匠。到</w:t>
                            </w:r>
                            <w:r>
                              <w:rPr>
                                <w:rFonts w:ascii="楷体_GB2312" w:eastAsia="楷体_GB2312" w:cs="仿宋_GB2312"/>
                                <w:bCs/>
                                <w:sz w:val="21"/>
                                <w:szCs w:val="21"/>
                              </w:rPr>
                              <w:t>2020</w:t>
                            </w:r>
                            <w:r>
                              <w:rPr>
                                <w:rFonts w:hint="eastAsia" w:ascii="楷体_GB2312" w:eastAsia="楷体_GB2312" w:cs="仿宋_GB2312"/>
                                <w:bCs/>
                                <w:sz w:val="21"/>
                                <w:szCs w:val="21"/>
                              </w:rPr>
                              <w:t>年，全市每村每个特色产业平均有</w:t>
                            </w:r>
                            <w:r>
                              <w:rPr>
                                <w:rFonts w:ascii="楷体_GB2312" w:eastAsia="楷体_GB2312" w:cs="仿宋_GB2312"/>
                                <w:bCs/>
                                <w:sz w:val="21"/>
                                <w:szCs w:val="21"/>
                              </w:rPr>
                              <w:t>5</w:t>
                            </w:r>
                            <w:r>
                              <w:rPr>
                                <w:rFonts w:hint="eastAsia" w:ascii="楷体_GB2312" w:eastAsia="楷体_GB2312" w:cs="仿宋_GB2312"/>
                                <w:bCs/>
                                <w:sz w:val="21"/>
                                <w:szCs w:val="21"/>
                              </w:rPr>
                              <w:t>名以上生产型或经营型实用人才。</w:t>
                            </w:r>
                            <w:r>
                              <w:rPr>
                                <w:rFonts w:hint="eastAsia" w:ascii="楷体_GB2312" w:eastAsia="楷体_GB2312" w:cs="仿宋_GB2312"/>
                                <w:b/>
                                <w:bCs/>
                                <w:sz w:val="21"/>
                                <w:szCs w:val="21"/>
                              </w:rPr>
                              <w:t>实施基层人才援助工程。</w:t>
                            </w:r>
                            <w:r>
                              <w:rPr>
                                <w:rFonts w:hint="eastAsia" w:ascii="楷体_GB2312" w:eastAsia="楷体_GB2312" w:cs="仿宋_GB2312"/>
                                <w:bCs/>
                                <w:sz w:val="21"/>
                                <w:szCs w:val="21"/>
                              </w:rPr>
                              <w:t>持续开展农村基层人才队伍振兴计划，选聘高校毕业生到村（社区）任职。组织中、省、市有关专家开展基层行活动，帮扶基层农业、工业、教育、卫生等事业发展。</w:t>
                            </w:r>
                            <w:r>
                              <w:rPr>
                                <w:rFonts w:hint="eastAsia" w:ascii="楷体_GB2312" w:eastAsia="楷体_GB2312" w:cs="仿宋_GB2312"/>
                                <w:b/>
                                <w:bCs/>
                                <w:sz w:val="21"/>
                                <w:szCs w:val="21"/>
                              </w:rPr>
                              <w:t>实施中青年中医人才振兴工程。</w:t>
                            </w:r>
                            <w:r>
                              <w:rPr>
                                <w:rFonts w:hint="eastAsia" w:ascii="楷体_GB2312" w:eastAsia="楷体_GB2312" w:cs="仿宋_GB2312"/>
                                <w:bCs/>
                                <w:sz w:val="21"/>
                                <w:szCs w:val="21"/>
                              </w:rPr>
                              <w:t>大力引进在国内和省内有影响的中医重点学科带头人或中医药方向的博士生。推进市直各医疗卫生单位与高校院所的合作，积极争取高校选派中医类硕士、博士及专家教授到我市医疗单位兼职或挂职，分层次、有计划地组织全市中青年中医骨干参加国家、省级组织的短期培训。加强对我市中青年中医人才的培养与帮带，完善中医药师承教育制度，建设一批名中医工作室。</w:t>
                            </w:r>
                            <w:r>
                              <w:rPr>
                                <w:rFonts w:hint="eastAsia" w:ascii="楷体_GB2312" w:eastAsia="楷体_GB2312" w:cs="仿宋_GB2312"/>
                                <w:b/>
                                <w:bCs/>
                                <w:sz w:val="21"/>
                                <w:szCs w:val="21"/>
                              </w:rPr>
                              <w:t>实施社会管理人才保障工程。</w:t>
                            </w:r>
                            <w:r>
                              <w:rPr>
                                <w:rFonts w:hint="eastAsia" w:ascii="楷体_GB2312" w:eastAsia="楷体_GB2312" w:cs="仿宋_GB2312"/>
                                <w:bCs/>
                                <w:sz w:val="21"/>
                                <w:szCs w:val="21"/>
                              </w:rPr>
                              <w:t>建立一批社会工作培训基地，推进公益服务类事业单位、城乡社区和公益类社会组织建设。加大社会管理工作岗位资源的开发和建设力度，引导和鼓励公益慈善类社会组织和民办非企业单位吸纳社会工作专业人才。建立健全社会管理专业人才投入保障机制，切实提高基层社会工作专业人才薪酬待遇水平。</w:t>
                            </w:r>
                            <w:r>
                              <w:rPr>
                                <w:rFonts w:hint="eastAsia" w:ascii="楷体_GB2312" w:eastAsia="楷体_GB2312" w:cs="仿宋_GB2312"/>
                                <w:b/>
                                <w:bCs/>
                                <w:sz w:val="21"/>
                                <w:szCs w:val="21"/>
                              </w:rPr>
                              <w:t>实施宣传文化人才名家工程。</w:t>
                            </w:r>
                            <w:r>
                              <w:rPr>
                                <w:rFonts w:hint="eastAsia" w:ascii="楷体_GB2312" w:eastAsia="楷体_GB2312" w:cs="仿宋_GB2312"/>
                                <w:bCs/>
                                <w:sz w:val="21"/>
                                <w:szCs w:val="21"/>
                              </w:rPr>
                              <w:t>以提升素质、优化结构、发挥优势为核心，引进和培养一批宣传文化领军人才、文化产业经营管理人才和文化专业技术人才，满足文化事业和文化产业发展的需要。</w:t>
                            </w:r>
                          </w:p>
                        </w:txbxContent>
                      </wps:txbx>
                      <wps:bodyPr wrap="square" upright="1"/>
                    </wps:wsp>
                  </a:graphicData>
                </a:graphic>
              </wp:anchor>
            </w:drawing>
          </mc:Choice>
          <mc:Fallback>
            <w:pict>
              <v:shape id="文本框 2" o:spid="_x0000_s1026" o:spt="202" type="#_x0000_t202" style="position:absolute;left:0pt;margin-left:1.4pt;margin-top:176.15pt;height:430.3pt;width:442.15pt;mso-position-horizontal-relative:margin;mso-position-vertical-relative:margin;mso-wrap-distance-bottom:3.6pt;mso-wrap-distance-left:9pt;mso-wrap-distance-right:9pt;mso-wrap-distance-top:3.6pt;z-index:251691008;mso-width-relative:margin;mso-height-relative:margin;" fillcolor="#FFFFFF" filled="t" stroked="t" coordsize="21600,21600" o:gfxdata="UEsDBAoAAAAAAIdO4kAAAAAAAAAAAAAAAAAEAAAAZHJzL1BLAwQUAAAACACHTuJAw+xwKNkAAAAK&#10;AQAADwAAAGRycy9kb3ducmV2LnhtbE2PzU7DMBCE70i8g7VIXBB14kCbhjg9IIHgVkpVrm68TSL8&#10;E2w3LW/PcoLjaEYz39SrszVswhAH7yTkswwYutbrwXUStu9PtyWwmJTTyniHEr4xwqq5vKhVpf3J&#10;veG0SR2jEhcrJaFPaaw4j22PVsWZH9GRd/DBqkQydFwHdaJya7jIsjm3anC00KsRH3tsPzdHK6G8&#10;e5k+4mux3rXzg1mmm8X0/BWkvL7KswdgCc/pLwy/+IQODTHt/dHpyIwEQeBJQnEvCmDkl+UiB7an&#10;oMjFEnhT8/8Xmh9QSwMEFAAAAAgAh07iQNqFwDMZAgAARgQAAA4AAABkcnMvZTJvRG9jLnhtbK1T&#10;S44TMRDdI3EHy3vSncwkGlrpjAQhbBAgDRygYru7LfmH7aQ7F4AbsGLDnnPlHFN2MpkPs8hieuEu&#10;2+VX9V5Vza8HrchW+CCtqel4VFIiDLNcmram37+t3lxREiIYDsoaUdOdCPR68frVvHeVmNjOKi48&#10;QRATqt7VtIvRVUURWCc0hJF1wuBlY72GiFvfFtxDj+haFZOynBW99dx5y0QIeLo8XNIjoj8H0DaN&#10;ZGJp2UYLEw+oXiiISCl00gW6yNk2jWDxS9MEEYmqKTKNecUgaK/TWizmULUeXCfZMQU4J4UnnDRI&#10;g0FPUEuIQDZe/gelJfM22CaOmNXFgUhWBFmMyyfa3HTgROaCUgd3Ej28HCz7vP3qieQ1vZhQYkBj&#10;xfe/f+3//Nv//UkmSZ/ehQrdbhw6xuGdHbBr7s4DHibaQ+N1+iMhgveo7u6krhgiYXg4nY2nF+WU&#10;EoZ308vZ5dU461/cP3c+xI/CapKMmnosX1YVtp9CxFTQ9c4lRQtWSb6SSuWNb9fvlSdbwFKv8pey&#10;xCeP3JQhfU3fTicpEcD+bbBv0NQONQimzfEevQgPgcv8PQecEltC6A4JZITkBpWWUfhsdQL4B8NJ&#10;3DmU2eB40ZSMFpwSJXAak5U9I0h1jieyUwZJphodapGsOKwHhEnm2vId1q3HDkd6PzbgMebGedl2&#10;KHCuY36M7ZW1Oo5C6t+H+xzifvwX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PscCjZAAAACgEA&#10;AA8AAAAAAAAAAQAgAAAAIgAAAGRycy9kb3ducmV2LnhtbFBLAQIUABQAAAAIAIdO4kDahcAzGQIA&#10;AEYEAAAOAAAAAAAAAAEAIAAAACgBAABkcnMvZTJvRG9jLnhtbFBLBQYAAAAABgAGAFkBAACzBQAA&#10;AAA=&#10;">
                <v:fill on="t" focussize="0,0"/>
                <v:stroke color="#000000" joinstyle="miter"/>
                <v:imagedata o:title=""/>
                <o:lock v:ext="edit" aspectratio="f"/>
                <v:textbox>
                  <w:txbxContent>
                    <w:p>
                      <w:pPr>
                        <w:spacing w:after="0" w:line="300" w:lineRule="exact"/>
                        <w:rPr>
                          <w:rFonts w:hint="eastAsia" w:ascii="黑体" w:hAnsi="黑体" w:eastAsia="黑体" w:cs="仿宋_GB2312"/>
                          <w:b/>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7</w:t>
                      </w:r>
                    </w:p>
                    <w:p>
                      <w:pPr>
                        <w:spacing w:after="0" w:line="300" w:lineRule="exact"/>
                        <w:contextualSpacing/>
                        <w:jc w:val="center"/>
                        <w:rPr>
                          <w:rFonts w:hint="eastAsia" w:ascii="黑体" w:eastAsia="黑体" w:cs="仿宋_GB2312"/>
                          <w:b/>
                          <w:sz w:val="21"/>
                          <w:szCs w:val="21"/>
                        </w:rPr>
                      </w:pPr>
                      <w:r>
                        <w:rPr>
                          <w:rFonts w:hint="eastAsia" w:ascii="黑体" w:eastAsia="黑体" w:cs="仿宋_GB2312"/>
                          <w:b/>
                          <w:sz w:val="21"/>
                          <w:szCs w:val="21"/>
                        </w:rPr>
                        <w:t>十大重点人才工程</w:t>
                      </w:r>
                    </w:p>
                    <w:p>
                      <w:pPr>
                        <w:spacing w:after="0"/>
                        <w:ind w:firstLine="422" w:firstLineChars="200"/>
                        <w:jc w:val="both"/>
                      </w:pPr>
                      <w:r>
                        <w:rPr>
                          <w:rFonts w:hint="eastAsia" w:ascii="楷体_GB2312" w:eastAsia="楷体_GB2312" w:cs="仿宋_GB2312"/>
                          <w:b/>
                          <w:bCs/>
                          <w:sz w:val="21"/>
                          <w:szCs w:val="21"/>
                        </w:rPr>
                        <w:t>实施创新型人才引领工程。</w:t>
                      </w:r>
                      <w:r>
                        <w:rPr>
                          <w:rFonts w:hint="eastAsia" w:ascii="楷体_GB2312" w:eastAsia="楷体_GB2312" w:cs="仿宋_GB2312"/>
                          <w:bCs/>
                          <w:sz w:val="21"/>
                          <w:szCs w:val="21"/>
                        </w:rPr>
                        <w:t>瞄准科技前沿和战略性新兴产业，在全市重点培养和支持一批中青年科技创新人才，到</w:t>
                      </w:r>
                      <w:r>
                        <w:rPr>
                          <w:rFonts w:ascii="楷体_GB2312" w:eastAsia="楷体_GB2312" w:cs="仿宋_GB2312"/>
                          <w:bCs/>
                          <w:sz w:val="21"/>
                          <w:szCs w:val="21"/>
                        </w:rPr>
                        <w:t>2020</w:t>
                      </w:r>
                      <w:r>
                        <w:rPr>
                          <w:rFonts w:hint="eastAsia" w:ascii="楷体_GB2312" w:eastAsia="楷体_GB2312" w:cs="仿宋_GB2312"/>
                          <w:bCs/>
                          <w:sz w:val="21"/>
                          <w:szCs w:val="21"/>
                        </w:rPr>
                        <w:t>年，从事科技研发工作的科技人才总量达到</w:t>
                      </w:r>
                      <w:r>
                        <w:rPr>
                          <w:rFonts w:ascii="楷体_GB2312" w:eastAsia="楷体_GB2312" w:cs="仿宋_GB2312"/>
                          <w:bCs/>
                          <w:sz w:val="21"/>
                          <w:szCs w:val="21"/>
                        </w:rPr>
                        <w:t>2.5</w:t>
                      </w:r>
                      <w:r>
                        <w:rPr>
                          <w:rFonts w:hint="eastAsia" w:ascii="楷体_GB2312" w:eastAsia="楷体_GB2312" w:cs="仿宋_GB2312"/>
                          <w:bCs/>
                          <w:sz w:val="21"/>
                          <w:szCs w:val="21"/>
                        </w:rPr>
                        <w:t>万人/年左右，高端科技创新领军人才总量达到</w:t>
                      </w:r>
                      <w:r>
                        <w:rPr>
                          <w:rFonts w:ascii="楷体_GB2312" w:eastAsia="楷体_GB2312" w:cs="仿宋_GB2312"/>
                          <w:bCs/>
                          <w:sz w:val="21"/>
                          <w:szCs w:val="21"/>
                        </w:rPr>
                        <w:t>1000</w:t>
                      </w:r>
                      <w:r>
                        <w:rPr>
                          <w:rFonts w:hint="eastAsia" w:ascii="楷体_GB2312" w:eastAsia="楷体_GB2312" w:cs="仿宋_GB2312"/>
                          <w:bCs/>
                          <w:sz w:val="21"/>
                          <w:szCs w:val="21"/>
                        </w:rPr>
                        <w:t>人以上。</w:t>
                      </w:r>
                      <w:r>
                        <w:rPr>
                          <w:rFonts w:hint="eastAsia" w:ascii="楷体_GB2312" w:eastAsia="楷体_GB2312" w:cs="仿宋_GB2312"/>
                          <w:b/>
                          <w:bCs/>
                          <w:sz w:val="21"/>
                          <w:szCs w:val="21"/>
                        </w:rPr>
                        <w:t>实施企业经营管理人才聚集工程。</w:t>
                      </w:r>
                      <w:r>
                        <w:rPr>
                          <w:rFonts w:hint="eastAsia" w:ascii="楷体_GB2312" w:eastAsia="楷体_GB2312" w:cs="仿宋_GB2312"/>
                          <w:bCs/>
                          <w:sz w:val="21"/>
                          <w:szCs w:val="21"/>
                        </w:rPr>
                        <w:t>围绕重点产业发展，包装推介一批产业项目，吸引优秀企业家到宝鸡投资兴业。支持和鼓励企业董事会面向全国聘用职业经理人，柔性引进高校专家教授和优秀人才参与企业经营管理。分批组织企业高管到北京大学、清华大学等国内著名高校培训，拓展经营理念和视野，支持企业高管参加</w:t>
                      </w:r>
                      <w:r>
                        <w:rPr>
                          <w:rFonts w:ascii="楷体_GB2312" w:eastAsia="楷体_GB2312" w:cs="仿宋_GB2312"/>
                          <w:bCs/>
                          <w:sz w:val="21"/>
                          <w:szCs w:val="21"/>
                        </w:rPr>
                        <w:t>MBA</w:t>
                      </w:r>
                      <w:r>
                        <w:rPr>
                          <w:rFonts w:hint="eastAsia" w:ascii="楷体_GB2312" w:eastAsia="楷体_GB2312" w:cs="仿宋_GB2312"/>
                          <w:bCs/>
                          <w:sz w:val="21"/>
                          <w:szCs w:val="21"/>
                        </w:rPr>
                        <w:t>（</w:t>
                      </w:r>
                      <w:r>
                        <w:rPr>
                          <w:rFonts w:ascii="楷体_GB2312" w:eastAsia="楷体_GB2312" w:cs="仿宋_GB2312"/>
                          <w:bCs/>
                          <w:sz w:val="21"/>
                          <w:szCs w:val="21"/>
                        </w:rPr>
                        <w:t>EMBA</w:t>
                      </w:r>
                      <w:r>
                        <w:rPr>
                          <w:rFonts w:hint="eastAsia" w:ascii="楷体_GB2312" w:eastAsia="楷体_GB2312" w:cs="仿宋_GB2312"/>
                          <w:bCs/>
                          <w:sz w:val="21"/>
                          <w:szCs w:val="21"/>
                        </w:rPr>
                        <w:t>）培训学习。</w:t>
                      </w:r>
                      <w:r>
                        <w:rPr>
                          <w:rFonts w:hint="eastAsia" w:ascii="楷体_GB2312" w:eastAsia="楷体_GB2312" w:cs="仿宋_GB2312"/>
                          <w:b/>
                          <w:bCs/>
                          <w:sz w:val="21"/>
                          <w:szCs w:val="21"/>
                        </w:rPr>
                        <w:t>实施党政人才素质能力提升工程。</w:t>
                      </w:r>
                      <w:r>
                        <w:rPr>
                          <w:rFonts w:hint="eastAsia" w:ascii="楷体_GB2312" w:eastAsia="楷体_GB2312" w:cs="仿宋_GB2312"/>
                          <w:bCs/>
                          <w:sz w:val="21"/>
                          <w:szCs w:val="21"/>
                        </w:rPr>
                        <w:t>认真贯彻落实干部教育培训规划，不断提高各级干部全面深化改革、推动科学发展、促进社会和谐、服务人民群众的本领。</w:t>
                      </w:r>
                      <w:r>
                        <w:rPr>
                          <w:rFonts w:hint="eastAsia" w:ascii="楷体_GB2312" w:eastAsia="楷体_GB2312" w:cs="仿宋_GB2312"/>
                          <w:b/>
                          <w:bCs/>
                          <w:sz w:val="21"/>
                          <w:szCs w:val="21"/>
                        </w:rPr>
                        <w:t>实施专业技术人才开发工程。</w:t>
                      </w:r>
                      <w:r>
                        <w:rPr>
                          <w:rFonts w:hint="eastAsia" w:ascii="楷体_GB2312" w:eastAsia="楷体_GB2312" w:cs="仿宋_GB2312"/>
                          <w:bCs/>
                          <w:sz w:val="21"/>
                          <w:szCs w:val="21"/>
                        </w:rPr>
                        <w:t>打造本土高层次专业技术人才群体。依托高校、企业科研机构和专业培训机构，培养一批具有较强创新能力和较高专业技术水平的拔尖人才。</w:t>
                      </w:r>
                      <w:r>
                        <w:rPr>
                          <w:rFonts w:hint="eastAsia" w:ascii="楷体_GB2312" w:eastAsia="楷体_GB2312" w:cs="仿宋_GB2312"/>
                          <w:b/>
                          <w:bCs/>
                          <w:sz w:val="21"/>
                          <w:szCs w:val="21"/>
                        </w:rPr>
                        <w:t>实施高技能人才带动工程。</w:t>
                      </w:r>
                      <w:r>
                        <w:rPr>
                          <w:rFonts w:hint="eastAsia" w:ascii="楷体_GB2312" w:eastAsia="楷体_GB2312" w:cs="仿宋_GB2312"/>
                          <w:bCs/>
                          <w:sz w:val="21"/>
                          <w:szCs w:val="21"/>
                        </w:rPr>
                        <w:t>以技师和高级技师为重点，完善技能人才培养培训体系。着力打造“宝鸡技工”品牌，建设一支数量充足、结构合理、技艺较高，与我市经济社会发展要求相适应的高技能人才队伍。</w:t>
                      </w:r>
                      <w:r>
                        <w:rPr>
                          <w:rFonts w:hint="eastAsia" w:ascii="楷体_GB2312" w:eastAsia="楷体_GB2312" w:cs="仿宋_GB2312"/>
                          <w:b/>
                          <w:bCs/>
                          <w:sz w:val="21"/>
                          <w:szCs w:val="21"/>
                        </w:rPr>
                        <w:t>实施农村实用人才培养工程。</w:t>
                      </w:r>
                      <w:r>
                        <w:rPr>
                          <w:rFonts w:hint="eastAsia" w:ascii="楷体_GB2312" w:eastAsia="楷体_GB2312" w:cs="仿宋_GB2312"/>
                          <w:bCs/>
                          <w:sz w:val="21"/>
                          <w:szCs w:val="21"/>
                        </w:rPr>
                        <w:t>大规模开展农村实用人才培训，培养农民技术员、职业农民、农民企业家和农村能工巧匠。到</w:t>
                      </w:r>
                      <w:r>
                        <w:rPr>
                          <w:rFonts w:ascii="楷体_GB2312" w:eastAsia="楷体_GB2312" w:cs="仿宋_GB2312"/>
                          <w:bCs/>
                          <w:sz w:val="21"/>
                          <w:szCs w:val="21"/>
                        </w:rPr>
                        <w:t>2020</w:t>
                      </w:r>
                      <w:r>
                        <w:rPr>
                          <w:rFonts w:hint="eastAsia" w:ascii="楷体_GB2312" w:eastAsia="楷体_GB2312" w:cs="仿宋_GB2312"/>
                          <w:bCs/>
                          <w:sz w:val="21"/>
                          <w:szCs w:val="21"/>
                        </w:rPr>
                        <w:t>年，全市每村每个特色产业平均有</w:t>
                      </w:r>
                      <w:r>
                        <w:rPr>
                          <w:rFonts w:ascii="楷体_GB2312" w:eastAsia="楷体_GB2312" w:cs="仿宋_GB2312"/>
                          <w:bCs/>
                          <w:sz w:val="21"/>
                          <w:szCs w:val="21"/>
                        </w:rPr>
                        <w:t>5</w:t>
                      </w:r>
                      <w:r>
                        <w:rPr>
                          <w:rFonts w:hint="eastAsia" w:ascii="楷体_GB2312" w:eastAsia="楷体_GB2312" w:cs="仿宋_GB2312"/>
                          <w:bCs/>
                          <w:sz w:val="21"/>
                          <w:szCs w:val="21"/>
                        </w:rPr>
                        <w:t>名以上生产型或经营型实用人才。</w:t>
                      </w:r>
                      <w:r>
                        <w:rPr>
                          <w:rFonts w:hint="eastAsia" w:ascii="楷体_GB2312" w:eastAsia="楷体_GB2312" w:cs="仿宋_GB2312"/>
                          <w:b/>
                          <w:bCs/>
                          <w:sz w:val="21"/>
                          <w:szCs w:val="21"/>
                        </w:rPr>
                        <w:t>实施基层人才援助工程。</w:t>
                      </w:r>
                      <w:r>
                        <w:rPr>
                          <w:rFonts w:hint="eastAsia" w:ascii="楷体_GB2312" w:eastAsia="楷体_GB2312" w:cs="仿宋_GB2312"/>
                          <w:bCs/>
                          <w:sz w:val="21"/>
                          <w:szCs w:val="21"/>
                        </w:rPr>
                        <w:t>持续开展农村基层人才队伍振兴计划，选聘高校毕业生到村（社区）任职。组织中、省、市有关专家开展基层行活动，帮扶基层农业、工业、教育、卫生等事业发展。</w:t>
                      </w:r>
                      <w:r>
                        <w:rPr>
                          <w:rFonts w:hint="eastAsia" w:ascii="楷体_GB2312" w:eastAsia="楷体_GB2312" w:cs="仿宋_GB2312"/>
                          <w:b/>
                          <w:bCs/>
                          <w:sz w:val="21"/>
                          <w:szCs w:val="21"/>
                        </w:rPr>
                        <w:t>实施中青年中医人才振兴工程。</w:t>
                      </w:r>
                      <w:r>
                        <w:rPr>
                          <w:rFonts w:hint="eastAsia" w:ascii="楷体_GB2312" w:eastAsia="楷体_GB2312" w:cs="仿宋_GB2312"/>
                          <w:bCs/>
                          <w:sz w:val="21"/>
                          <w:szCs w:val="21"/>
                        </w:rPr>
                        <w:t>大力引进在国内和省内有影响的中医重点学科带头人或中医药方向的博士生。推进市直各医疗卫生单位与高校院所的合作，积极争取高校选派中医类硕士、博士及专家教授到我市医疗单位兼职或挂职，分层次、有计划地组织全市中青年中医骨干参加国家、省级组织的短期培训。加强对我市中青年中医人才的培养与帮带，完善中医药师承教育制度，建设一批名中医工作室。</w:t>
                      </w:r>
                      <w:r>
                        <w:rPr>
                          <w:rFonts w:hint="eastAsia" w:ascii="楷体_GB2312" w:eastAsia="楷体_GB2312" w:cs="仿宋_GB2312"/>
                          <w:b/>
                          <w:bCs/>
                          <w:sz w:val="21"/>
                          <w:szCs w:val="21"/>
                        </w:rPr>
                        <w:t>实施社会管理人才保障工程。</w:t>
                      </w:r>
                      <w:r>
                        <w:rPr>
                          <w:rFonts w:hint="eastAsia" w:ascii="楷体_GB2312" w:eastAsia="楷体_GB2312" w:cs="仿宋_GB2312"/>
                          <w:bCs/>
                          <w:sz w:val="21"/>
                          <w:szCs w:val="21"/>
                        </w:rPr>
                        <w:t>建立一批社会工作培训基地，推进公益服务类事业单位、城乡社区和公益类社会组织建设。加大社会管理工作岗位资源的开发和建设力度，引导和鼓励公益慈善类社会组织和民办非企业单位吸纳社会工作专业人才。建立健全社会管理专业人才投入保障机制，切实提高基层社会工作专业人才薪酬待遇水平。</w:t>
                      </w:r>
                      <w:r>
                        <w:rPr>
                          <w:rFonts w:hint="eastAsia" w:ascii="楷体_GB2312" w:eastAsia="楷体_GB2312" w:cs="仿宋_GB2312"/>
                          <w:b/>
                          <w:bCs/>
                          <w:sz w:val="21"/>
                          <w:szCs w:val="21"/>
                        </w:rPr>
                        <w:t>实施宣传文化人才名家工程。</w:t>
                      </w:r>
                      <w:r>
                        <w:rPr>
                          <w:rFonts w:hint="eastAsia" w:ascii="楷体_GB2312" w:eastAsia="楷体_GB2312" w:cs="仿宋_GB2312"/>
                          <w:bCs/>
                          <w:sz w:val="21"/>
                          <w:szCs w:val="21"/>
                        </w:rPr>
                        <w:t>以提升素质、优化结构、发挥优势为核心，引进和培养一批宣传文化领军人才、文化产业经营管理人才和文化专业技术人才，满足文化事业和文化产业发展的需要。</w:t>
                      </w:r>
                    </w:p>
                  </w:txbxContent>
                </v:textbox>
                <w10:wrap type="square"/>
              </v:shape>
            </w:pict>
          </mc:Fallback>
        </mc:AlternateContent>
      </w:r>
      <w:r>
        <w:rPr>
          <w:rFonts w:hint="eastAsia" w:ascii="仿宋_GB2312" w:eastAsia="仿宋_GB2312"/>
          <w:sz w:val="32"/>
          <w:szCs w:val="32"/>
        </w:rPr>
        <mc:AlternateContent>
          <mc:Choice Requires="wps">
            <w:drawing>
              <wp:anchor distT="0" distB="0" distL="114300" distR="114300" simplePos="0" relativeHeight="251689984" behindDoc="0" locked="0" layoutInCell="1" allowOverlap="0">
                <wp:simplePos x="0" y="0"/>
                <wp:positionH relativeFrom="margin">
                  <wp:posOffset>17780</wp:posOffset>
                </wp:positionH>
                <wp:positionV relativeFrom="margin">
                  <wp:posOffset>277495</wp:posOffset>
                </wp:positionV>
                <wp:extent cx="5657850" cy="1446530"/>
                <wp:effectExtent l="4445" t="4445" r="14605" b="15875"/>
                <wp:wrapSquare wrapText="bothSides"/>
                <wp:docPr id="31" name="文本框 83"/>
                <wp:cNvGraphicFramePr/>
                <a:graphic xmlns:a="http://schemas.openxmlformats.org/drawingml/2006/main">
                  <a:graphicData uri="http://schemas.microsoft.com/office/word/2010/wordprocessingShape">
                    <wps:wsp>
                      <wps:cNvSpPr txBox="1"/>
                      <wps:spPr>
                        <a:xfrm>
                          <a:off x="0" y="0"/>
                          <a:ext cx="5657850" cy="1446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contextualSpacing/>
                              <w:rPr>
                                <w:rFonts w:ascii="黑体" w:eastAsia="黑体" w:cs="仿宋_GB2312"/>
                                <w:b/>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6</w:t>
                            </w:r>
                          </w:p>
                          <w:p>
                            <w:pPr>
                              <w:spacing w:after="0" w:line="300" w:lineRule="exact"/>
                              <w:contextualSpacing/>
                              <w:jc w:val="center"/>
                              <w:rPr>
                                <w:rFonts w:ascii="黑体" w:eastAsia="黑体" w:cs="仿宋_GB2312"/>
                                <w:b/>
                                <w:sz w:val="21"/>
                                <w:szCs w:val="21"/>
                              </w:rPr>
                            </w:pPr>
                            <w:r>
                              <w:rPr>
                                <w:rFonts w:hint="eastAsia" w:ascii="黑体" w:eastAsia="黑体" w:cs="仿宋_GB2312"/>
                                <w:b/>
                                <w:sz w:val="21"/>
                                <w:szCs w:val="21"/>
                              </w:rPr>
                              <w:t>人才改革“</w:t>
                            </w:r>
                            <w:r>
                              <w:rPr>
                                <w:rFonts w:ascii="黑体" w:eastAsia="黑体" w:cs="仿宋_GB2312"/>
                                <w:b/>
                                <w:sz w:val="21"/>
                                <w:szCs w:val="21"/>
                              </w:rPr>
                              <w:t>1353</w:t>
                            </w:r>
                            <w:r>
                              <w:rPr>
                                <w:rFonts w:hint="eastAsia" w:ascii="黑体" w:eastAsia="黑体" w:cs="仿宋_GB2312"/>
                                <w:b/>
                                <w:sz w:val="21"/>
                                <w:szCs w:val="21"/>
                              </w:rPr>
                              <w:t>”计划</w:t>
                            </w:r>
                          </w:p>
                          <w:p>
                            <w:pPr>
                              <w:spacing w:after="0" w:line="300" w:lineRule="exact"/>
                              <w:contextualSpacing/>
                              <w:rPr>
                                <w:rFonts w:hint="eastAsia"/>
                              </w:rPr>
                            </w:pPr>
                            <w:r>
                              <w:rPr>
                                <w:rFonts w:ascii="楷体_GB2312" w:eastAsia="楷体_GB2312" w:cs="仿宋_GB2312"/>
                                <w:b/>
                                <w:bCs/>
                                <w:sz w:val="21"/>
                                <w:szCs w:val="21"/>
                              </w:rPr>
                              <w:t xml:space="preserve"> </w:t>
                            </w:r>
                            <w:r>
                              <w:rPr>
                                <w:rFonts w:ascii="楷体_GB2312" w:eastAsia="楷体_GB2312" w:cs="仿宋_GB2312"/>
                                <w:bCs/>
                                <w:sz w:val="21"/>
                                <w:szCs w:val="21"/>
                              </w:rPr>
                              <w:t xml:space="preserve">   </w:t>
                            </w:r>
                            <w:r>
                              <w:rPr>
                                <w:rFonts w:hint="eastAsia" w:ascii="楷体_GB2312" w:eastAsia="楷体_GB2312" w:cs="仿宋_GB2312"/>
                                <w:bCs/>
                                <w:sz w:val="21"/>
                                <w:szCs w:val="21"/>
                              </w:rPr>
                              <w:t>抓好宝鸡高新技术产业开发区的人才开发，以眉县砖瓦机械工业园、渭滨互联网产业园、千阳海升苹果产业园</w:t>
                            </w:r>
                            <w:r>
                              <w:rPr>
                                <w:rFonts w:ascii="楷体_GB2312" w:eastAsia="楷体_GB2312" w:cs="仿宋_GB2312"/>
                                <w:bCs/>
                                <w:sz w:val="21"/>
                                <w:szCs w:val="21"/>
                              </w:rPr>
                              <w:t>3</w:t>
                            </w:r>
                            <w:r>
                              <w:rPr>
                                <w:rFonts w:hint="eastAsia" w:ascii="楷体_GB2312" w:eastAsia="楷体_GB2312" w:cs="仿宋_GB2312"/>
                                <w:bCs/>
                                <w:sz w:val="21"/>
                                <w:szCs w:val="21"/>
                              </w:rPr>
                              <w:t>个园区为典型探索园区人才发展模式。在宝钛集团、宝石机械、秦川机床、宝桥公司、东岭集团</w:t>
                            </w:r>
                            <w:r>
                              <w:rPr>
                                <w:rFonts w:ascii="楷体_GB2312" w:eastAsia="楷体_GB2312" w:cs="仿宋_GB2312"/>
                                <w:bCs/>
                                <w:sz w:val="21"/>
                                <w:szCs w:val="21"/>
                              </w:rPr>
                              <w:t>5</w:t>
                            </w:r>
                            <w:r>
                              <w:rPr>
                                <w:rFonts w:hint="eastAsia" w:ascii="楷体_GB2312" w:eastAsia="楷体_GB2312" w:cs="仿宋_GB2312"/>
                                <w:bCs/>
                                <w:sz w:val="21"/>
                                <w:szCs w:val="21"/>
                              </w:rPr>
                              <w:t>户大型企业开展企业人才机制创新试点，在宝鸡文理学院、宝鸡职业技术学院、宝鸡中心医院</w:t>
                            </w:r>
                            <w:r>
                              <w:rPr>
                                <w:rFonts w:ascii="楷体_GB2312" w:eastAsia="楷体_GB2312" w:cs="仿宋_GB2312"/>
                                <w:bCs/>
                                <w:sz w:val="21"/>
                                <w:szCs w:val="21"/>
                              </w:rPr>
                              <w:t>3</w:t>
                            </w:r>
                            <w:r>
                              <w:rPr>
                                <w:rFonts w:hint="eastAsia" w:ascii="楷体_GB2312" w:eastAsia="楷体_GB2312" w:cs="仿宋_GB2312"/>
                                <w:bCs/>
                                <w:sz w:val="21"/>
                                <w:szCs w:val="21"/>
                              </w:rPr>
                              <w:t>个社会单位建立教育、卫生专业人才创新示范基地。</w:t>
                            </w:r>
                          </w:p>
                        </w:txbxContent>
                      </wps:txbx>
                      <wps:bodyPr wrap="square" upright="1"/>
                    </wps:wsp>
                  </a:graphicData>
                </a:graphic>
              </wp:anchor>
            </w:drawing>
          </mc:Choice>
          <mc:Fallback>
            <w:pict>
              <v:shape id="文本框 83" o:spid="_x0000_s1026" o:spt="202" type="#_x0000_t202" style="position:absolute;left:0pt;margin-left:1.4pt;margin-top:21.85pt;height:113.9pt;width:445.5pt;mso-position-horizontal-relative:margin;mso-position-vertical-relative:margin;mso-wrap-distance-bottom:0pt;mso-wrap-distance-left:9pt;mso-wrap-distance-right:9pt;mso-wrap-distance-top:0pt;z-index:251689984;mso-width-relative:page;mso-height-relative:page;" fillcolor="#FFFFFF" filled="t" stroked="t" coordsize="21600,21600" o:allowoverlap="f" o:gfxdata="UEsDBAoAAAAAAIdO4kAAAAAAAAAAAAAAAAAEAAAAZHJzL1BLAwQUAAAACACHTuJAca3vmdgAAAAI&#10;AQAADwAAAGRycy9kb3ducmV2LnhtbE2PwU7DMBBE70j8g7VIXBB10pQmDXF6QALBDQpqr268TSLi&#10;dbDdtPw9ywmOM7OaeVutz3YQE/rQO1KQzhIQSI0zPbUKPt4fbwsQIWoyenCECr4xwLq+vKh0adyJ&#10;3nDaxFZwCYVSK+hiHEspQ9Oh1WHmRiTODs5bHVn6VhqvT1xuBzlPkqW0uide6PSIDx02n5ujVVAs&#10;nqddeMlet83yMKziTT49fXmlrq/S5B5ExHP8O4ZffEaHmpn27kgmiEHBnMGjgkWWg+C4WGVs7NnP&#10;0zuQdSX/P1D/AFBLAwQUAAAACACHTuJAQM99bxoCAABHBAAADgAAAGRycy9lMm9Eb2MueG1srVNL&#10;jhMxEN0jcQfLe9L5TA+hlc5IEMIGAdLAARzb3W3JP1xOunMBuAErNuw5V85B2clkPrDIgl64y67y&#10;q3qvyoubwWiykwGUszWdjMaUSMudULat6ZfP6xdzSiAyK5h2VtZ0L4HeLJ8/W/S+klPXOS1kIAhi&#10;oep9TbsYfVUUwDtpGIyclxadjQuGRdyGthCB9YhudDEdj6+L3gXhg+MSAE9XRyc9IYZLAF3TKC5X&#10;jm+NtPGIGqRmESlBpzzQZa62aSSPH5sGZCS6psg05hWToL1Ja7FcsKoNzHeKn0pgl5TwhJNhymLS&#10;M9SKRUa2Qf0FZRQPDlwTR9yZ4kgkK4IsJuMn2tx2zMvMBaUGfxYd/h8s/7D7FIgSNZ1NKLHMYMcP&#10;P74ffv4+/PpG5rMkUO+hwrhbj5FxeO0GHJu7c8DDxHtogkl/ZETQj/Luz/LKIRKOh+V1+XJeoouj&#10;b3J1dV3OcgOK++s+QHwnnSHJqGnA/mVZ2e49RCwFQ+9CUjZwWom10jpvQrt5owPZMez1On+pSrzy&#10;KExb0tf0VTktsRCGA9zg4KBpPIoAts35Ht2Ah8Dj/P0LOBW2YtAdC8gIKYxVRkUZstVJJt5aQeLe&#10;o84W3xdNxRgpKNESn2OycmRkSl8Siey0RZKpR8deJCsOmwFhkrlxYo9963HEkd7XLQuYc+uDajsU&#10;OPcxX8b5ylqd3kIa4If7nOL+/S//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Gt75nYAAAACAEA&#10;AA8AAAAAAAAAAQAgAAAAIgAAAGRycy9kb3ducmV2LnhtbFBLAQIUABQAAAAIAIdO4kBAz31vGgIA&#10;AEcEAAAOAAAAAAAAAAEAIAAAACcBAABkcnMvZTJvRG9jLnhtbFBLBQYAAAAABgAGAFkBAACzBQAA&#10;AAA=&#10;">
                <v:fill on="t" focussize="0,0"/>
                <v:stroke color="#000000" joinstyle="miter"/>
                <v:imagedata o:title=""/>
                <o:lock v:ext="edit" aspectratio="f"/>
                <v:textbox>
                  <w:txbxContent>
                    <w:p>
                      <w:pPr>
                        <w:spacing w:after="0" w:line="300" w:lineRule="exact"/>
                        <w:contextualSpacing/>
                        <w:rPr>
                          <w:rFonts w:ascii="黑体" w:eastAsia="黑体" w:cs="仿宋_GB2312"/>
                          <w:b/>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6</w:t>
                      </w:r>
                    </w:p>
                    <w:p>
                      <w:pPr>
                        <w:spacing w:after="0" w:line="300" w:lineRule="exact"/>
                        <w:contextualSpacing/>
                        <w:jc w:val="center"/>
                        <w:rPr>
                          <w:rFonts w:ascii="黑体" w:eastAsia="黑体" w:cs="仿宋_GB2312"/>
                          <w:b/>
                          <w:sz w:val="21"/>
                          <w:szCs w:val="21"/>
                        </w:rPr>
                      </w:pPr>
                      <w:r>
                        <w:rPr>
                          <w:rFonts w:hint="eastAsia" w:ascii="黑体" w:eastAsia="黑体" w:cs="仿宋_GB2312"/>
                          <w:b/>
                          <w:sz w:val="21"/>
                          <w:szCs w:val="21"/>
                        </w:rPr>
                        <w:t>人才改革“</w:t>
                      </w:r>
                      <w:r>
                        <w:rPr>
                          <w:rFonts w:ascii="黑体" w:eastAsia="黑体" w:cs="仿宋_GB2312"/>
                          <w:b/>
                          <w:sz w:val="21"/>
                          <w:szCs w:val="21"/>
                        </w:rPr>
                        <w:t>1353</w:t>
                      </w:r>
                      <w:r>
                        <w:rPr>
                          <w:rFonts w:hint="eastAsia" w:ascii="黑体" w:eastAsia="黑体" w:cs="仿宋_GB2312"/>
                          <w:b/>
                          <w:sz w:val="21"/>
                          <w:szCs w:val="21"/>
                        </w:rPr>
                        <w:t>”计划</w:t>
                      </w:r>
                    </w:p>
                    <w:p>
                      <w:pPr>
                        <w:spacing w:after="0" w:line="300" w:lineRule="exact"/>
                        <w:contextualSpacing/>
                        <w:rPr>
                          <w:rFonts w:hint="eastAsia"/>
                        </w:rPr>
                      </w:pPr>
                      <w:r>
                        <w:rPr>
                          <w:rFonts w:ascii="楷体_GB2312" w:eastAsia="楷体_GB2312" w:cs="仿宋_GB2312"/>
                          <w:b/>
                          <w:bCs/>
                          <w:sz w:val="21"/>
                          <w:szCs w:val="21"/>
                        </w:rPr>
                        <w:t xml:space="preserve"> </w:t>
                      </w:r>
                      <w:r>
                        <w:rPr>
                          <w:rFonts w:ascii="楷体_GB2312" w:eastAsia="楷体_GB2312" w:cs="仿宋_GB2312"/>
                          <w:bCs/>
                          <w:sz w:val="21"/>
                          <w:szCs w:val="21"/>
                        </w:rPr>
                        <w:t xml:space="preserve">   </w:t>
                      </w:r>
                      <w:r>
                        <w:rPr>
                          <w:rFonts w:hint="eastAsia" w:ascii="楷体_GB2312" w:eastAsia="楷体_GB2312" w:cs="仿宋_GB2312"/>
                          <w:bCs/>
                          <w:sz w:val="21"/>
                          <w:szCs w:val="21"/>
                        </w:rPr>
                        <w:t>抓好宝鸡高新技术产业开发区的人才开发，以眉县砖瓦机械工业园、渭滨互联网产业园、千阳海升苹果产业园</w:t>
                      </w:r>
                      <w:r>
                        <w:rPr>
                          <w:rFonts w:ascii="楷体_GB2312" w:eastAsia="楷体_GB2312" w:cs="仿宋_GB2312"/>
                          <w:bCs/>
                          <w:sz w:val="21"/>
                          <w:szCs w:val="21"/>
                        </w:rPr>
                        <w:t>3</w:t>
                      </w:r>
                      <w:r>
                        <w:rPr>
                          <w:rFonts w:hint="eastAsia" w:ascii="楷体_GB2312" w:eastAsia="楷体_GB2312" w:cs="仿宋_GB2312"/>
                          <w:bCs/>
                          <w:sz w:val="21"/>
                          <w:szCs w:val="21"/>
                        </w:rPr>
                        <w:t>个园区为典型探索园区人才发展模式。在宝钛集团、宝石机械、秦川机床、宝桥公司、东岭集团</w:t>
                      </w:r>
                      <w:r>
                        <w:rPr>
                          <w:rFonts w:ascii="楷体_GB2312" w:eastAsia="楷体_GB2312" w:cs="仿宋_GB2312"/>
                          <w:bCs/>
                          <w:sz w:val="21"/>
                          <w:szCs w:val="21"/>
                        </w:rPr>
                        <w:t>5</w:t>
                      </w:r>
                      <w:r>
                        <w:rPr>
                          <w:rFonts w:hint="eastAsia" w:ascii="楷体_GB2312" w:eastAsia="楷体_GB2312" w:cs="仿宋_GB2312"/>
                          <w:bCs/>
                          <w:sz w:val="21"/>
                          <w:szCs w:val="21"/>
                        </w:rPr>
                        <w:t>户大型企业开展企业人才机制创新试点，在宝鸡文理学院、宝鸡职业技术学院、宝鸡中心医院</w:t>
                      </w:r>
                      <w:r>
                        <w:rPr>
                          <w:rFonts w:ascii="楷体_GB2312" w:eastAsia="楷体_GB2312" w:cs="仿宋_GB2312"/>
                          <w:bCs/>
                          <w:sz w:val="21"/>
                          <w:szCs w:val="21"/>
                        </w:rPr>
                        <w:t>3</w:t>
                      </w:r>
                      <w:r>
                        <w:rPr>
                          <w:rFonts w:hint="eastAsia" w:ascii="楷体_GB2312" w:eastAsia="楷体_GB2312" w:cs="仿宋_GB2312"/>
                          <w:bCs/>
                          <w:sz w:val="21"/>
                          <w:szCs w:val="21"/>
                        </w:rPr>
                        <w:t>个社会单位建立教育、卫生专业人才创新示范基地。</w:t>
                      </w:r>
                    </w:p>
                  </w:txbxContent>
                </v:textbox>
                <w10:wrap type="square"/>
              </v:shape>
            </w:pict>
          </mc:Fallback>
        </mc:AlternateContent>
      </w:r>
    </w:p>
    <w:p>
      <w:pPr>
        <w:pBdr>
          <w:bottom w:val="single" w:color="FFFFFF" w:sz="4" w:space="31"/>
        </w:pBdr>
        <w:topLinePunct/>
        <w:spacing w:after="0" w:line="600" w:lineRule="exact"/>
        <w:jc w:val="center"/>
        <w:rPr>
          <w:rFonts w:ascii="黑体" w:hAnsi="黑体" w:eastAsia="黑体"/>
          <w:sz w:val="32"/>
          <w:szCs w:val="32"/>
        </w:rPr>
      </w:pPr>
    </w:p>
    <w:p>
      <w:pPr>
        <w:pBdr>
          <w:bottom w:val="single" w:color="FFFFFF" w:sz="4" w:space="31"/>
        </w:pBdr>
        <w:topLinePunct/>
        <w:spacing w:after="0" w:line="600" w:lineRule="exact"/>
        <w:jc w:val="center"/>
        <w:rPr>
          <w:rFonts w:ascii="黑体" w:hAnsi="黑体" w:eastAsia="黑体"/>
          <w:sz w:val="32"/>
          <w:szCs w:val="32"/>
        </w:rPr>
      </w:pPr>
    </w:p>
    <w:p>
      <w:pPr>
        <w:pBdr>
          <w:bottom w:val="single" w:color="FFFFFF" w:sz="4" w:space="31"/>
        </w:pBdr>
        <w:topLinePunct/>
        <w:spacing w:after="0" w:line="600" w:lineRule="exact"/>
        <w:jc w:val="center"/>
        <w:rPr>
          <w:rFonts w:ascii="黑体" w:hAnsi="黑体" w:eastAsia="黑体"/>
          <w:sz w:val="32"/>
          <w:szCs w:val="32"/>
        </w:rPr>
      </w:pPr>
      <w:r>
        <w:rPr>
          <w:rFonts w:hint="eastAsia" w:ascii="黑体" w:hAnsi="黑体" w:eastAsia="黑体"/>
          <w:sz w:val="32"/>
          <w:szCs w:val="32"/>
        </w:rPr>
        <w:t>第三十九章</w:t>
      </w:r>
      <w:r>
        <w:rPr>
          <w:rFonts w:ascii="黑体" w:hAnsi="黑体" w:eastAsia="黑体"/>
          <w:sz w:val="32"/>
          <w:szCs w:val="32"/>
        </w:rPr>
        <w:t xml:space="preserve">  </w:t>
      </w:r>
      <w:r>
        <w:rPr>
          <w:rFonts w:hint="eastAsia" w:ascii="黑体" w:hAnsi="黑体" w:eastAsia="黑体"/>
          <w:sz w:val="32"/>
          <w:szCs w:val="32"/>
        </w:rPr>
        <w:t>创新财税及投融资机制</w:t>
      </w:r>
    </w:p>
    <w:p>
      <w:pPr>
        <w:pBdr>
          <w:bottom w:val="single" w:color="FFFFFF" w:sz="4" w:space="31"/>
        </w:pBdr>
        <w:topLinePunct/>
        <w:spacing w:after="0" w:line="600" w:lineRule="exact"/>
        <w:jc w:val="center"/>
        <w:rPr>
          <w:rFonts w:hint="eastAsia" w:ascii="黑体" w:hAnsi="黑体" w:eastAsia="黑体"/>
          <w:sz w:val="32"/>
          <w:szCs w:val="32"/>
        </w:rPr>
      </w:pPr>
    </w:p>
    <w:p>
      <w:pPr>
        <w:pBdr>
          <w:bottom w:val="single" w:color="FFFFFF" w:sz="4" w:space="31"/>
        </w:pBdr>
        <w:topLinePunct/>
        <w:spacing w:after="0" w:line="600" w:lineRule="exact"/>
        <w:jc w:val="center"/>
        <w:rPr>
          <w:rFonts w:hint="eastAsia" w:ascii="楷体_GB2312" w:hAnsi="华文中宋" w:eastAsia="楷体_GB2312"/>
          <w:b/>
          <w:sz w:val="32"/>
          <w:szCs w:val="32"/>
        </w:rPr>
      </w:pPr>
      <w:r>
        <w:rPr>
          <w:rFonts w:hint="eastAsia" w:ascii="楷体_GB2312" w:hAnsi="华文中宋" w:eastAsia="楷体_GB2312"/>
          <w:b/>
          <w:sz w:val="32"/>
          <w:szCs w:val="32"/>
        </w:rPr>
        <w:t>第一节  加大财税及投融资机制创新力度</w:t>
      </w:r>
    </w:p>
    <w:p>
      <w:pPr>
        <w:pBdr>
          <w:bottom w:val="single" w:color="FFFFFF" w:sz="4" w:space="31"/>
        </w:pBdr>
        <w:topLinePunct/>
        <w:spacing w:after="0" w:line="600" w:lineRule="exact"/>
        <w:ind w:firstLine="640" w:firstLineChars="200"/>
        <w:jc w:val="both"/>
        <w:rPr>
          <w:rFonts w:hint="eastAsia" w:ascii="仿宋_GB2312" w:hAnsi="华文中宋" w:eastAsia="仿宋_GB2312"/>
          <w:sz w:val="32"/>
          <w:szCs w:val="32"/>
        </w:rPr>
      </w:pPr>
      <w:r>
        <w:rPr>
          <w:rFonts w:hint="eastAsia" w:ascii="仿宋_GB2312" w:hAnsi="华文中宋" w:eastAsia="仿宋_GB2312"/>
          <w:sz w:val="32"/>
          <w:szCs w:val="32"/>
        </w:rPr>
        <w:t>落实中央《深化财税体制改革总体方案》，围绕“改进预算管理制度、完善税收制度、建立事权和支出责任相适应的制度”三大任务，建立健全统一完整、法治规范、公开透明、运行高效，有利于优化资源配置、维护市场统一、促进社会公平的现代财政制度。完善市（县）分税制财政体制，培育地方支柱税源，稳步增加地方财政收入，增强市县政府履行事权和支出责任的保障能力。积极争取中央资金和配套政策的支持，引导财政资金加强重点领域投资，加大对基础设施、特色优势产业、高科技产业、中小企业发展等领域的扶持力度。积极落实国家创新重点领域投融资机制指导意见，在生态环保、农业和水利、市政基础设施、交通、能源、信息和民用空间基础设施、社会事业等重点领域建立“负面清单”制度，对于没有明确规定的领域，优化政府投资引导，实行市场统一准入，扩大资本进入途径，拓宽融资渠道，全面推进政府和社会资本合作</w:t>
      </w:r>
      <w:r>
        <w:rPr>
          <w:rFonts w:hint="eastAsia" w:ascii="仿宋_GB2312" w:hAnsi="仿宋_GB2312" w:eastAsia="仿宋_GB2312" w:cs="仿宋_GB2312"/>
          <w:sz w:val="32"/>
          <w:szCs w:val="32"/>
        </w:rPr>
        <w:t>（</w:t>
      </w:r>
      <w:r>
        <w:rPr>
          <w:rFonts w:ascii="仿宋_GB2312" w:hAnsi="华文中宋" w:eastAsia="仿宋_GB2312"/>
          <w:sz w:val="32"/>
          <w:szCs w:val="32"/>
        </w:rPr>
        <w:t>PPP</w:t>
      </w:r>
      <w:r>
        <w:rPr>
          <w:rFonts w:hint="eastAsia" w:ascii="仿宋_GB2312" w:hAnsi="华文中宋" w:eastAsia="仿宋_GB2312"/>
          <w:sz w:val="32"/>
          <w:szCs w:val="32"/>
        </w:rPr>
        <w:t>）模式，规范合作关系，积极争取社会资本投资。</w:t>
      </w:r>
    </w:p>
    <w:p>
      <w:pPr>
        <w:pBdr>
          <w:bottom w:val="single" w:color="FFFFFF" w:sz="4" w:space="31"/>
        </w:pBdr>
        <w:topLinePunct/>
        <w:spacing w:after="0" w:line="600" w:lineRule="exact"/>
        <w:jc w:val="both"/>
        <w:rPr>
          <w:rFonts w:hint="eastAsia" w:ascii="仿宋_GB2312" w:hAnsi="华文中宋" w:eastAsia="仿宋_GB2312"/>
          <w:sz w:val="32"/>
          <w:szCs w:val="32"/>
        </w:rPr>
      </w:pPr>
    </w:p>
    <w:p>
      <w:pPr>
        <w:pBdr>
          <w:bottom w:val="single" w:color="FFFFFF" w:sz="4" w:space="31"/>
        </w:pBdr>
        <w:topLinePunct/>
        <w:spacing w:after="0" w:line="580" w:lineRule="exact"/>
        <w:jc w:val="center"/>
        <w:rPr>
          <w:rFonts w:hint="eastAsia" w:ascii="楷体_GB2312" w:hAnsi="华文中宋" w:eastAsia="楷体_GB2312"/>
          <w:b/>
          <w:sz w:val="32"/>
          <w:szCs w:val="32"/>
        </w:rPr>
      </w:pPr>
      <w:r>
        <w:rPr>
          <w:rFonts w:hint="eastAsia" w:ascii="楷体_GB2312" w:hAnsi="华文中宋" w:eastAsia="楷体_GB2312"/>
          <w:b/>
          <w:sz w:val="32"/>
          <w:szCs w:val="32"/>
        </w:rPr>
        <w:t>第二节  构建多层次投融资体系</w:t>
      </w:r>
    </w:p>
    <w:p>
      <w:pPr>
        <w:pBdr>
          <w:bottom w:val="single" w:color="FFFFFF" w:sz="4" w:space="31"/>
        </w:pBdr>
        <w:topLinePunct/>
        <w:spacing w:after="0" w:line="580" w:lineRule="exact"/>
        <w:ind w:firstLine="640" w:firstLineChars="200"/>
        <w:jc w:val="both"/>
        <w:rPr>
          <w:rFonts w:hint="eastAsia" w:ascii="仿宋_GB2312" w:hAnsi="华文中宋" w:eastAsia="仿宋_GB2312"/>
          <w:sz w:val="32"/>
          <w:szCs w:val="32"/>
        </w:rPr>
      </w:pPr>
      <w:r>
        <w:rPr>
          <w:rFonts w:hint="eastAsia" w:ascii="仿宋_GB2312" w:hAnsi="华文中宋" w:eastAsia="仿宋_GB2312"/>
          <w:sz w:val="32"/>
          <w:szCs w:val="32"/>
        </w:rPr>
        <w:t>鼓励支持民间资本参与现有小额贷款公司、融资担保机构、交易场所等地方金融机构的增资扩股、升级转型等，深度参与地方金融服务。在加强有效监管、促进规范经营、防范金融风险的前提下，进一步引导民间资本合法合规加大参与金融服务的力度，增强对“三农”和小微企业的金融服务水平。积极推进资本市场融资，支持企业上市，加快市县投融资平台市场化改革，加强债务风险预警，清理整合融资能力低、负债风险大的融资平台，打造</w:t>
      </w:r>
      <w:r>
        <w:rPr>
          <w:rFonts w:ascii="仿宋_GB2312" w:hAnsi="华文中宋" w:eastAsia="仿宋_GB2312"/>
          <w:sz w:val="32"/>
          <w:szCs w:val="32"/>
        </w:rPr>
        <w:t>1-2</w:t>
      </w:r>
      <w:r>
        <w:rPr>
          <w:rFonts w:hint="eastAsia" w:ascii="仿宋_GB2312" w:hAnsi="华文中宋" w:eastAsia="仿宋_GB2312"/>
          <w:sz w:val="32"/>
          <w:szCs w:val="32"/>
        </w:rPr>
        <w:t>个实力雄厚、市场化程度高的投融资平台。推动融资平台以民间资本或法人资本参股等形式，积极参与经营性项目建设。鼓励和支持有条件的企业发行债券、信托、私募等，提高直接融资比重。积极发展股权质押贷款、知识技术产权抵押贷款、产业链融资、中小企业集合债、中小企业集合票据租赁融资等新型融资方式。进一步壮大担保主体规模，强化银行和担保公司之间的合作，充分发挥担保支持作用。到</w:t>
      </w:r>
      <w:r>
        <w:rPr>
          <w:rFonts w:ascii="仿宋_GB2312" w:hAnsi="华文中宋" w:eastAsia="仿宋_GB2312"/>
          <w:sz w:val="32"/>
          <w:szCs w:val="32"/>
        </w:rPr>
        <w:t>2020</w:t>
      </w:r>
      <w:r>
        <w:rPr>
          <w:rFonts w:hint="eastAsia" w:ascii="仿宋_GB2312" w:hAnsi="华文中宋" w:eastAsia="仿宋_GB2312"/>
          <w:sz w:val="32"/>
          <w:szCs w:val="32"/>
        </w:rPr>
        <w:t>年，力争在主板、中小板、创业板上市公司达到</w:t>
      </w:r>
      <w:r>
        <w:rPr>
          <w:rFonts w:ascii="仿宋_GB2312" w:hAnsi="华文中宋" w:eastAsia="仿宋_GB2312"/>
          <w:sz w:val="32"/>
          <w:szCs w:val="32"/>
        </w:rPr>
        <w:t>8</w:t>
      </w:r>
      <w:r>
        <w:rPr>
          <w:rFonts w:hint="eastAsia" w:ascii="仿宋_GB2312" w:hAnsi="华文中宋" w:eastAsia="仿宋_GB2312"/>
          <w:sz w:val="32"/>
          <w:szCs w:val="32"/>
        </w:rPr>
        <w:t>家，“新三板”挂牌</w:t>
      </w:r>
      <w:r>
        <w:rPr>
          <w:rFonts w:ascii="仿宋_GB2312" w:hAnsi="华文中宋" w:eastAsia="仿宋_GB2312"/>
          <w:sz w:val="32"/>
          <w:szCs w:val="32"/>
        </w:rPr>
        <w:t>10-15</w:t>
      </w:r>
      <w:r>
        <w:rPr>
          <w:rFonts w:hint="eastAsia" w:ascii="仿宋_GB2312" w:hAnsi="华文中宋" w:eastAsia="仿宋_GB2312"/>
          <w:sz w:val="32"/>
          <w:szCs w:val="32"/>
        </w:rPr>
        <w:t>家，区域股权交易中心（四版）挂牌</w:t>
      </w:r>
      <w:r>
        <w:rPr>
          <w:rFonts w:ascii="仿宋_GB2312" w:hAnsi="华文中宋" w:eastAsia="仿宋_GB2312"/>
          <w:sz w:val="32"/>
          <w:szCs w:val="32"/>
        </w:rPr>
        <w:t>50</w:t>
      </w:r>
      <w:r>
        <w:rPr>
          <w:rFonts w:hint="eastAsia" w:ascii="仿宋_GB2312" w:hAnsi="华文中宋" w:eastAsia="仿宋_GB2312"/>
          <w:sz w:val="32"/>
          <w:szCs w:val="32"/>
        </w:rPr>
        <w:t>家以上，力争实现海外交易所市场上市零的突破，力争通过股票市场上市公司</w:t>
      </w:r>
      <w:r>
        <w:rPr>
          <w:rFonts w:ascii="仿宋_GB2312" w:hAnsi="华文中宋" w:eastAsia="仿宋_GB2312"/>
          <w:sz w:val="32"/>
          <w:szCs w:val="32"/>
        </w:rPr>
        <w:t>IPO</w:t>
      </w:r>
      <w:r>
        <w:rPr>
          <w:rFonts w:hint="eastAsia" w:ascii="仿宋_GB2312" w:hAnsi="华文中宋" w:eastAsia="仿宋_GB2312"/>
          <w:sz w:val="32"/>
          <w:szCs w:val="32"/>
        </w:rPr>
        <w:t>及再融资达到</w:t>
      </w:r>
      <w:r>
        <w:rPr>
          <w:rFonts w:ascii="仿宋_GB2312" w:hAnsi="华文中宋" w:eastAsia="仿宋_GB2312"/>
          <w:sz w:val="32"/>
          <w:szCs w:val="32"/>
        </w:rPr>
        <w:t>100</w:t>
      </w:r>
      <w:r>
        <w:rPr>
          <w:rFonts w:hint="eastAsia" w:ascii="仿宋_GB2312" w:hAnsi="华文中宋" w:eastAsia="仿宋_GB2312"/>
          <w:sz w:val="32"/>
          <w:szCs w:val="32"/>
        </w:rPr>
        <w:t>亿元以上；通过发行企业债、公司债、集合债以及短期融资券等资本市场筹资</w:t>
      </w:r>
      <w:r>
        <w:rPr>
          <w:rFonts w:ascii="仿宋_GB2312" w:hAnsi="华文中宋" w:eastAsia="仿宋_GB2312"/>
          <w:sz w:val="32"/>
          <w:szCs w:val="32"/>
        </w:rPr>
        <w:t>120</w:t>
      </w:r>
      <w:r>
        <w:rPr>
          <w:rFonts w:hint="eastAsia" w:ascii="仿宋_GB2312" w:hAnsi="华文中宋" w:eastAsia="仿宋_GB2312"/>
          <w:sz w:val="32"/>
          <w:szCs w:val="32"/>
        </w:rPr>
        <w:t>亿元以上；产业投资基金、创业投资基金与风险投资基金等规模达</w:t>
      </w:r>
      <w:r>
        <w:rPr>
          <w:rFonts w:ascii="仿宋_GB2312" w:hAnsi="华文中宋" w:eastAsia="仿宋_GB2312"/>
          <w:sz w:val="32"/>
          <w:szCs w:val="32"/>
        </w:rPr>
        <w:t>30</w:t>
      </w:r>
      <w:r>
        <w:rPr>
          <w:rFonts w:hint="eastAsia" w:ascii="仿宋_GB2312" w:hAnsi="华文中宋" w:eastAsia="仿宋_GB2312"/>
          <w:sz w:val="32"/>
          <w:szCs w:val="32"/>
        </w:rPr>
        <w:t>亿元以上。</w:t>
      </w:r>
    </w:p>
    <w:p>
      <w:pPr>
        <w:pBdr>
          <w:bottom w:val="single" w:color="FFFFFF" w:sz="4" w:space="31"/>
        </w:pBdr>
        <w:topLinePunct/>
        <w:spacing w:after="0" w:line="600" w:lineRule="exact"/>
        <w:ind w:firstLine="640" w:firstLineChars="200"/>
        <w:jc w:val="both"/>
        <w:rPr>
          <w:rFonts w:hint="eastAsia" w:ascii="仿宋_GB2312" w:hAnsi="华文中宋" w:eastAsia="仿宋_GB2312"/>
          <w:sz w:val="32"/>
          <w:szCs w:val="32"/>
        </w:rPr>
      </w:pPr>
    </w:p>
    <w:p>
      <w:pPr>
        <w:pBdr>
          <w:bottom w:val="single" w:color="FFFFFF" w:sz="4" w:space="31"/>
        </w:pBdr>
        <w:topLinePunct/>
        <w:spacing w:after="0" w:line="600" w:lineRule="exact"/>
        <w:jc w:val="center"/>
        <w:rPr>
          <w:rFonts w:hint="eastAsia" w:ascii="楷体_GB2312" w:hAnsi="仿宋_GB2312" w:eastAsia="楷体_GB2312" w:cs="仿宋_GB2312"/>
          <w:b/>
          <w:sz w:val="32"/>
          <w:szCs w:val="32"/>
        </w:rPr>
      </w:pPr>
      <w:r>
        <w:rPr>
          <w:rFonts w:hint="eastAsia" w:ascii="楷体_GB2312" w:hAnsi="仿宋_GB2312" w:eastAsia="楷体_GB2312" w:cs="仿宋_GB2312"/>
          <w:b/>
          <w:sz w:val="32"/>
          <w:szCs w:val="32"/>
        </w:rPr>
        <w:t>第三节  建设西部区域性金融创新中心</w:t>
      </w:r>
    </w:p>
    <w:p>
      <w:pPr>
        <w:widowControl w:val="0"/>
        <w:pBdr>
          <w:bottom w:val="single" w:color="FFFFFF" w:sz="4" w:space="31"/>
        </w:pBdr>
        <w:topLinePunct/>
        <w:spacing w:after="0" w:line="60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加快宝鸡金融商务区基础设施建设，加强品牌宣传，提高配套功能，引导国内外传统金融机构与金融企业、金融服务机构、以及各类金融资源向宝鸡金融商务区集聚发展，健全地方金融体系，探索建立政府、银行和担保机构合作机制，积极发展金融租赁和消费金融，支持企业上市融资或发行债券，提升金融服务实体经济能力，着力打造西部区域性金融创新试验区，完善金融空间布局规划，鼓励国内外金融机构在宝设立机构。探索建立地方性银行、保险、证券、金融资产管理、融资租赁等金融机构。支持优质企业，利用资本市场上市融资和做大做强，增强宝鸡金融业的影响力，成为全省第二大金融商务区，建设西部区域性金融中心。</w:t>
      </w:r>
    </w:p>
    <w:p>
      <w:pPr>
        <w:widowControl w:val="0"/>
        <w:pBdr>
          <w:bottom w:val="single" w:color="FFFFFF" w:sz="4" w:space="31"/>
        </w:pBdr>
        <w:topLinePunct/>
        <w:spacing w:after="0" w:line="600" w:lineRule="exact"/>
        <w:ind w:firstLine="640" w:firstLineChars="200"/>
        <w:jc w:val="both"/>
        <w:rPr>
          <w:rFonts w:hint="eastAsia" w:ascii="仿宋_GB2312" w:hAnsi="仿宋_GB2312" w:eastAsia="仿宋_GB2312" w:cs="仿宋_GB2312"/>
          <w:sz w:val="32"/>
          <w:szCs w:val="32"/>
        </w:rPr>
      </w:pPr>
    </w:p>
    <w:p>
      <w:pPr>
        <w:pBdr>
          <w:bottom w:val="single" w:color="FFFFFF" w:sz="4" w:space="31"/>
        </w:pBdr>
        <w:topLinePunct/>
        <w:spacing w:after="0" w:line="600" w:lineRule="exact"/>
        <w:jc w:val="center"/>
        <w:rPr>
          <w:rFonts w:hint="eastAsia" w:ascii="黑体" w:hAnsi="黑体" w:eastAsia="黑体"/>
          <w:sz w:val="32"/>
          <w:szCs w:val="32"/>
        </w:rPr>
      </w:pPr>
      <w:r>
        <w:rPr>
          <w:rFonts w:hint="eastAsia" w:ascii="黑体" w:hAnsi="黑体" w:eastAsia="黑体"/>
          <w:sz w:val="32"/>
          <w:szCs w:val="32"/>
        </w:rPr>
        <w:t>第四十章</w:t>
      </w:r>
      <w:r>
        <w:rPr>
          <w:rFonts w:ascii="黑体" w:hAnsi="黑体" w:eastAsia="黑体"/>
          <w:sz w:val="32"/>
          <w:szCs w:val="32"/>
        </w:rPr>
        <w:t xml:space="preserve">  优化</w:t>
      </w:r>
      <w:r>
        <w:rPr>
          <w:rFonts w:hint="eastAsia" w:ascii="黑体" w:hAnsi="黑体" w:eastAsia="黑体"/>
          <w:sz w:val="32"/>
          <w:szCs w:val="32"/>
        </w:rPr>
        <w:t>需求</w:t>
      </w:r>
      <w:r>
        <w:rPr>
          <w:rFonts w:ascii="黑体" w:hAnsi="黑体" w:eastAsia="黑体"/>
          <w:sz w:val="32"/>
          <w:szCs w:val="32"/>
        </w:rPr>
        <w:t>结构扩大有效供给</w:t>
      </w:r>
    </w:p>
    <w:p>
      <w:pPr>
        <w:pBdr>
          <w:bottom w:val="single" w:color="FFFFFF" w:sz="4" w:space="31"/>
        </w:pBdr>
        <w:topLinePunct/>
        <w:spacing w:after="0" w:line="600" w:lineRule="exact"/>
        <w:jc w:val="center"/>
        <w:rPr>
          <w:rFonts w:hint="eastAsia" w:ascii="仿宋_GB2312" w:hAnsi="宋体" w:eastAsia="仿宋_GB2312" w:cs="宋体"/>
          <w:sz w:val="32"/>
          <w:szCs w:val="32"/>
        </w:rPr>
      </w:pPr>
    </w:p>
    <w:p>
      <w:pPr>
        <w:pBdr>
          <w:bottom w:val="single" w:color="FFFFFF" w:sz="4" w:space="31"/>
        </w:pBdr>
        <w:topLinePunct/>
        <w:spacing w:after="0" w:line="600" w:lineRule="exact"/>
        <w:jc w:val="center"/>
        <w:rPr>
          <w:rFonts w:ascii="宋体" w:hAnsi="宋体" w:eastAsia="宋体" w:cs="宋体"/>
          <w:sz w:val="24"/>
          <w:szCs w:val="24"/>
        </w:rPr>
      </w:pPr>
      <w:r>
        <w:rPr>
          <w:rFonts w:hint="eastAsia" w:ascii="楷体_GB2312" w:hAnsi="宋体" w:eastAsia="楷体_GB2312" w:cs="宋体"/>
          <w:b/>
          <w:sz w:val="32"/>
          <w:szCs w:val="32"/>
        </w:rPr>
        <w:t>第一节  持续</w:t>
      </w:r>
      <w:r>
        <w:rPr>
          <w:rFonts w:ascii="楷体_GB2312" w:hAnsi="宋体" w:eastAsia="楷体_GB2312" w:cs="宋体"/>
          <w:b/>
          <w:sz w:val="32"/>
          <w:szCs w:val="32"/>
        </w:rPr>
        <w:t>优化需求结构</w:t>
      </w:r>
    </w:p>
    <w:p>
      <w:pPr>
        <w:pBdr>
          <w:bottom w:val="single" w:color="FFFFFF" w:sz="4" w:space="31"/>
        </w:pBdr>
        <w:topLinePunct/>
        <w:spacing w:after="0" w:line="600" w:lineRule="exact"/>
        <w:ind w:firstLine="643" w:firstLineChars="200"/>
        <w:jc w:val="both"/>
        <w:rPr>
          <w:rFonts w:hint="eastAsia" w:ascii="仿宋_GB2312" w:hAnsi="宋体" w:eastAsia="仿宋_GB2312" w:cs="宋体"/>
          <w:sz w:val="32"/>
          <w:szCs w:val="32"/>
        </w:rPr>
      </w:pPr>
      <w:r>
        <w:rPr>
          <w:rFonts w:hint="eastAsia" w:ascii="仿宋_GB2312" w:hAnsi="宋体" w:eastAsia="仿宋_GB2312" w:cs="宋体"/>
          <w:b/>
          <w:sz w:val="32"/>
          <w:szCs w:val="32"/>
        </w:rPr>
        <w:t>继续发挥投资对稳定增长的关键作用，</w:t>
      </w:r>
      <w:r>
        <w:rPr>
          <w:rFonts w:hint="eastAsia" w:ascii="仿宋_GB2312" w:hAnsi="宋体" w:eastAsia="仿宋_GB2312" w:cs="宋体"/>
          <w:sz w:val="32"/>
          <w:szCs w:val="32"/>
        </w:rPr>
        <w:t>优化投资结构，保持投资力度不减、项目落地见效，推动调结构、促转型、补短板、惠民生。激发社会投资活力，建立政府引导基金，发布项目清单，引导社会资本进入基础设施、公共服务、生态环保等领域。加强政府债务管理，整合财政专项资金，创新投入方式，通过设立产业发展基金、推行股权投资、搞好以奖代补、开展风险补偿、完善财政贴息和政府购买服务，吸引和更多社会资本投向产业。突出开放招商、招大引强，充分考虑投入产出、土地利用、财税贡献、容纳就业和节</w:t>
      </w:r>
      <w:r>
        <w:rPr>
          <w:rFonts w:hint="eastAsia" w:ascii="仿宋_GB2312" w:hAnsi="宋体" w:eastAsia="仿宋_GB2312" w:cs="宋体"/>
          <w:color w:val="000000"/>
          <w:sz w:val="32"/>
          <w:szCs w:val="32"/>
        </w:rPr>
        <w:t>能环保等方面的效果，抓紧筛选确定一批好项目、大项目，定点招商、精准招商。</w:t>
      </w:r>
      <w:r>
        <w:rPr>
          <w:rFonts w:ascii="仿宋_GB2312" w:hAnsi="宋体" w:eastAsia="仿宋_GB2312" w:cs="宋体"/>
          <w:b/>
          <w:color w:val="000000"/>
          <w:sz w:val="32"/>
          <w:szCs w:val="32"/>
        </w:rPr>
        <w:t>着力增强消费对增长的基础性作用，</w:t>
      </w:r>
      <w:r>
        <w:rPr>
          <w:rFonts w:hint="eastAsia" w:ascii="仿宋_GB2312" w:hAnsi="宋体" w:eastAsia="仿宋_GB2312" w:cs="宋体"/>
          <w:color w:val="000000"/>
          <w:sz w:val="32"/>
          <w:szCs w:val="32"/>
        </w:rPr>
        <w:t>引入知名商贸企业和产品，</w:t>
      </w:r>
      <w:r>
        <w:rPr>
          <w:rFonts w:ascii="仿宋_GB2312" w:hAnsi="宋体" w:eastAsia="仿宋_GB2312" w:cs="宋体"/>
          <w:sz w:val="32"/>
          <w:szCs w:val="32"/>
        </w:rPr>
        <w:t>培育信息、健康养老、休闲旅游、文化教育体育等新型消费业态，健全消费维权</w:t>
      </w:r>
      <w:r>
        <w:rPr>
          <w:rFonts w:ascii="仿宋_GB2312" w:hAnsi="宋体" w:eastAsia="仿宋_GB2312" w:cs="宋体"/>
          <w:color w:val="000000"/>
          <w:sz w:val="32"/>
          <w:szCs w:val="32"/>
        </w:rPr>
        <w:t>体制机制，开展“放心消费城市”创建活动，完善消费政策，释放居民消费潜力，</w:t>
      </w:r>
      <w:r>
        <w:rPr>
          <w:rFonts w:hint="eastAsia" w:ascii="仿宋_GB2312" w:hAnsi="宋体" w:eastAsia="仿宋_GB2312" w:cs="宋体"/>
          <w:color w:val="000000"/>
          <w:sz w:val="32"/>
          <w:szCs w:val="32"/>
        </w:rPr>
        <w:t>提高物质消费和服务消费水平</w:t>
      </w:r>
      <w:r>
        <w:rPr>
          <w:rFonts w:ascii="仿宋_GB2312" w:hAnsi="宋体" w:eastAsia="仿宋_GB2312" w:cs="宋体"/>
          <w:color w:val="000000"/>
          <w:sz w:val="32"/>
          <w:szCs w:val="32"/>
        </w:rPr>
        <w:t>。</w:t>
      </w:r>
      <w:r>
        <w:rPr>
          <w:rFonts w:ascii="仿宋_GB2312" w:hAnsi="宋体" w:eastAsia="仿宋_GB2312" w:cs="宋体"/>
          <w:b/>
          <w:color w:val="000000"/>
          <w:sz w:val="32"/>
          <w:szCs w:val="32"/>
        </w:rPr>
        <w:t>发挥出口对增长的促进作用，</w:t>
      </w:r>
      <w:r>
        <w:rPr>
          <w:rFonts w:ascii="仿宋_GB2312" w:hAnsi="宋体" w:eastAsia="仿宋_GB2312" w:cs="宋体"/>
          <w:color w:val="000000"/>
          <w:sz w:val="32"/>
          <w:szCs w:val="32"/>
        </w:rPr>
        <w:t>大力发展外向型经济，培育高度国际化的市场主</w:t>
      </w:r>
      <w:r>
        <w:rPr>
          <w:rFonts w:ascii="仿宋_GB2312" w:hAnsi="宋体" w:eastAsia="仿宋_GB2312" w:cs="宋体"/>
          <w:sz w:val="32"/>
          <w:szCs w:val="32"/>
        </w:rPr>
        <w:t>体，创新加工贸易模式，扩大进出口规模，增强对外投资和扩大出口结合度，培育经济增长新优势</w:t>
      </w:r>
      <w:r>
        <w:rPr>
          <w:rFonts w:hint="eastAsia" w:ascii="仿宋_GB2312" w:hAnsi="宋体" w:eastAsia="仿宋_GB2312" w:cs="宋体"/>
          <w:sz w:val="32"/>
          <w:szCs w:val="32"/>
        </w:rPr>
        <w:t>。</w:t>
      </w:r>
    </w:p>
    <w:p>
      <w:pPr>
        <w:pBdr>
          <w:bottom w:val="single" w:color="FFFFFF" w:sz="4" w:space="31"/>
        </w:pBdr>
        <w:topLinePunct/>
        <w:spacing w:after="0" w:line="580" w:lineRule="exact"/>
        <w:jc w:val="center"/>
        <w:rPr>
          <w:rFonts w:ascii="楷体_GB2312" w:hAnsi="宋体" w:eastAsia="楷体_GB2312" w:cs="宋体"/>
          <w:b/>
          <w:sz w:val="32"/>
          <w:szCs w:val="32"/>
        </w:rPr>
      </w:pPr>
    </w:p>
    <w:p>
      <w:pPr>
        <w:pBdr>
          <w:bottom w:val="single" w:color="FFFFFF" w:sz="4" w:space="31"/>
        </w:pBdr>
        <w:topLinePunct/>
        <w:spacing w:after="0" w:line="580" w:lineRule="exact"/>
        <w:jc w:val="center"/>
        <w:rPr>
          <w:rFonts w:hint="eastAsia" w:ascii="仿宋_GB2312" w:hAnsi="宋体" w:eastAsia="仿宋_GB2312" w:cs="宋体"/>
          <w:sz w:val="32"/>
          <w:szCs w:val="32"/>
        </w:rPr>
      </w:pPr>
      <w:r>
        <w:rPr>
          <w:rFonts w:hint="eastAsia" w:ascii="楷体_GB2312" w:hAnsi="宋体" w:eastAsia="楷体_GB2312" w:cs="宋体"/>
          <w:b/>
          <w:sz w:val="32"/>
          <w:szCs w:val="32"/>
        </w:rPr>
        <w:t>第二节  积极推进供给侧结构性改革</w:t>
      </w:r>
    </w:p>
    <w:p>
      <w:pPr>
        <w:widowControl w:val="0"/>
        <w:pBdr>
          <w:bottom w:val="single" w:color="FFFFFF" w:sz="4" w:space="31"/>
        </w:pBdr>
        <w:topLinePunct/>
        <w:spacing w:after="0" w:line="580" w:lineRule="exact"/>
        <w:ind w:firstLine="640" w:firstLineChars="200"/>
        <w:jc w:val="both"/>
        <w:rPr>
          <w:rFonts w:ascii="仿宋_GB2312" w:hAnsi="宋体" w:eastAsia="仿宋_GB2312" w:cs="宋体"/>
          <w:sz w:val="32"/>
          <w:szCs w:val="32"/>
        </w:rPr>
      </w:pPr>
      <w:r>
        <w:rPr>
          <w:rFonts w:hint="eastAsia" w:ascii="仿宋_GB2312" w:hAnsi="宋体" w:eastAsia="仿宋_GB2312" w:cs="宋体"/>
          <w:sz w:val="32"/>
          <w:szCs w:val="32"/>
        </w:rPr>
        <w:t>加大供给侧改革，着力改善供给侧结构。</w:t>
      </w:r>
      <w:r>
        <w:rPr>
          <w:rFonts w:hint="eastAsia" w:ascii="仿宋_GB2312" w:hAnsi="宋体" w:eastAsia="仿宋_GB2312" w:cs="宋体"/>
          <w:b/>
          <w:sz w:val="32"/>
          <w:szCs w:val="32"/>
        </w:rPr>
        <w:t>开展降低实体经济企业成本行动</w:t>
      </w:r>
      <w:r>
        <w:rPr>
          <w:rFonts w:hint="eastAsia" w:ascii="仿宋_GB2312" w:hAnsi="宋体" w:eastAsia="仿宋_GB2312" w:cs="宋体"/>
          <w:sz w:val="32"/>
          <w:szCs w:val="32"/>
        </w:rPr>
        <w:t>，清理和规范涉企行政事业收费，减轻企业负担，限制政府对企业经营决策的干预，切实提高企业盈利能力和空间。从降低交易、人工、物流、财务成本和税费、五险一金、电力价格等方面发力，清理规范中介服务，实施涉企收费目录清单管理，打好降本增效</w:t>
      </w:r>
      <w:r>
        <w:rPr>
          <w:rFonts w:ascii="仿宋_GB2312" w:hAnsi="宋体" w:eastAsia="仿宋_GB2312" w:cs="宋体"/>
          <w:sz w:val="32"/>
          <w:szCs w:val="32"/>
        </w:rPr>
        <w:t>“</w:t>
      </w:r>
      <w:r>
        <w:rPr>
          <w:rFonts w:hint="eastAsia" w:ascii="仿宋_GB2312" w:hAnsi="宋体" w:eastAsia="仿宋_GB2312" w:cs="宋体"/>
          <w:sz w:val="32"/>
          <w:szCs w:val="32"/>
        </w:rPr>
        <w:t>组合拳</w:t>
      </w:r>
      <w:r>
        <w:rPr>
          <w:rFonts w:ascii="仿宋_GB2312" w:hAnsi="宋体" w:eastAsia="仿宋_GB2312" w:cs="宋体"/>
          <w:sz w:val="32"/>
          <w:szCs w:val="32"/>
        </w:rPr>
        <w:t>”</w:t>
      </w:r>
      <w:r>
        <w:rPr>
          <w:rFonts w:hint="eastAsia" w:ascii="仿宋_GB2312" w:hAnsi="宋体" w:eastAsia="仿宋_GB2312" w:cs="宋体"/>
          <w:sz w:val="32"/>
          <w:szCs w:val="32"/>
        </w:rPr>
        <w:t>。</w:t>
      </w:r>
      <w:r>
        <w:rPr>
          <w:rFonts w:hint="eastAsia" w:ascii="仿宋_GB2312" w:hAnsi="宋体" w:eastAsia="仿宋_GB2312" w:cs="宋体"/>
          <w:b/>
          <w:sz w:val="32"/>
          <w:szCs w:val="32"/>
        </w:rPr>
        <w:t>实施淘汰僵尸企业行动，</w:t>
      </w:r>
      <w:r>
        <w:rPr>
          <w:rFonts w:hint="eastAsia" w:ascii="仿宋_GB2312" w:hAnsi="宋体" w:eastAsia="仿宋_GB2312" w:cs="宋体"/>
          <w:sz w:val="32"/>
          <w:szCs w:val="32"/>
        </w:rPr>
        <w:t>分类推进国企改革，优化国有资本配置，积极发展混合所有制企业。争取中省专项奖补资金，坚决淘汰</w:t>
      </w:r>
      <w:r>
        <w:rPr>
          <w:rFonts w:ascii="仿宋_GB2312" w:hAnsi="宋体" w:eastAsia="仿宋_GB2312" w:cs="宋体"/>
          <w:sz w:val="32"/>
          <w:szCs w:val="32"/>
        </w:rPr>
        <w:t>“</w:t>
      </w:r>
      <w:r>
        <w:rPr>
          <w:rFonts w:hint="eastAsia" w:ascii="仿宋_GB2312" w:hAnsi="宋体" w:eastAsia="仿宋_GB2312" w:cs="宋体"/>
          <w:sz w:val="32"/>
          <w:szCs w:val="32"/>
        </w:rPr>
        <w:t>僵尸企业</w:t>
      </w:r>
      <w:r>
        <w:rPr>
          <w:rFonts w:ascii="仿宋_GB2312" w:hAnsi="宋体" w:eastAsia="仿宋_GB2312" w:cs="宋体"/>
          <w:sz w:val="32"/>
          <w:szCs w:val="32"/>
        </w:rPr>
        <w:t>”</w:t>
      </w:r>
      <w:r>
        <w:rPr>
          <w:rFonts w:hint="eastAsia" w:ascii="仿宋_GB2312" w:hAnsi="宋体" w:eastAsia="仿宋_GB2312" w:cs="宋体"/>
          <w:sz w:val="32"/>
          <w:szCs w:val="32"/>
        </w:rPr>
        <w:t>、高污染企业和产能过剩领域无竞争力企业，妥善安置分流人员。加快企业重组整合，推进有序退出，有效化解过剩产能。</w:t>
      </w:r>
      <w:r>
        <w:rPr>
          <w:rFonts w:hint="eastAsia" w:ascii="仿宋_GB2312" w:hAnsi="宋体" w:eastAsia="仿宋_GB2312" w:cs="宋体"/>
          <w:b/>
          <w:sz w:val="32"/>
          <w:szCs w:val="32"/>
        </w:rPr>
        <w:t>实施全要素生产率提升行动，</w:t>
      </w:r>
      <w:r>
        <w:rPr>
          <w:rFonts w:hint="eastAsia" w:ascii="仿宋_GB2312" w:hAnsi="宋体" w:eastAsia="仿宋_GB2312" w:cs="宋体"/>
          <w:sz w:val="32"/>
          <w:szCs w:val="32"/>
        </w:rPr>
        <w:t>精准研判国际国内市场价格变化，向管理和技改要效益，鼓励企业采用新技术、新工艺，推动管理和组织创新。</w:t>
      </w:r>
      <w:r>
        <w:rPr>
          <w:rFonts w:hint="eastAsia" w:ascii="仿宋_GB2312" w:hAnsi="宋体" w:eastAsia="仿宋_GB2312" w:cs="宋体"/>
          <w:b/>
          <w:sz w:val="32"/>
          <w:szCs w:val="32"/>
        </w:rPr>
        <w:t>实施高品质消费供给行动，</w:t>
      </w:r>
      <w:r>
        <w:rPr>
          <w:rFonts w:hint="eastAsia" w:ascii="仿宋_GB2312" w:hAnsi="宋体" w:eastAsia="仿宋_GB2312" w:cs="宋体"/>
          <w:sz w:val="32"/>
          <w:szCs w:val="32"/>
        </w:rPr>
        <w:t>适应个性化、多样化、安全性、高品质消费需求，发展精致生产，推动农产品绿色健康，提升工业品质量，努力增加网络信息、文化旅游、健康休闲等服务产品有效供给。支持服务主题围绕消费新需求增加有效供给，加大地产品牌推广力度，建设城市商业聚集区和</w:t>
      </w:r>
      <w:r>
        <w:rPr>
          <w:rFonts w:ascii="仿宋_GB2312" w:hAnsi="宋体" w:eastAsia="仿宋_GB2312" w:cs="宋体"/>
          <w:sz w:val="32"/>
          <w:szCs w:val="32"/>
        </w:rPr>
        <w:t>“15</w:t>
      </w:r>
      <w:r>
        <w:rPr>
          <w:rFonts w:hint="eastAsia" w:ascii="仿宋_GB2312" w:hAnsi="宋体" w:eastAsia="仿宋_GB2312" w:cs="宋体"/>
          <w:sz w:val="32"/>
          <w:szCs w:val="32"/>
        </w:rPr>
        <w:t>分钟</w:t>
      </w:r>
      <w:r>
        <w:rPr>
          <w:rFonts w:ascii="仿宋_GB2312" w:hAnsi="宋体" w:eastAsia="仿宋_GB2312" w:cs="宋体"/>
          <w:sz w:val="32"/>
          <w:szCs w:val="32"/>
        </w:rPr>
        <w:t>”</w:t>
      </w:r>
      <w:r>
        <w:rPr>
          <w:rFonts w:hint="eastAsia" w:ascii="仿宋_GB2312" w:hAnsi="宋体" w:eastAsia="仿宋_GB2312" w:cs="宋体"/>
          <w:sz w:val="32"/>
          <w:szCs w:val="32"/>
        </w:rPr>
        <w:t>社区便民生活服务圈，培育发展文化休闲、体育健身、医养结合等消费业态，引领生产性服务业向专业化和价值链高端延伸，生活性服务业向精致和高品质转变。</w:t>
      </w:r>
      <w:r>
        <w:rPr>
          <w:rFonts w:hint="eastAsia" w:ascii="仿宋_GB2312" w:hAnsi="宋体" w:eastAsia="仿宋_GB2312" w:cs="宋体"/>
          <w:b/>
          <w:sz w:val="32"/>
          <w:szCs w:val="32"/>
        </w:rPr>
        <w:t>实施中小微企业发展壮大行动，</w:t>
      </w:r>
      <w:r>
        <w:rPr>
          <w:rFonts w:hint="eastAsia" w:ascii="仿宋_GB2312" w:hAnsi="宋体" w:eastAsia="仿宋_GB2312" w:cs="宋体"/>
          <w:sz w:val="32"/>
          <w:szCs w:val="32"/>
        </w:rPr>
        <w:t>进一步放宽行业准入，支持科技型中小企业蓬勃发展。分类施策支持市场有效益企业扩大销售，积极扶持中小微企业健康发展，完善扶持政策。</w:t>
      </w:r>
    </w:p>
    <w:p>
      <w:pPr>
        <w:widowControl w:val="0"/>
        <w:pBdr>
          <w:bottom w:val="single" w:color="FFFFFF" w:sz="4" w:space="31"/>
        </w:pBdr>
        <w:topLinePunct/>
        <w:spacing w:after="0" w:line="580" w:lineRule="exact"/>
        <w:ind w:firstLine="640" w:firstLineChars="200"/>
        <w:jc w:val="both"/>
        <w:rPr>
          <w:rFonts w:hint="eastAsia" w:ascii="仿宋_GB2312" w:hAnsi="宋体" w:eastAsia="仿宋_GB2312" w:cs="宋体"/>
          <w:sz w:val="32"/>
          <w:szCs w:val="32"/>
        </w:rPr>
      </w:pPr>
    </w:p>
    <w:p>
      <w:pPr>
        <w:widowControl w:val="0"/>
        <w:pBdr>
          <w:bottom w:val="single" w:color="FFFFFF" w:sz="4" w:space="31"/>
        </w:pBdr>
        <w:topLinePunct/>
        <w:spacing w:after="0" w:line="600" w:lineRule="exact"/>
        <w:jc w:val="center"/>
        <w:rPr>
          <w:rFonts w:ascii="华文中宋" w:hAnsi="华文中宋" w:eastAsia="华文中宋"/>
          <w:b/>
          <w:sz w:val="36"/>
          <w:szCs w:val="36"/>
        </w:rPr>
      </w:pPr>
      <w:r>
        <w:rPr>
          <w:rFonts w:hint="eastAsia" w:ascii="华文中宋" w:hAnsi="华文中宋" w:eastAsia="华文中宋"/>
          <w:b/>
          <w:sz w:val="36"/>
          <w:szCs w:val="36"/>
        </w:rPr>
        <w:t>第十二篇</w:t>
      </w:r>
      <w:r>
        <w:rPr>
          <w:rFonts w:ascii="华文中宋" w:hAnsi="华文中宋" w:eastAsia="华文中宋"/>
          <w:b/>
          <w:sz w:val="36"/>
          <w:szCs w:val="36"/>
        </w:rPr>
        <w:t xml:space="preserve">  </w:t>
      </w:r>
      <w:r>
        <w:rPr>
          <w:rFonts w:hint="eastAsia" w:ascii="华文中宋" w:hAnsi="华文中宋" w:eastAsia="华文中宋"/>
          <w:b/>
          <w:sz w:val="36"/>
          <w:szCs w:val="36"/>
        </w:rPr>
        <w:t>深入推进信息化发展</w:t>
      </w:r>
    </w:p>
    <w:p>
      <w:pPr>
        <w:widowControl w:val="0"/>
        <w:pBdr>
          <w:bottom w:val="single" w:color="FFFFFF" w:sz="4" w:space="31"/>
        </w:pBdr>
        <w:topLinePunct/>
        <w:spacing w:after="0" w:line="600" w:lineRule="exact"/>
        <w:jc w:val="center"/>
        <w:rPr>
          <w:rFonts w:ascii="华文中宋" w:hAnsi="华文中宋" w:eastAsia="华文中宋"/>
          <w:b/>
          <w:sz w:val="36"/>
          <w:szCs w:val="36"/>
        </w:rPr>
      </w:pPr>
    </w:p>
    <w:p>
      <w:pPr>
        <w:widowControl w:val="0"/>
        <w:pBdr>
          <w:bottom w:val="single" w:color="FFFFFF" w:sz="4" w:space="31"/>
        </w:pBdr>
        <w:topLinePunct/>
        <w:spacing w:after="0" w:line="600" w:lineRule="exact"/>
        <w:jc w:val="both"/>
        <w:rPr>
          <w:rFonts w:ascii="华文中宋" w:hAnsi="华文中宋" w:eastAsia="华文中宋"/>
          <w:b/>
          <w:sz w:val="36"/>
          <w:szCs w:val="36"/>
        </w:rPr>
      </w:pPr>
      <w:r>
        <w:rPr>
          <w:rFonts w:hint="eastAsia" w:ascii="仿宋_GB2312" w:hAnsi="华文中宋" w:eastAsia="仿宋_GB2312"/>
          <w:sz w:val="32"/>
          <w:szCs w:val="32"/>
        </w:rPr>
        <w:t xml:space="preserve">    落实国家“互联网</w:t>
      </w:r>
      <w:r>
        <w:rPr>
          <w:rFonts w:ascii="仿宋_GB2312" w:hAnsi="华文中宋" w:eastAsia="仿宋_GB2312"/>
          <w:sz w:val="32"/>
          <w:szCs w:val="32"/>
        </w:rPr>
        <w:t>+</w:t>
      </w:r>
      <w:r>
        <w:rPr>
          <w:rFonts w:hint="eastAsia" w:ascii="仿宋_GB2312" w:hAnsi="华文中宋" w:eastAsia="仿宋_GB2312"/>
          <w:sz w:val="32"/>
          <w:szCs w:val="32"/>
        </w:rPr>
        <w:t>”战略和“智慧宝鸡”战略，实施基础设施提升工程、农业信息化重大工程、两化深度融合工程、“互联网+”助推工程、电子政务深化应用工程、智慧城市建设工程、网络安全工程七大工程，大力推进基础设施、现代产业、智慧政务和信息惠民加快发展，不断优化网络安全环境，提升社会管理和公共服务水平，促进信息化、工业化、城镇化、农业现代化同步发展。到“十三五”末，宝鸡市信息化总体水平进入全省先进行列，信息化发展水平总指数达到</w:t>
      </w:r>
      <w:r>
        <w:rPr>
          <w:rFonts w:ascii="仿宋_GB2312" w:hAnsi="华文中宋" w:eastAsia="仿宋_GB2312"/>
          <w:sz w:val="32"/>
          <w:szCs w:val="32"/>
        </w:rPr>
        <w:t>0.855</w:t>
      </w:r>
      <w:r>
        <w:rPr>
          <w:rFonts w:hint="eastAsia" w:ascii="仿宋_GB2312" w:hAnsi="华文中宋" w:eastAsia="仿宋_GB2312"/>
          <w:sz w:val="32"/>
          <w:szCs w:val="32"/>
        </w:rPr>
        <w:t>，信息化基础设施、产业发展、智慧政务、信息惠民和网络信息安全等主要发展目标</w:t>
      </w:r>
      <w:r>
        <w:rPr>
          <w:rFonts w:hint="eastAsia" w:ascii="仿宋_GB2312" w:eastAsia="仿宋_GB2312"/>
          <w:sz w:val="32"/>
          <w:szCs w:val="32"/>
        </w:rPr>
        <w:t>取得显著进步。</w:t>
      </w:r>
    </w:p>
    <w:p>
      <w:pPr>
        <w:widowControl w:val="0"/>
        <w:pBdr>
          <w:bottom w:val="single" w:color="FFFFFF" w:sz="4" w:space="31"/>
        </w:pBdr>
        <w:topLinePunct/>
        <w:spacing w:after="0" w:line="600" w:lineRule="exact"/>
        <w:jc w:val="center"/>
        <w:rPr>
          <w:rFonts w:ascii="华文中宋" w:hAnsi="华文中宋" w:eastAsia="华文中宋"/>
          <w:b/>
          <w:sz w:val="36"/>
          <w:szCs w:val="36"/>
        </w:rPr>
      </w:pPr>
      <w:r>
        <w:rPr>
          <w:rFonts w:hint="eastAsia"/>
          <w:lang/>
        </w:rPr>
        <mc:AlternateContent>
          <mc:Choice Requires="wps">
            <w:drawing>
              <wp:anchor distT="0" distB="0" distL="114300" distR="114300" simplePos="0" relativeHeight="251729920" behindDoc="0" locked="0" layoutInCell="1" allowOverlap="1">
                <wp:simplePos x="0" y="0"/>
                <wp:positionH relativeFrom="column">
                  <wp:posOffset>12065</wp:posOffset>
                </wp:positionH>
                <wp:positionV relativeFrom="paragraph">
                  <wp:posOffset>201295</wp:posOffset>
                </wp:positionV>
                <wp:extent cx="5523230" cy="2486660"/>
                <wp:effectExtent l="4445" t="4445" r="15875" b="23495"/>
                <wp:wrapSquare wrapText="bothSides"/>
                <wp:docPr id="70" name="文本框 178"/>
                <wp:cNvGraphicFramePr/>
                <a:graphic xmlns:a="http://schemas.openxmlformats.org/drawingml/2006/main">
                  <a:graphicData uri="http://schemas.microsoft.com/office/word/2010/wordprocessingShape">
                    <wps:wsp>
                      <wps:cNvSpPr txBox="1"/>
                      <wps:spPr>
                        <a:xfrm>
                          <a:off x="0" y="0"/>
                          <a:ext cx="5523230" cy="2486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rPr>
                                <w:rFonts w:hint="eastAsia" w:ascii="黑体" w:hAnsi="黑体" w:eastAsia="黑体"/>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8</w:t>
                            </w:r>
                          </w:p>
                          <w:p>
                            <w:pPr>
                              <w:spacing w:after="0" w:line="300" w:lineRule="exact"/>
                              <w:jc w:val="center"/>
                              <w:rPr>
                                <w:rFonts w:hint="eastAsia" w:ascii="楷体_GB2312" w:eastAsia="楷体_GB2312"/>
                                <w:b/>
                                <w:sz w:val="21"/>
                                <w:szCs w:val="21"/>
                              </w:rPr>
                            </w:pPr>
                            <w:r>
                              <w:rPr>
                                <w:rFonts w:hint="eastAsia" w:ascii="黑体" w:hAnsi="黑体" w:eastAsia="黑体"/>
                                <w:b/>
                                <w:sz w:val="21"/>
                                <w:szCs w:val="21"/>
                              </w:rPr>
                              <w:t>信息化建设七大工程</w:t>
                            </w:r>
                          </w:p>
                          <w:p>
                            <w:pPr>
                              <w:spacing w:after="0" w:line="300" w:lineRule="exact"/>
                              <w:ind w:firstLine="422" w:firstLineChars="200"/>
                              <w:jc w:val="both"/>
                              <w:rPr>
                                <w:rFonts w:hint="eastAsia" w:ascii="楷体_GB2312" w:eastAsia="楷体_GB2312"/>
                                <w:sz w:val="21"/>
                                <w:szCs w:val="21"/>
                              </w:rPr>
                            </w:pPr>
                            <w:r>
                              <w:rPr>
                                <w:rFonts w:hint="eastAsia" w:ascii="楷体_GB2312" w:eastAsia="楷体_GB2312"/>
                                <w:b/>
                                <w:sz w:val="21"/>
                                <w:szCs w:val="21"/>
                              </w:rPr>
                              <w:t>基础设施提升工程：</w:t>
                            </w:r>
                            <w:r>
                              <w:rPr>
                                <w:rFonts w:hint="eastAsia" w:ascii="楷体_GB2312" w:eastAsia="楷体_GB2312"/>
                                <w:sz w:val="21"/>
                                <w:szCs w:val="21"/>
                              </w:rPr>
                              <w:t>主要实施</w:t>
                            </w:r>
                            <w:r>
                              <w:rPr>
                                <w:rFonts w:hint="eastAsia" w:ascii="楷体_GB2312" w:hAnsi="仿宋" w:eastAsia="楷体_GB2312" w:cs="楷体"/>
                                <w:bCs/>
                                <w:sz w:val="21"/>
                                <w:szCs w:val="21"/>
                              </w:rPr>
                              <w:t>“宽带乡村”、“光网城市”</w:t>
                            </w:r>
                            <w:r>
                              <w:rPr>
                                <w:rFonts w:hint="eastAsia" w:ascii="楷体_GB2312" w:hAnsi="仿宋" w:eastAsia="楷体_GB2312" w:cs="楷体"/>
                                <w:bCs/>
                                <w:sz w:val="21"/>
                                <w:szCs w:val="21"/>
                                <w:lang w:val="zh-CN"/>
                              </w:rPr>
                              <w:t>、</w:t>
                            </w:r>
                            <w:r>
                              <w:rPr>
                                <w:rFonts w:hint="eastAsia" w:ascii="楷体_GB2312" w:hAnsi="仿宋" w:eastAsia="楷体_GB2312" w:cs="楷体"/>
                                <w:bCs/>
                                <w:sz w:val="21"/>
                                <w:szCs w:val="21"/>
                              </w:rPr>
                              <w:t>“无线城市”、智能基础设施建设等</w:t>
                            </w:r>
                            <w:r>
                              <w:rPr>
                                <w:rFonts w:hint="eastAsia" w:ascii="楷体_GB2312" w:hAnsi="仿宋" w:eastAsia="楷体_GB2312" w:cs="楷体"/>
                                <w:bCs/>
                                <w:sz w:val="21"/>
                                <w:szCs w:val="21"/>
                                <w:lang w:val="zh-CN"/>
                              </w:rPr>
                              <w:t>项目。</w:t>
                            </w:r>
                            <w:r>
                              <w:rPr>
                                <w:rFonts w:hint="eastAsia" w:ascii="楷体_GB2312" w:eastAsia="楷体_GB2312"/>
                                <w:b/>
                                <w:sz w:val="21"/>
                                <w:szCs w:val="21"/>
                              </w:rPr>
                              <w:t>农业信息化重大工程：</w:t>
                            </w:r>
                            <w:r>
                              <w:rPr>
                                <w:rFonts w:hint="eastAsia" w:ascii="楷体_GB2312" w:eastAsia="楷体_GB2312"/>
                                <w:sz w:val="21"/>
                                <w:szCs w:val="21"/>
                              </w:rPr>
                              <w:t>主要实施</w:t>
                            </w:r>
                            <w:r>
                              <w:rPr>
                                <w:rFonts w:hint="eastAsia" w:ascii="楷体_GB2312" w:hAnsi="仿宋" w:eastAsia="楷体_GB2312" w:cs="楷体"/>
                                <w:bCs/>
                                <w:sz w:val="21"/>
                                <w:szCs w:val="21"/>
                              </w:rPr>
                              <w:t>“三农”信息服务、</w:t>
                            </w:r>
                            <w:r>
                              <w:rPr>
                                <w:rFonts w:hint="eastAsia" w:ascii="楷体_GB2312" w:hAnsi="仿宋" w:eastAsia="楷体_GB2312" w:cs="楷体"/>
                                <w:sz w:val="21"/>
                                <w:szCs w:val="21"/>
                              </w:rPr>
                              <w:t>农产品质量安全可追溯系统、农村土地确权登记信息管理系统、现代农业园区等项目。</w:t>
                            </w:r>
                            <w:r>
                              <w:rPr>
                                <w:rFonts w:hint="eastAsia" w:ascii="楷体_GB2312" w:eastAsia="楷体_GB2312"/>
                                <w:b/>
                                <w:sz w:val="21"/>
                                <w:szCs w:val="21"/>
                              </w:rPr>
                              <w:t>两化深度融合工程：</w:t>
                            </w:r>
                            <w:r>
                              <w:rPr>
                                <w:rFonts w:hint="eastAsia" w:ascii="楷体_GB2312" w:eastAsia="楷体_GB2312"/>
                                <w:sz w:val="21"/>
                                <w:szCs w:val="21"/>
                              </w:rPr>
                              <w:t>主要实施</w:t>
                            </w:r>
                            <w:r>
                              <w:rPr>
                                <w:rFonts w:hint="eastAsia" w:ascii="楷体_GB2312" w:hAnsi="仿宋" w:eastAsia="楷体_GB2312"/>
                                <w:sz w:val="21"/>
                                <w:szCs w:val="21"/>
                              </w:rPr>
                              <w:t>工业转型升级、智能制造提升、智慧园区建设、工业云平台等项目。</w:t>
                            </w:r>
                            <w:r>
                              <w:rPr>
                                <w:rFonts w:hint="eastAsia" w:ascii="楷体_GB2312" w:eastAsia="楷体_GB2312"/>
                                <w:sz w:val="21"/>
                                <w:szCs w:val="21"/>
                              </w:rPr>
                              <w:t>“</w:t>
                            </w:r>
                            <w:r>
                              <w:rPr>
                                <w:rFonts w:hint="eastAsia" w:ascii="楷体_GB2312" w:eastAsia="楷体_GB2312"/>
                                <w:b/>
                                <w:sz w:val="21"/>
                                <w:szCs w:val="21"/>
                              </w:rPr>
                              <w:t>互联网+”助推工程：</w:t>
                            </w:r>
                            <w:r>
                              <w:rPr>
                                <w:rFonts w:hint="eastAsia" w:ascii="楷体_GB2312" w:eastAsia="楷体_GB2312"/>
                                <w:sz w:val="21"/>
                                <w:szCs w:val="21"/>
                              </w:rPr>
                              <w:t>主要实施</w:t>
                            </w:r>
                            <w:r>
                              <w:rPr>
                                <w:rFonts w:hint="eastAsia" w:ascii="楷体_GB2312" w:hAnsi="仿宋" w:eastAsia="楷体_GB2312" w:cs="楷体"/>
                                <w:sz w:val="21"/>
                                <w:szCs w:val="21"/>
                              </w:rPr>
                              <w:t>“百镇千企万人”电商创业、</w:t>
                            </w:r>
                            <w:r>
                              <w:rPr>
                                <w:rFonts w:hint="eastAsia" w:ascii="楷体_GB2312" w:hAnsi="仿宋" w:eastAsia="楷体_GB2312"/>
                                <w:sz w:val="21"/>
                                <w:szCs w:val="21"/>
                              </w:rPr>
                              <w:t>电子商务公共信息服务平台工程、</w:t>
                            </w:r>
                            <w:r>
                              <w:rPr>
                                <w:rFonts w:hint="eastAsia" w:ascii="楷体_GB2312" w:hAnsi="仿宋" w:eastAsia="楷体_GB2312" w:cs="楷体"/>
                                <w:bCs/>
                                <w:sz w:val="21"/>
                                <w:szCs w:val="21"/>
                              </w:rPr>
                              <w:t>现代物流信息平台建设、互联网众创空间等项目</w:t>
                            </w:r>
                            <w:r>
                              <w:rPr>
                                <w:rFonts w:hint="eastAsia" w:ascii="楷体_GB2312" w:hAnsi="仿宋" w:eastAsia="楷体_GB2312" w:cs="楷体"/>
                                <w:sz w:val="21"/>
                                <w:szCs w:val="21"/>
                              </w:rPr>
                              <w:t>。</w:t>
                            </w:r>
                            <w:r>
                              <w:rPr>
                                <w:rFonts w:hint="eastAsia" w:ascii="楷体_GB2312" w:eastAsia="楷体_GB2312"/>
                                <w:b/>
                                <w:sz w:val="21"/>
                                <w:szCs w:val="21"/>
                              </w:rPr>
                              <w:t>电子政务深化应用工程：</w:t>
                            </w:r>
                            <w:r>
                              <w:rPr>
                                <w:rFonts w:hint="eastAsia" w:ascii="楷体_GB2312" w:eastAsia="楷体_GB2312"/>
                                <w:sz w:val="21"/>
                                <w:szCs w:val="21"/>
                              </w:rPr>
                              <w:t>主要实施</w:t>
                            </w:r>
                            <w:r>
                              <w:rPr>
                                <w:rFonts w:hint="eastAsia" w:ascii="楷体_GB2312" w:hAnsi="仿宋" w:eastAsia="楷体_GB2312" w:cs="楷体"/>
                                <w:sz w:val="21"/>
                                <w:szCs w:val="21"/>
                              </w:rPr>
                              <w:t>大数据中心、公文在线报送签批平台、行政审批与电子监察平台、市民融合服务平台、城市综合可视平台、应急指挥与辅助决策平台等项目。</w:t>
                            </w:r>
                            <w:r>
                              <w:rPr>
                                <w:rFonts w:hint="eastAsia" w:ascii="楷体_GB2312" w:eastAsia="楷体_GB2312"/>
                                <w:b/>
                                <w:sz w:val="21"/>
                                <w:szCs w:val="21"/>
                              </w:rPr>
                              <w:t>智慧城市建设工程：</w:t>
                            </w:r>
                            <w:r>
                              <w:rPr>
                                <w:rFonts w:hint="eastAsia" w:ascii="楷体_GB2312" w:eastAsia="楷体_GB2312"/>
                                <w:sz w:val="21"/>
                                <w:szCs w:val="21"/>
                              </w:rPr>
                              <w:t>主要实施</w:t>
                            </w:r>
                            <w:r>
                              <w:rPr>
                                <w:rFonts w:hint="eastAsia" w:ascii="楷体_GB2312" w:hAnsi="仿宋" w:eastAsia="楷体_GB2312" w:cs="楷体"/>
                                <w:sz w:val="21"/>
                                <w:szCs w:val="21"/>
                              </w:rPr>
                              <w:t>智慧社区、智慧教育、智慧医疗、</w:t>
                            </w:r>
                            <w:r>
                              <w:rPr>
                                <w:rFonts w:hint="eastAsia" w:ascii="楷体_GB2312" w:hAnsi="仿宋" w:eastAsia="楷体_GB2312"/>
                                <w:sz w:val="21"/>
                                <w:szCs w:val="21"/>
                              </w:rPr>
                              <w:t>智慧社保、</w:t>
                            </w:r>
                            <w:r>
                              <w:rPr>
                                <w:rFonts w:hint="eastAsia" w:ascii="楷体_GB2312" w:hAnsi="仿宋" w:eastAsia="楷体_GB2312" w:cs="楷体"/>
                                <w:sz w:val="21"/>
                                <w:szCs w:val="21"/>
                              </w:rPr>
                              <w:t>智慧养老</w:t>
                            </w:r>
                            <w:r>
                              <w:rPr>
                                <w:rFonts w:hint="eastAsia" w:ascii="楷体_GB2312" w:hAnsi="黑体" w:eastAsia="楷体_GB2312"/>
                                <w:sz w:val="21"/>
                                <w:szCs w:val="21"/>
                              </w:rPr>
                              <w:t>、</w:t>
                            </w:r>
                            <w:r>
                              <w:rPr>
                                <w:rFonts w:hint="eastAsia" w:ascii="楷体_GB2312" w:hAnsi="仿宋" w:eastAsia="楷体_GB2312"/>
                                <w:sz w:val="21"/>
                                <w:szCs w:val="21"/>
                              </w:rPr>
                              <w:t>智慧食药、</w:t>
                            </w:r>
                            <w:r>
                              <w:rPr>
                                <w:rFonts w:hint="eastAsia" w:ascii="楷体_GB2312" w:hAnsi="仿宋" w:eastAsia="楷体_GB2312" w:cs="楷体"/>
                                <w:sz w:val="21"/>
                                <w:szCs w:val="21"/>
                              </w:rPr>
                              <w:t>智慧城管等项目。</w:t>
                            </w:r>
                            <w:r>
                              <w:rPr>
                                <w:rFonts w:hint="eastAsia" w:ascii="楷体_GB2312" w:eastAsia="楷体_GB2312"/>
                                <w:b/>
                                <w:sz w:val="21"/>
                                <w:szCs w:val="21"/>
                              </w:rPr>
                              <w:t>网络安全工程：</w:t>
                            </w:r>
                            <w:r>
                              <w:rPr>
                                <w:rFonts w:hint="eastAsia" w:ascii="楷体_GB2312" w:eastAsia="楷体_GB2312"/>
                                <w:sz w:val="21"/>
                                <w:szCs w:val="21"/>
                              </w:rPr>
                              <w:t>主要实施</w:t>
                            </w:r>
                            <w:r>
                              <w:rPr>
                                <w:rFonts w:hint="eastAsia" w:ascii="楷体_GB2312" w:hAnsi="仿宋" w:eastAsia="楷体_GB2312" w:cs="楷体"/>
                                <w:sz w:val="21"/>
                                <w:szCs w:val="21"/>
                              </w:rPr>
                              <w:t>电子政务安全保障、政府网站安全防护等项目。</w:t>
                            </w:r>
                          </w:p>
                        </w:txbxContent>
                      </wps:txbx>
                      <wps:bodyPr wrap="square" upright="1"/>
                    </wps:wsp>
                  </a:graphicData>
                </a:graphic>
              </wp:anchor>
            </w:drawing>
          </mc:Choice>
          <mc:Fallback>
            <w:pict>
              <v:shape id="文本框 178" o:spid="_x0000_s1026" o:spt="202" type="#_x0000_t202" style="position:absolute;left:0pt;margin-left:0.95pt;margin-top:15.85pt;height:195.8pt;width:434.9pt;mso-wrap-distance-bottom:0pt;mso-wrap-distance-left:9pt;mso-wrap-distance-right:9pt;mso-wrap-distance-top:0pt;z-index:251729920;mso-width-relative:page;mso-height-relative:page;" fillcolor="#FFFFFF" filled="t" stroked="t" coordsize="21600,21600" o:gfxdata="UEsDBAoAAAAAAIdO4kAAAAAAAAAAAAAAAAAEAAAAZHJzL1BLAwQUAAAACACHTuJA673QntcAAAAI&#10;AQAADwAAAGRycy9kb3ducmV2LnhtbE2PwU7DMBBE70j8g7VIXFDrpKmaNMTpAQkENyioXN14m0TE&#10;62C7afl7tie47WhGs2+qzdkOYkIfekcK0nkCAqlxpqdWwcf746wAEaImowdHqOAHA2zq66tKl8ad&#10;6A2nbWwFl1AotYIuxrGUMjQdWh3mbkRi7+C81ZGlb6Xx+sTldpCLJFlJq3viD50e8aHD5mt7tAqK&#10;5fP0GV6y112zOgzreJdPT99eqdubNLkHEfEc/8JwwWd0qJlp745kghhYrzmoIEtzEGwX+eXYK1gu&#10;sgxkXcn/A+pfUEsDBBQAAAAIAIdO4kCykQQEGwIAAEgEAAAOAAAAZHJzL2Uyb0RvYy54bWytVEuS&#10;0zAQ3VPFHVTaEycekgmuOFMFIWwooGrgAIot26rSD0mJnQvADVixYc+5cg6elEzmA4ss8MJuqVuv&#10;+71ueXEzKEl23HlhdEknozElXFemFrot6ZfP6xdzSnxgumbSaF7SPff0Zvn82aK3Bc9NZ2TNHQGI&#10;9kVvS9qFYIss81XHFfMjY7mGszFOsYCla7PasR7oSmb5eDzLeuNq60zFvcfu6uikJ0R3CaBpGlHx&#10;lam2iutwRHVcsgBKvhPW02Wqtml4FT42jeeByJKCaUhvJIG9ie9suWBF65jtRHUqgV1SwhNOigmN&#10;pGeoFQuMbJ34C0qJyhlvmjCqjMqORJIiYDEZP9HmtmOWJy6Q2tuz6P7/wVYfdp8cEXVJryGJZgod&#10;P/z4fvj5+/DrG5lcz6NCvfUFAm8tQsPw2gyYm7t9j81IfGicil9QIvADbH/Wlw+BVNicTvOr/Aqu&#10;Cr785Xw2m6UOZPfHrfPhHTeKRKOkDg1MurLdex9QCkLvQmI2b6So10LKtHDt5o10ZMfQ7HV6YpU4&#10;8ihMatKX9NU0n6IQhgluMDkwlYUKXrcp36MT/iHwOD3/Ao6FrZjvjgUkhBjGCiUCd8nqOKvf6pqE&#10;vYXQGheMxmIUrymRHPcxWikyMCEviQQ7qUEy9ujYi2iFYTMAJpobU+/Rtx4zDnpft8wh59Y60XYQ&#10;OPUxHcaAJa1OlyFO8MN1SnH/A1j+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u90J7XAAAACAEA&#10;AA8AAAAAAAAAAQAgAAAAIgAAAGRycy9kb3ducmV2LnhtbFBLAQIUABQAAAAIAIdO4kCykQQEGwIA&#10;AEgEAAAOAAAAAAAAAAEAIAAAACYBAABkcnMvZTJvRG9jLnhtbFBLBQYAAAAABgAGAFkBAACzBQAA&#10;AAA=&#10;">
                <v:fill on="t" focussize="0,0"/>
                <v:stroke color="#000000" joinstyle="miter"/>
                <v:imagedata o:title=""/>
                <o:lock v:ext="edit" aspectratio="f"/>
                <v:textbox>
                  <w:txbxContent>
                    <w:p>
                      <w:pPr>
                        <w:spacing w:after="0" w:line="300" w:lineRule="exact"/>
                        <w:rPr>
                          <w:rFonts w:hint="eastAsia" w:ascii="黑体" w:hAnsi="黑体" w:eastAsia="黑体"/>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8</w:t>
                      </w:r>
                    </w:p>
                    <w:p>
                      <w:pPr>
                        <w:spacing w:after="0" w:line="300" w:lineRule="exact"/>
                        <w:jc w:val="center"/>
                        <w:rPr>
                          <w:rFonts w:hint="eastAsia" w:ascii="楷体_GB2312" w:eastAsia="楷体_GB2312"/>
                          <w:b/>
                          <w:sz w:val="21"/>
                          <w:szCs w:val="21"/>
                        </w:rPr>
                      </w:pPr>
                      <w:r>
                        <w:rPr>
                          <w:rFonts w:hint="eastAsia" w:ascii="黑体" w:hAnsi="黑体" w:eastAsia="黑体"/>
                          <w:b/>
                          <w:sz w:val="21"/>
                          <w:szCs w:val="21"/>
                        </w:rPr>
                        <w:t>信息化建设七大工程</w:t>
                      </w:r>
                    </w:p>
                    <w:p>
                      <w:pPr>
                        <w:spacing w:after="0" w:line="300" w:lineRule="exact"/>
                        <w:ind w:firstLine="422" w:firstLineChars="200"/>
                        <w:jc w:val="both"/>
                        <w:rPr>
                          <w:rFonts w:hint="eastAsia" w:ascii="楷体_GB2312" w:eastAsia="楷体_GB2312"/>
                          <w:sz w:val="21"/>
                          <w:szCs w:val="21"/>
                        </w:rPr>
                      </w:pPr>
                      <w:r>
                        <w:rPr>
                          <w:rFonts w:hint="eastAsia" w:ascii="楷体_GB2312" w:eastAsia="楷体_GB2312"/>
                          <w:b/>
                          <w:sz w:val="21"/>
                          <w:szCs w:val="21"/>
                        </w:rPr>
                        <w:t>基础设施提升工程：</w:t>
                      </w:r>
                      <w:r>
                        <w:rPr>
                          <w:rFonts w:hint="eastAsia" w:ascii="楷体_GB2312" w:eastAsia="楷体_GB2312"/>
                          <w:sz w:val="21"/>
                          <w:szCs w:val="21"/>
                        </w:rPr>
                        <w:t>主要实施</w:t>
                      </w:r>
                      <w:r>
                        <w:rPr>
                          <w:rFonts w:hint="eastAsia" w:ascii="楷体_GB2312" w:hAnsi="仿宋" w:eastAsia="楷体_GB2312" w:cs="楷体"/>
                          <w:bCs/>
                          <w:sz w:val="21"/>
                          <w:szCs w:val="21"/>
                        </w:rPr>
                        <w:t>“宽带乡村”、“光网城市”</w:t>
                      </w:r>
                      <w:r>
                        <w:rPr>
                          <w:rFonts w:hint="eastAsia" w:ascii="楷体_GB2312" w:hAnsi="仿宋" w:eastAsia="楷体_GB2312" w:cs="楷体"/>
                          <w:bCs/>
                          <w:sz w:val="21"/>
                          <w:szCs w:val="21"/>
                          <w:lang w:val="zh-CN"/>
                        </w:rPr>
                        <w:t>、</w:t>
                      </w:r>
                      <w:r>
                        <w:rPr>
                          <w:rFonts w:hint="eastAsia" w:ascii="楷体_GB2312" w:hAnsi="仿宋" w:eastAsia="楷体_GB2312" w:cs="楷体"/>
                          <w:bCs/>
                          <w:sz w:val="21"/>
                          <w:szCs w:val="21"/>
                        </w:rPr>
                        <w:t>“无线城市”、智能基础设施建设等</w:t>
                      </w:r>
                      <w:r>
                        <w:rPr>
                          <w:rFonts w:hint="eastAsia" w:ascii="楷体_GB2312" w:hAnsi="仿宋" w:eastAsia="楷体_GB2312" w:cs="楷体"/>
                          <w:bCs/>
                          <w:sz w:val="21"/>
                          <w:szCs w:val="21"/>
                          <w:lang w:val="zh-CN"/>
                        </w:rPr>
                        <w:t>项目。</w:t>
                      </w:r>
                      <w:r>
                        <w:rPr>
                          <w:rFonts w:hint="eastAsia" w:ascii="楷体_GB2312" w:eastAsia="楷体_GB2312"/>
                          <w:b/>
                          <w:sz w:val="21"/>
                          <w:szCs w:val="21"/>
                        </w:rPr>
                        <w:t>农业信息化重大工程：</w:t>
                      </w:r>
                      <w:r>
                        <w:rPr>
                          <w:rFonts w:hint="eastAsia" w:ascii="楷体_GB2312" w:eastAsia="楷体_GB2312"/>
                          <w:sz w:val="21"/>
                          <w:szCs w:val="21"/>
                        </w:rPr>
                        <w:t>主要实施</w:t>
                      </w:r>
                      <w:r>
                        <w:rPr>
                          <w:rFonts w:hint="eastAsia" w:ascii="楷体_GB2312" w:hAnsi="仿宋" w:eastAsia="楷体_GB2312" w:cs="楷体"/>
                          <w:bCs/>
                          <w:sz w:val="21"/>
                          <w:szCs w:val="21"/>
                        </w:rPr>
                        <w:t>“三农”信息服务、</w:t>
                      </w:r>
                      <w:r>
                        <w:rPr>
                          <w:rFonts w:hint="eastAsia" w:ascii="楷体_GB2312" w:hAnsi="仿宋" w:eastAsia="楷体_GB2312" w:cs="楷体"/>
                          <w:sz w:val="21"/>
                          <w:szCs w:val="21"/>
                        </w:rPr>
                        <w:t>农产品质量安全可追溯系统、农村土地确权登记信息管理系统、现代农业园区等项目。</w:t>
                      </w:r>
                      <w:r>
                        <w:rPr>
                          <w:rFonts w:hint="eastAsia" w:ascii="楷体_GB2312" w:eastAsia="楷体_GB2312"/>
                          <w:b/>
                          <w:sz w:val="21"/>
                          <w:szCs w:val="21"/>
                        </w:rPr>
                        <w:t>两化深度融合工程：</w:t>
                      </w:r>
                      <w:r>
                        <w:rPr>
                          <w:rFonts w:hint="eastAsia" w:ascii="楷体_GB2312" w:eastAsia="楷体_GB2312"/>
                          <w:sz w:val="21"/>
                          <w:szCs w:val="21"/>
                        </w:rPr>
                        <w:t>主要实施</w:t>
                      </w:r>
                      <w:r>
                        <w:rPr>
                          <w:rFonts w:hint="eastAsia" w:ascii="楷体_GB2312" w:hAnsi="仿宋" w:eastAsia="楷体_GB2312"/>
                          <w:sz w:val="21"/>
                          <w:szCs w:val="21"/>
                        </w:rPr>
                        <w:t>工业转型升级、智能制造提升、智慧园区建设、工业云平台等项目。</w:t>
                      </w:r>
                      <w:r>
                        <w:rPr>
                          <w:rFonts w:hint="eastAsia" w:ascii="楷体_GB2312" w:eastAsia="楷体_GB2312"/>
                          <w:sz w:val="21"/>
                          <w:szCs w:val="21"/>
                        </w:rPr>
                        <w:t>“</w:t>
                      </w:r>
                      <w:r>
                        <w:rPr>
                          <w:rFonts w:hint="eastAsia" w:ascii="楷体_GB2312" w:eastAsia="楷体_GB2312"/>
                          <w:b/>
                          <w:sz w:val="21"/>
                          <w:szCs w:val="21"/>
                        </w:rPr>
                        <w:t>互联网+”助推工程：</w:t>
                      </w:r>
                      <w:r>
                        <w:rPr>
                          <w:rFonts w:hint="eastAsia" w:ascii="楷体_GB2312" w:eastAsia="楷体_GB2312"/>
                          <w:sz w:val="21"/>
                          <w:szCs w:val="21"/>
                        </w:rPr>
                        <w:t>主要实施</w:t>
                      </w:r>
                      <w:r>
                        <w:rPr>
                          <w:rFonts w:hint="eastAsia" w:ascii="楷体_GB2312" w:hAnsi="仿宋" w:eastAsia="楷体_GB2312" w:cs="楷体"/>
                          <w:sz w:val="21"/>
                          <w:szCs w:val="21"/>
                        </w:rPr>
                        <w:t>“百镇千企万人”电商创业、</w:t>
                      </w:r>
                      <w:r>
                        <w:rPr>
                          <w:rFonts w:hint="eastAsia" w:ascii="楷体_GB2312" w:hAnsi="仿宋" w:eastAsia="楷体_GB2312"/>
                          <w:sz w:val="21"/>
                          <w:szCs w:val="21"/>
                        </w:rPr>
                        <w:t>电子商务公共信息服务平台工程、</w:t>
                      </w:r>
                      <w:r>
                        <w:rPr>
                          <w:rFonts w:hint="eastAsia" w:ascii="楷体_GB2312" w:hAnsi="仿宋" w:eastAsia="楷体_GB2312" w:cs="楷体"/>
                          <w:bCs/>
                          <w:sz w:val="21"/>
                          <w:szCs w:val="21"/>
                        </w:rPr>
                        <w:t>现代物流信息平台建设、互联网众创空间等项目</w:t>
                      </w:r>
                      <w:r>
                        <w:rPr>
                          <w:rFonts w:hint="eastAsia" w:ascii="楷体_GB2312" w:hAnsi="仿宋" w:eastAsia="楷体_GB2312" w:cs="楷体"/>
                          <w:sz w:val="21"/>
                          <w:szCs w:val="21"/>
                        </w:rPr>
                        <w:t>。</w:t>
                      </w:r>
                      <w:r>
                        <w:rPr>
                          <w:rFonts w:hint="eastAsia" w:ascii="楷体_GB2312" w:eastAsia="楷体_GB2312"/>
                          <w:b/>
                          <w:sz w:val="21"/>
                          <w:szCs w:val="21"/>
                        </w:rPr>
                        <w:t>电子政务深化应用工程：</w:t>
                      </w:r>
                      <w:r>
                        <w:rPr>
                          <w:rFonts w:hint="eastAsia" w:ascii="楷体_GB2312" w:eastAsia="楷体_GB2312"/>
                          <w:sz w:val="21"/>
                          <w:szCs w:val="21"/>
                        </w:rPr>
                        <w:t>主要实施</w:t>
                      </w:r>
                      <w:r>
                        <w:rPr>
                          <w:rFonts w:hint="eastAsia" w:ascii="楷体_GB2312" w:hAnsi="仿宋" w:eastAsia="楷体_GB2312" w:cs="楷体"/>
                          <w:sz w:val="21"/>
                          <w:szCs w:val="21"/>
                        </w:rPr>
                        <w:t>大数据中心、公文在线报送签批平台、行政审批与电子监察平台、市民融合服务平台、城市综合可视平台、应急指挥与辅助决策平台等项目。</w:t>
                      </w:r>
                      <w:r>
                        <w:rPr>
                          <w:rFonts w:hint="eastAsia" w:ascii="楷体_GB2312" w:eastAsia="楷体_GB2312"/>
                          <w:b/>
                          <w:sz w:val="21"/>
                          <w:szCs w:val="21"/>
                        </w:rPr>
                        <w:t>智慧城市建设工程：</w:t>
                      </w:r>
                      <w:r>
                        <w:rPr>
                          <w:rFonts w:hint="eastAsia" w:ascii="楷体_GB2312" w:eastAsia="楷体_GB2312"/>
                          <w:sz w:val="21"/>
                          <w:szCs w:val="21"/>
                        </w:rPr>
                        <w:t>主要实施</w:t>
                      </w:r>
                      <w:r>
                        <w:rPr>
                          <w:rFonts w:hint="eastAsia" w:ascii="楷体_GB2312" w:hAnsi="仿宋" w:eastAsia="楷体_GB2312" w:cs="楷体"/>
                          <w:sz w:val="21"/>
                          <w:szCs w:val="21"/>
                        </w:rPr>
                        <w:t>智慧社区、智慧教育、智慧医疗、</w:t>
                      </w:r>
                      <w:r>
                        <w:rPr>
                          <w:rFonts w:hint="eastAsia" w:ascii="楷体_GB2312" w:hAnsi="仿宋" w:eastAsia="楷体_GB2312"/>
                          <w:sz w:val="21"/>
                          <w:szCs w:val="21"/>
                        </w:rPr>
                        <w:t>智慧社保、</w:t>
                      </w:r>
                      <w:r>
                        <w:rPr>
                          <w:rFonts w:hint="eastAsia" w:ascii="楷体_GB2312" w:hAnsi="仿宋" w:eastAsia="楷体_GB2312" w:cs="楷体"/>
                          <w:sz w:val="21"/>
                          <w:szCs w:val="21"/>
                        </w:rPr>
                        <w:t>智慧养老</w:t>
                      </w:r>
                      <w:r>
                        <w:rPr>
                          <w:rFonts w:hint="eastAsia" w:ascii="楷体_GB2312" w:hAnsi="黑体" w:eastAsia="楷体_GB2312"/>
                          <w:sz w:val="21"/>
                          <w:szCs w:val="21"/>
                        </w:rPr>
                        <w:t>、</w:t>
                      </w:r>
                      <w:r>
                        <w:rPr>
                          <w:rFonts w:hint="eastAsia" w:ascii="楷体_GB2312" w:hAnsi="仿宋" w:eastAsia="楷体_GB2312"/>
                          <w:sz w:val="21"/>
                          <w:szCs w:val="21"/>
                        </w:rPr>
                        <w:t>智慧食药、</w:t>
                      </w:r>
                      <w:r>
                        <w:rPr>
                          <w:rFonts w:hint="eastAsia" w:ascii="楷体_GB2312" w:hAnsi="仿宋" w:eastAsia="楷体_GB2312" w:cs="楷体"/>
                          <w:sz w:val="21"/>
                          <w:szCs w:val="21"/>
                        </w:rPr>
                        <w:t>智慧城管等项目。</w:t>
                      </w:r>
                      <w:r>
                        <w:rPr>
                          <w:rFonts w:hint="eastAsia" w:ascii="楷体_GB2312" w:eastAsia="楷体_GB2312"/>
                          <w:b/>
                          <w:sz w:val="21"/>
                          <w:szCs w:val="21"/>
                        </w:rPr>
                        <w:t>网络安全工程：</w:t>
                      </w:r>
                      <w:r>
                        <w:rPr>
                          <w:rFonts w:hint="eastAsia" w:ascii="楷体_GB2312" w:eastAsia="楷体_GB2312"/>
                          <w:sz w:val="21"/>
                          <w:szCs w:val="21"/>
                        </w:rPr>
                        <w:t>主要实施</w:t>
                      </w:r>
                      <w:r>
                        <w:rPr>
                          <w:rFonts w:hint="eastAsia" w:ascii="楷体_GB2312" w:hAnsi="仿宋" w:eastAsia="楷体_GB2312" w:cs="楷体"/>
                          <w:sz w:val="21"/>
                          <w:szCs w:val="21"/>
                        </w:rPr>
                        <w:t>电子政务安全保障、政府网站安全防护等项目。</w:t>
                      </w:r>
                    </w:p>
                  </w:txbxContent>
                </v:textbox>
                <w10:wrap type="square"/>
              </v:shape>
            </w:pict>
          </mc:Fallback>
        </mc:AlternateContent>
      </w:r>
    </w:p>
    <w:p>
      <w:pPr>
        <w:widowControl w:val="0"/>
        <w:pBdr>
          <w:bottom w:val="single" w:color="FFFFFF" w:sz="4" w:space="31"/>
        </w:pBdr>
        <w:topLinePunct/>
        <w:spacing w:after="0" w:line="620" w:lineRule="exact"/>
        <w:jc w:val="center"/>
        <w:rPr>
          <w:rFonts w:hint="eastAsia" w:ascii="仿宋_GB2312" w:hAnsi="华文中宋" w:eastAsia="仿宋_GB2312"/>
          <w:sz w:val="32"/>
          <w:szCs w:val="32"/>
        </w:rPr>
      </w:pPr>
      <w:r>
        <w:rPr>
          <w:rFonts w:hint="eastAsia" w:ascii="黑体" w:hAnsi="黑体" w:eastAsia="黑体"/>
          <w:sz w:val="32"/>
          <w:szCs w:val="32"/>
        </w:rPr>
        <w:t>第四十一章  加快建设“智慧宝鸡”</w:t>
      </w:r>
    </w:p>
    <w:p>
      <w:pPr>
        <w:widowControl w:val="0"/>
        <w:pBdr>
          <w:bottom w:val="single" w:color="FFFFFF" w:sz="4" w:space="31"/>
        </w:pBdr>
        <w:topLinePunct/>
        <w:spacing w:after="0" w:line="620" w:lineRule="exact"/>
        <w:ind w:firstLine="640" w:firstLineChars="200"/>
        <w:jc w:val="both"/>
        <w:rPr>
          <w:rFonts w:hint="eastAsia" w:ascii="黑体" w:hAnsi="黑体" w:eastAsia="黑体"/>
          <w:sz w:val="32"/>
          <w:szCs w:val="32"/>
        </w:rPr>
      </w:pPr>
      <w:r>
        <w:rPr>
          <w:rFonts w:hint="eastAsia" w:ascii="仿宋_GB2312" w:hAnsi="华文中宋" w:eastAsia="仿宋_GB2312"/>
          <w:sz w:val="32"/>
          <w:szCs w:val="32"/>
        </w:rPr>
        <w:t>加快构建以基础硬件、基础软件、基础网络、安全保障、运维保障和云计算服务为主的基础支撑层，以覆盖全市的人口、法人、地理空间信息等基础数据库为主的基础数据层和为公众服务、内部管理提供通用性系统平台的通用平台层三大部分构成的“智慧宝鸡”基础平台。以促进信息便民利民惠民为中心，做好“信息惠民”工作，重点解决社保、医疗、教育、养老、就业、公共安全、食品药品安全、社区服务、家庭服务等领域突出问题。以电子政务网络为基础，建设安全可靠的电子政务，强化信息共享和互联互通，提高各部门行业信息化应用水平，围绕服务型政府建设,加强资源共享和业务协同,提升政务效率和服务水平。到“十三五”末，整合各类政府信息平台和信息系统，推进政府按照统一体系采集和利用数据，建成政府部门数据统一共享交换平台并逐步向社会开放。在工业、农业、服务业中建立面向不同行业、不同环节的大数据资源集合和分析应用平台，提升经济运行效率，推动转型升级。</w:t>
      </w:r>
    </w:p>
    <w:p>
      <w:pPr>
        <w:widowControl w:val="0"/>
        <w:pBdr>
          <w:bottom w:val="single" w:color="FFFFFF" w:sz="4" w:space="31"/>
        </w:pBdr>
        <w:topLinePunct/>
        <w:spacing w:after="0" w:line="620" w:lineRule="exact"/>
        <w:jc w:val="both"/>
        <w:rPr>
          <w:rFonts w:hint="eastAsia" w:ascii="黑体" w:hAnsi="黑体" w:eastAsia="黑体"/>
          <w:sz w:val="32"/>
          <w:szCs w:val="32"/>
        </w:rPr>
      </w:pPr>
    </w:p>
    <w:p>
      <w:pPr>
        <w:pBdr>
          <w:bottom w:val="single" w:color="FFFFFF" w:sz="4" w:space="31"/>
        </w:pBdr>
        <w:topLinePunct/>
        <w:spacing w:after="0" w:line="620" w:lineRule="exact"/>
        <w:jc w:val="center"/>
        <w:rPr>
          <w:rFonts w:ascii="黑体" w:hAnsi="黑体" w:eastAsia="黑体"/>
          <w:sz w:val="32"/>
          <w:szCs w:val="32"/>
        </w:rPr>
      </w:pPr>
      <w:r>
        <w:rPr>
          <w:rFonts w:hint="eastAsia" w:ascii="黑体" w:hAnsi="黑体" w:eastAsia="黑体"/>
          <w:sz w:val="32"/>
          <w:szCs w:val="32"/>
        </w:rPr>
        <w:t>第四十二章</w:t>
      </w:r>
      <w:r>
        <w:rPr>
          <w:rFonts w:ascii="黑体" w:hAnsi="黑体" w:eastAsia="黑体"/>
          <w:sz w:val="32"/>
          <w:szCs w:val="32"/>
        </w:rPr>
        <w:t xml:space="preserve">  </w:t>
      </w:r>
      <w:r>
        <w:rPr>
          <w:rFonts w:hint="eastAsia" w:ascii="黑体" w:hAnsi="黑体" w:eastAsia="黑体"/>
          <w:sz w:val="32"/>
          <w:szCs w:val="32"/>
        </w:rPr>
        <w:t>积极推进“互联网</w:t>
      </w:r>
      <w:r>
        <w:rPr>
          <w:rFonts w:ascii="黑体" w:hAnsi="黑体" w:eastAsia="黑体"/>
          <w:sz w:val="32"/>
          <w:szCs w:val="32"/>
        </w:rPr>
        <w:t>+</w:t>
      </w:r>
      <w:r>
        <w:rPr>
          <w:rFonts w:hint="eastAsia" w:ascii="黑体" w:hAnsi="黑体" w:eastAsia="黑体"/>
          <w:sz w:val="32"/>
          <w:szCs w:val="32"/>
        </w:rPr>
        <w:t>”行动</w:t>
      </w:r>
    </w:p>
    <w:p>
      <w:pPr>
        <w:pBdr>
          <w:bottom w:val="single" w:color="FFFFFF" w:sz="4" w:space="31"/>
        </w:pBdr>
        <w:topLinePunct/>
        <w:spacing w:after="0" w:line="600" w:lineRule="exact"/>
        <w:ind w:firstLine="640" w:firstLineChars="200"/>
        <w:jc w:val="both"/>
        <w:rPr>
          <w:rFonts w:hint="eastAsia" w:ascii="仿宋_GB2312" w:eastAsia="仿宋_GB2312"/>
          <w:sz w:val="32"/>
          <w:szCs w:val="32"/>
        </w:rPr>
      </w:pPr>
      <w:r>
        <w:rPr>
          <w:rFonts w:hint="eastAsia" w:ascii="仿宋_GB2312" w:hAnsi="仿宋" w:eastAsia="仿宋_GB2312"/>
          <w:sz w:val="32"/>
          <w:szCs w:val="32"/>
        </w:rPr>
        <w:t>贯彻落实国务院《关于积极推进“互联网+”行动的指导意见》和《陕西省积极推进“互联网+”行动实施方案》，充分发挥互联网在生产要素配置中的聚集优化和协同共享作业，不断提升实体经济运行效率，促进转型升级。推进“</w:t>
      </w:r>
      <w:r>
        <w:rPr>
          <w:rFonts w:hint="eastAsia" w:ascii="仿宋_GB2312" w:hAnsi="仿宋" w:eastAsia="仿宋_GB2312"/>
          <w:b/>
          <w:sz w:val="32"/>
          <w:szCs w:val="32"/>
        </w:rPr>
        <w:t>互联网+”创业创新，</w:t>
      </w:r>
      <w:r>
        <w:rPr>
          <w:rFonts w:hint="eastAsia" w:ascii="仿宋_GB2312" w:hAnsi="仿宋" w:eastAsia="仿宋_GB2312"/>
          <w:sz w:val="32"/>
          <w:szCs w:val="32"/>
        </w:rPr>
        <w:t>鼓励各类创新创业主体利用互联网实施创新创业，构建开放式创新创业体系，支持创客空间等有序发展，积极发展众创空间。推进“</w:t>
      </w:r>
      <w:r>
        <w:rPr>
          <w:rFonts w:hint="eastAsia" w:ascii="仿宋_GB2312" w:hAnsi="仿宋" w:eastAsia="仿宋_GB2312"/>
          <w:b/>
          <w:sz w:val="32"/>
          <w:szCs w:val="32"/>
        </w:rPr>
        <w:t>互联网+”协同制造</w:t>
      </w:r>
      <w:r>
        <w:rPr>
          <w:rFonts w:hint="eastAsia" w:ascii="仿宋_GB2312" w:hAnsi="仿宋" w:eastAsia="仿宋_GB2312"/>
          <w:sz w:val="32"/>
          <w:szCs w:val="32"/>
        </w:rPr>
        <w:t>，在我市机床工具、石油装备、电子信息、汽车及零部件等优势制造业领域加快发展众包设计研发、个性化定制和网络化协同制造，促进智能装备制造发展，加快发展制造业服务化转型和人工智能创新应用。在煤炭开采和煤化工领域推进“</w:t>
      </w:r>
      <w:r>
        <w:rPr>
          <w:rFonts w:hint="eastAsia" w:ascii="仿宋_GB2312" w:hAnsi="仿宋" w:eastAsia="仿宋_GB2312"/>
          <w:b/>
          <w:sz w:val="32"/>
          <w:szCs w:val="32"/>
        </w:rPr>
        <w:t>互联网+”智慧能源</w:t>
      </w:r>
      <w:r>
        <w:rPr>
          <w:rFonts w:hint="eastAsia" w:ascii="仿宋_GB2312" w:hAnsi="仿宋" w:eastAsia="仿宋_GB2312"/>
          <w:sz w:val="32"/>
          <w:szCs w:val="32"/>
        </w:rPr>
        <w:t>，加快数字化建设和无人采掘技术推广应用，推进能源生产智能化。构建能源及能化生产运行的监测、管理和调度网络并接入省级平台，采掘能源和能化产业生产消费智能化，实施需求侧智能用能和分布式能源网络。</w:t>
      </w:r>
      <w:r>
        <w:rPr>
          <w:rFonts w:hint="eastAsia" w:ascii="仿宋_GB2312" w:hAnsi="仿宋" w:eastAsia="仿宋_GB2312"/>
          <w:b/>
          <w:sz w:val="32"/>
          <w:szCs w:val="32"/>
        </w:rPr>
        <w:t>推动“互联网+”现代农业</w:t>
      </w:r>
      <w:r>
        <w:rPr>
          <w:rFonts w:hint="eastAsia" w:ascii="仿宋_GB2312" w:hAnsi="仿宋" w:eastAsia="仿宋_GB2312"/>
          <w:sz w:val="32"/>
          <w:szCs w:val="32"/>
        </w:rPr>
        <w:t>，实现农产品生产、流通、加工、储运、销售、服务等环节的网络信息化，建立质量可追溯体系和农资采购平台。构建基于“互联网+”的农业科技成果转化通道和新型职业农民培训网络教学环境。推动</w:t>
      </w:r>
      <w:r>
        <w:rPr>
          <w:rFonts w:hint="eastAsia" w:ascii="仿宋_GB2312" w:hAnsi="仿宋" w:eastAsia="仿宋_GB2312"/>
          <w:b/>
          <w:sz w:val="32"/>
          <w:szCs w:val="32"/>
        </w:rPr>
        <w:t>“互联网+”电子商务</w:t>
      </w:r>
      <w:r>
        <w:rPr>
          <w:rFonts w:hint="eastAsia" w:ascii="仿宋_GB2312" w:hAnsi="仿宋" w:eastAsia="仿宋_GB2312"/>
          <w:sz w:val="32"/>
          <w:szCs w:val="32"/>
        </w:rPr>
        <w:t>，加快电子商务贸易和粮食、煤炭、钢铁、钛及新材料等大宗商品电子交易平台建设，推进旅游、医疗、教育等行业电子商务发展，加快发展农村电子商务。推动</w:t>
      </w:r>
      <w:r>
        <w:rPr>
          <w:rFonts w:hint="eastAsia" w:ascii="仿宋_GB2312" w:hAnsi="仿宋" w:eastAsia="仿宋_GB2312"/>
          <w:b/>
          <w:sz w:val="32"/>
          <w:szCs w:val="32"/>
        </w:rPr>
        <w:t>“互联网+”高效物流</w:t>
      </w:r>
      <w:r>
        <w:rPr>
          <w:rFonts w:hint="eastAsia" w:ascii="仿宋_GB2312" w:hAnsi="仿宋" w:eastAsia="仿宋_GB2312"/>
          <w:sz w:val="32"/>
          <w:szCs w:val="32"/>
        </w:rPr>
        <w:t>，加强物联网、云计算技术、物流信息编码、物流信息采集、物流载体跟踪、在物流智能化管理方面的应用，加快建设智能仓储和配送调度体系，促进多式联运发展。</w:t>
      </w:r>
      <w:r>
        <w:rPr>
          <w:rFonts w:hint="eastAsia" w:ascii="仿宋_GB2312" w:eastAsia="仿宋_GB2312"/>
          <w:sz w:val="32"/>
          <w:szCs w:val="32"/>
        </w:rPr>
        <w:t>推动</w:t>
      </w:r>
      <w:r>
        <w:rPr>
          <w:rFonts w:hint="eastAsia" w:ascii="仿宋_GB2312" w:hAnsi="仿宋" w:eastAsia="仿宋_GB2312"/>
          <w:b/>
          <w:sz w:val="32"/>
          <w:szCs w:val="32"/>
        </w:rPr>
        <w:t>“互联网+”普惠金融，</w:t>
      </w:r>
      <w:r>
        <w:rPr>
          <w:rFonts w:hint="eastAsia" w:ascii="仿宋_GB2312" w:eastAsia="仿宋_GB2312"/>
          <w:sz w:val="32"/>
          <w:szCs w:val="32"/>
        </w:rPr>
        <w:t>鼓励金融机构依托互联网技术，实现传统金融业务与服务转型升级，积极开发基于互联网技术的新产品和新服务，建立服务实体经济的多层次金融服务体系。大力发展</w:t>
      </w:r>
      <w:r>
        <w:rPr>
          <w:rFonts w:hint="eastAsia" w:ascii="仿宋_GB2312" w:hAnsi="仿宋" w:eastAsia="仿宋_GB2312"/>
          <w:b/>
          <w:sz w:val="32"/>
          <w:szCs w:val="32"/>
        </w:rPr>
        <w:t>“互联网+”文化旅游，</w:t>
      </w:r>
      <w:r>
        <w:rPr>
          <w:rFonts w:hint="eastAsia" w:ascii="仿宋_GB2312" w:eastAsia="仿宋_GB2312"/>
          <w:sz w:val="32"/>
          <w:szCs w:val="32"/>
        </w:rPr>
        <w:t>发挥我市历史文化、山水文化、民俗文化、现代文化优势，推动优秀文化作品数字化、网络化步伐，积极推动网络创作方式，培育一批有影响力的网络文化传播网站，加快文化资源信息化建设。推进</w:t>
      </w:r>
      <w:r>
        <w:rPr>
          <w:rFonts w:hint="eastAsia" w:ascii="仿宋_GB2312" w:hAnsi="仿宋" w:eastAsia="仿宋_GB2312"/>
          <w:b/>
          <w:sz w:val="32"/>
          <w:szCs w:val="32"/>
        </w:rPr>
        <w:t>“互联网+”教育培训</w:t>
      </w:r>
      <w:r>
        <w:rPr>
          <w:rFonts w:hint="eastAsia" w:ascii="仿宋_GB2312" w:eastAsia="仿宋_GB2312"/>
          <w:sz w:val="32"/>
          <w:szCs w:val="32"/>
        </w:rPr>
        <w:t>，深入探索现代信息技术与</w:t>
      </w:r>
      <w:r>
        <w:rPr>
          <w:rFonts w:hint="eastAsia" w:ascii="仿宋_GB2312" w:eastAsia="仿宋_GB2312"/>
          <w:sz w:val="32"/>
          <w:szCs w:val="32"/>
        </w:rPr>
        <w:fldChar w:fldCharType="begin"/>
      </w:r>
      <w:r>
        <w:rPr>
          <w:rFonts w:hint="eastAsia" w:ascii="仿宋_GB2312" w:eastAsia="仿宋_GB2312"/>
          <w:sz w:val="32"/>
          <w:szCs w:val="32"/>
        </w:rPr>
        <w:instrText xml:space="preserve">HYPERLINK "http://baike.sogou.com/lemma/ShowInnerLink.htm?lemmaId=8334185&amp;ss_c=ssc.citiao.link" \t "_blank"</w:instrText>
      </w:r>
      <w:r>
        <w:rPr>
          <w:rFonts w:hint="eastAsia" w:ascii="仿宋_GB2312" w:eastAsia="仿宋_GB2312"/>
          <w:sz w:val="32"/>
          <w:szCs w:val="32"/>
        </w:rPr>
        <w:fldChar w:fldCharType="separate"/>
      </w:r>
      <w:r>
        <w:rPr>
          <w:rFonts w:hint="eastAsia" w:ascii="仿宋_GB2312" w:eastAsia="仿宋_GB2312"/>
          <w:sz w:val="32"/>
          <w:szCs w:val="32"/>
        </w:rPr>
        <w:t>教育创新</w:t>
      </w:r>
      <w:r>
        <w:rPr>
          <w:rFonts w:hint="eastAsia" w:ascii="仿宋_GB2312" w:eastAsia="仿宋_GB2312"/>
          <w:sz w:val="32"/>
          <w:szCs w:val="32"/>
        </w:rPr>
        <w:fldChar w:fldCharType="end"/>
      </w:r>
      <w:r>
        <w:rPr>
          <w:rFonts w:hint="eastAsia" w:ascii="仿宋_GB2312" w:eastAsia="仿宋_GB2312"/>
          <w:sz w:val="32"/>
          <w:szCs w:val="32"/>
        </w:rPr>
        <w:t>的有效融合，培育新型教育服务供给方式和职业技能培训发展模式。发展</w:t>
      </w:r>
      <w:r>
        <w:rPr>
          <w:rFonts w:hint="eastAsia" w:ascii="仿宋_GB2312" w:hAnsi="仿宋" w:eastAsia="仿宋_GB2312"/>
          <w:sz w:val="32"/>
          <w:szCs w:val="32"/>
        </w:rPr>
        <w:t>“</w:t>
      </w:r>
      <w:r>
        <w:rPr>
          <w:rFonts w:hint="eastAsia" w:ascii="仿宋_GB2312" w:hAnsi="仿宋" w:eastAsia="仿宋_GB2312"/>
          <w:b/>
          <w:sz w:val="32"/>
          <w:szCs w:val="32"/>
        </w:rPr>
        <w:t>互联网+”便捷交通，</w:t>
      </w:r>
      <w:r>
        <w:rPr>
          <w:rFonts w:hint="eastAsia" w:ascii="仿宋_GB2312" w:eastAsia="仿宋_GB2312"/>
          <w:sz w:val="32"/>
          <w:szCs w:val="32"/>
        </w:rPr>
        <w:t>强化交通信息感知和共享，建设智能交通信息系统，推进交通运输资源在线集成。</w:t>
      </w:r>
      <w:r>
        <w:rPr>
          <w:rFonts w:hint="eastAsia" w:ascii="仿宋_GB2312" w:eastAsia="仿宋_GB2312"/>
          <w:b/>
          <w:sz w:val="32"/>
          <w:szCs w:val="32"/>
        </w:rPr>
        <w:t>发展“互联网+”绿色生态，</w:t>
      </w:r>
      <w:r>
        <w:rPr>
          <w:rFonts w:hint="eastAsia" w:ascii="仿宋_GB2312" w:eastAsia="仿宋_GB2312"/>
          <w:sz w:val="32"/>
          <w:szCs w:val="32"/>
        </w:rPr>
        <w:t>建设统一的环境监测平台，大力发展智慧环保，建设在线收废和逆向物流体系，完善资源回收利用。</w:t>
      </w:r>
    </w:p>
    <w:p>
      <w:pPr>
        <w:pBdr>
          <w:bottom w:val="single" w:color="FFFFFF" w:sz="4" w:space="31"/>
        </w:pBdr>
        <w:topLinePunct/>
        <w:spacing w:after="0" w:line="600" w:lineRule="exact"/>
        <w:jc w:val="center"/>
        <w:rPr>
          <w:rFonts w:hint="eastAsia" w:ascii="黑体" w:hAnsi="黑体" w:eastAsia="黑体"/>
          <w:sz w:val="32"/>
          <w:szCs w:val="32"/>
        </w:rPr>
      </w:pPr>
    </w:p>
    <w:p>
      <w:pPr>
        <w:pBdr>
          <w:bottom w:val="single" w:color="FFFFFF" w:sz="4" w:space="31"/>
        </w:pBdr>
        <w:topLinePunct/>
        <w:spacing w:after="0" w:line="600" w:lineRule="exact"/>
        <w:jc w:val="center"/>
        <w:rPr>
          <w:rFonts w:ascii="黑体" w:hAnsi="黑体" w:eastAsia="黑体"/>
          <w:sz w:val="32"/>
          <w:szCs w:val="32"/>
        </w:rPr>
      </w:pPr>
      <w:r>
        <w:rPr>
          <w:rFonts w:hint="eastAsia" w:ascii="黑体" w:hAnsi="黑体" w:eastAsia="黑体"/>
          <w:sz w:val="32"/>
          <w:szCs w:val="32"/>
        </w:rPr>
        <w:t>第四十三章</w:t>
      </w:r>
      <w:r>
        <w:rPr>
          <w:rFonts w:ascii="黑体" w:hAnsi="黑体" w:eastAsia="黑体"/>
          <w:sz w:val="32"/>
          <w:szCs w:val="32"/>
        </w:rPr>
        <w:t xml:space="preserve">  </w:t>
      </w:r>
      <w:r>
        <w:rPr>
          <w:rFonts w:hint="eastAsia" w:ascii="黑体" w:hAnsi="黑体" w:eastAsia="黑体"/>
          <w:sz w:val="32"/>
          <w:szCs w:val="32"/>
        </w:rPr>
        <w:t>强化信息安全保障</w:t>
      </w:r>
    </w:p>
    <w:p>
      <w:pPr>
        <w:pBdr>
          <w:bottom w:val="single" w:color="FFFFFF" w:sz="4" w:space="31"/>
        </w:pBdr>
        <w:topLinePunct/>
        <w:spacing w:after="0" w:line="600" w:lineRule="exact"/>
        <w:ind w:firstLine="640" w:firstLineChars="200"/>
        <w:jc w:val="both"/>
        <w:rPr>
          <w:rFonts w:hint="eastAsia" w:ascii="仿宋_GB2312" w:hAnsi="仿宋" w:eastAsia="仿宋_GB2312"/>
          <w:sz w:val="32"/>
          <w:szCs w:val="32"/>
        </w:rPr>
      </w:pPr>
      <w:r>
        <w:rPr>
          <w:rFonts w:hint="eastAsia" w:ascii="仿宋_GB2312" w:hAnsi="仿宋" w:eastAsia="仿宋_GB2312"/>
          <w:sz w:val="32"/>
          <w:szCs w:val="32"/>
        </w:rPr>
        <w:t>加快智慧城市基础服务平台、云计算中心、宽带、移动5G、IPV6网络等下一代信息基础设施建设,夯实信息化发展基础。大力推进城镇光纤到户和新一代移动通信网络建设，加大热点区域无线网络覆盖。加快下一代广播电视网建设，加快推进有线电视网络数字化和双向化改造；持续扩大第三代移动通信网络覆盖，积极开展第四代移动通信实验网建设。建设智慧城市信息化公共平台，推行一网通、一站通、一卡通、一张图，构建智慧城市支撑服务体系。加强基于互联网的信息安全技术研究，落实信息安全等级保护、风险评估等安全制度，建立健全安全保障体系。切实加强关键信息基础设施安全防护，做好安全性及可靠性评测、监测预警和风险评估。切实加强对涉及国家利益、公共安全、商业秘密、个人隐私、军工科研生产等信息的保护。妥善处理发展创新和保障安全的关系，切实保障信息安全。采用安全科学产品和服务，提升基础设施关键设备安全可靠水平，深化网络安全防护体系和态势感知能力建设，增强网络空间安全防护和安全事件识别能力，提升重大信息安全事件应急处置能力。</w:t>
      </w:r>
    </w:p>
    <w:p>
      <w:pPr>
        <w:pBdr>
          <w:bottom w:val="single" w:color="FFFFFF" w:sz="4" w:space="31"/>
        </w:pBdr>
        <w:topLinePunct/>
        <w:spacing w:after="0" w:line="600" w:lineRule="exact"/>
        <w:jc w:val="center"/>
        <w:rPr>
          <w:rFonts w:hint="eastAsia" w:ascii="华文中宋" w:hAnsi="华文中宋" w:eastAsia="华文中宋"/>
          <w:b/>
          <w:sz w:val="36"/>
          <w:szCs w:val="36"/>
        </w:rPr>
      </w:pPr>
    </w:p>
    <w:p>
      <w:pPr>
        <w:pBdr>
          <w:bottom w:val="single" w:color="FFFFFF" w:sz="4" w:space="31"/>
        </w:pBdr>
        <w:topLinePunct/>
        <w:spacing w:after="0" w:line="600" w:lineRule="exact"/>
        <w:jc w:val="center"/>
        <w:rPr>
          <w:rFonts w:hint="eastAsia" w:ascii="华文中宋" w:hAnsi="华文中宋" w:eastAsia="华文中宋"/>
          <w:b/>
          <w:sz w:val="36"/>
          <w:szCs w:val="36"/>
        </w:rPr>
      </w:pPr>
      <w:r>
        <w:rPr>
          <w:rFonts w:hint="eastAsia" w:ascii="华文中宋" w:hAnsi="华文中宋" w:eastAsia="华文中宋"/>
          <w:b/>
          <w:sz w:val="36"/>
          <w:szCs w:val="36"/>
        </w:rPr>
        <w:t>第十三篇  建设西部地区开放开发新高地</w:t>
      </w:r>
    </w:p>
    <w:p>
      <w:pPr>
        <w:pBdr>
          <w:bottom w:val="single" w:color="FFFFFF" w:sz="4" w:space="31"/>
        </w:pBdr>
        <w:topLinePunct/>
        <w:spacing w:after="0" w:line="600" w:lineRule="exact"/>
        <w:jc w:val="center"/>
        <w:rPr>
          <w:rFonts w:hint="eastAsia" w:ascii="仿宋_GB2312" w:eastAsia="仿宋_GB2312"/>
          <w:sz w:val="32"/>
          <w:szCs w:val="32"/>
        </w:rPr>
      </w:pPr>
    </w:p>
    <w:p>
      <w:pPr>
        <w:widowControl w:val="0"/>
        <w:pBdr>
          <w:bottom w:val="single" w:color="FFFFFF" w:sz="4" w:space="31"/>
        </w:pBdr>
        <w:topLinePunct/>
        <w:spacing w:after="0" w:line="600" w:lineRule="exact"/>
        <w:ind w:firstLine="640" w:firstLineChars="200"/>
        <w:jc w:val="both"/>
        <w:rPr>
          <w:rFonts w:ascii="仿宋_GB2312" w:eastAsia="仿宋_GB2312"/>
          <w:sz w:val="32"/>
          <w:szCs w:val="32"/>
        </w:rPr>
      </w:pPr>
      <w:r>
        <w:rPr>
          <w:rFonts w:hint="eastAsia" w:ascii="仿宋_GB2312" w:eastAsia="仿宋_GB2312"/>
          <w:sz w:val="32"/>
          <w:szCs w:val="32"/>
        </w:rPr>
        <w:t>发挥宝鸡在“一带一路”中的比较优势，完善立体通道建设，打造合作平台，发展对外贸易提高开放水平，提升利用国际国内市场资源的效率，加快培育形成国际国内经济合作和竞争新优势，建设西部地区内陆开发开放新高地。</w:t>
      </w:r>
    </w:p>
    <w:p>
      <w:pPr>
        <w:widowControl w:val="0"/>
        <w:pBdr>
          <w:bottom w:val="single" w:color="FFFFFF" w:sz="4" w:space="31"/>
        </w:pBdr>
        <w:topLinePunct/>
        <w:spacing w:after="0" w:line="600" w:lineRule="exact"/>
        <w:jc w:val="both"/>
        <w:rPr>
          <w:rFonts w:ascii="仿宋_GB2312" w:eastAsia="仿宋_GB2312"/>
          <w:sz w:val="32"/>
          <w:szCs w:val="32"/>
        </w:rPr>
      </w:pPr>
    </w:p>
    <w:p>
      <w:pPr>
        <w:widowControl w:val="0"/>
        <w:pBdr>
          <w:bottom w:val="single" w:color="FFFFFF" w:sz="4" w:space="31"/>
        </w:pBdr>
        <w:topLinePunct/>
        <w:spacing w:after="0" w:line="600" w:lineRule="exact"/>
        <w:jc w:val="center"/>
        <w:rPr>
          <w:rFonts w:ascii="黑体" w:hAnsi="黑体" w:eastAsia="黑体"/>
          <w:sz w:val="32"/>
          <w:szCs w:val="32"/>
        </w:rPr>
      </w:pPr>
      <w:r>
        <w:rPr>
          <w:rFonts w:hint="eastAsia" w:ascii="黑体" w:hAnsi="黑体" w:eastAsia="黑体"/>
          <w:sz w:val="32"/>
          <w:szCs w:val="32"/>
        </w:rPr>
        <w:t>第四十四章</w:t>
      </w:r>
      <w:r>
        <w:rPr>
          <w:rFonts w:ascii="黑体" w:hAnsi="黑体" w:eastAsia="黑体"/>
          <w:sz w:val="32"/>
          <w:szCs w:val="32"/>
        </w:rPr>
        <w:t xml:space="preserve">  </w:t>
      </w:r>
      <w:r>
        <w:rPr>
          <w:rFonts w:hint="eastAsia" w:ascii="黑体" w:hAnsi="黑体" w:eastAsia="黑体"/>
          <w:sz w:val="32"/>
          <w:szCs w:val="32"/>
        </w:rPr>
        <w:t>打造丝绸之路经济带战略新枢纽</w:t>
      </w:r>
    </w:p>
    <w:p>
      <w:pPr>
        <w:widowControl w:val="0"/>
        <w:pBdr>
          <w:bottom w:val="single" w:color="FFFFFF" w:sz="4" w:space="31"/>
        </w:pBdr>
        <w:topLinePunct/>
        <w:spacing w:after="0" w:line="600" w:lineRule="exact"/>
        <w:ind w:firstLine="640" w:firstLineChars="200"/>
        <w:jc w:val="both"/>
        <w:rPr>
          <w:rFonts w:ascii="仿宋_GB2312" w:eastAsia="仿宋_GB2312"/>
          <w:sz w:val="32"/>
          <w:szCs w:val="32"/>
        </w:rPr>
      </w:pPr>
      <w:r>
        <w:rPr>
          <w:rFonts w:hint="eastAsia" w:ascii="仿宋_GB2312" w:eastAsia="仿宋_GB2312"/>
          <w:sz w:val="32"/>
          <w:szCs w:val="32"/>
        </w:rPr>
        <w:t>按照“政策沟通、道路联通、贸易畅通、货币流通、民心相通”要求，发挥好宝鸡区位优势明显、工业实力雄厚等特点，建设好基础设施、经贸合作和金融支持三大平台，推动对外贸易“向西扩”、鼓励优势企业“向西走”、强化与沿线城市“主动联”、加强政策沟通“上下接”，全面提升对外开放的层次和水平。坚持政府、市场两手抓，坚持引进来、走出去两条腿走路，坚持对内开放和对外开放并重，以深化改革、基础设施、开放平台、招商引资、服务保障为抓手，通过优化布局、贸易先行，产业支撑、企业主导，利益共享、深化合作，搭建平台、抢占新高地等全方位推进开放开发，力争“十三五”期间实现对外贸易进出口额年均增长</w:t>
      </w:r>
      <w:r>
        <w:rPr>
          <w:rFonts w:ascii="仿宋_GB2312" w:eastAsia="仿宋_GB2312"/>
          <w:sz w:val="32"/>
          <w:szCs w:val="32"/>
        </w:rPr>
        <w:t>12%</w:t>
      </w:r>
      <w:r>
        <w:rPr>
          <w:rFonts w:hint="eastAsia" w:ascii="仿宋_GB2312" w:eastAsia="仿宋_GB2312"/>
          <w:sz w:val="32"/>
          <w:szCs w:val="32"/>
        </w:rPr>
        <w:t>以上，把宝鸡打造成为丝绸之路经济带战略新枢纽。</w:t>
      </w:r>
    </w:p>
    <w:p>
      <w:pPr>
        <w:widowControl w:val="0"/>
        <w:pBdr>
          <w:bottom w:val="single" w:color="FFFFFF" w:sz="4" w:space="31"/>
        </w:pBdr>
        <w:topLinePunct/>
        <w:spacing w:after="0" w:line="600" w:lineRule="exact"/>
        <w:rPr>
          <w:rFonts w:ascii="仿宋_GB2312" w:eastAsia="仿宋_GB2312"/>
          <w:sz w:val="32"/>
          <w:szCs w:val="32"/>
        </w:rPr>
      </w:pPr>
    </w:p>
    <w:p>
      <w:pPr>
        <w:widowControl w:val="0"/>
        <w:pBdr>
          <w:bottom w:val="single" w:color="FFFFFF" w:sz="4" w:space="31"/>
        </w:pBdr>
        <w:topLinePunct/>
        <w:spacing w:after="0" w:line="600" w:lineRule="exact"/>
        <w:jc w:val="center"/>
        <w:rPr>
          <w:rFonts w:ascii="黑体" w:hAnsi="黑体" w:eastAsia="黑体"/>
          <w:sz w:val="32"/>
          <w:szCs w:val="32"/>
        </w:rPr>
      </w:pPr>
      <w:r>
        <w:rPr>
          <w:rFonts w:hint="eastAsia" w:ascii="黑体" w:hAnsi="黑体" w:eastAsia="黑体"/>
          <w:sz w:val="32"/>
          <w:szCs w:val="32"/>
        </w:rPr>
        <w:t>第四十五章</w:t>
      </w:r>
      <w:r>
        <w:rPr>
          <w:rFonts w:ascii="黑体" w:hAnsi="黑体" w:eastAsia="黑体"/>
          <w:sz w:val="32"/>
          <w:szCs w:val="32"/>
        </w:rPr>
        <w:t xml:space="preserve">  </w:t>
      </w:r>
      <w:r>
        <w:rPr>
          <w:rFonts w:hint="eastAsia" w:ascii="黑体" w:hAnsi="黑体" w:eastAsia="黑体"/>
          <w:sz w:val="32"/>
          <w:szCs w:val="32"/>
        </w:rPr>
        <w:t>加强对外贸易与投资</w:t>
      </w:r>
    </w:p>
    <w:p>
      <w:pPr>
        <w:widowControl w:val="0"/>
        <w:pBdr>
          <w:bottom w:val="single" w:color="FFFFFF" w:sz="4" w:space="31"/>
        </w:pBdr>
        <w:topLinePunct/>
        <w:spacing w:after="0" w:line="600" w:lineRule="exact"/>
        <w:rPr>
          <w:rFonts w:ascii="黑体" w:hAnsi="黑体" w:eastAsia="黑体"/>
          <w:sz w:val="32"/>
          <w:szCs w:val="32"/>
        </w:rPr>
      </w:pPr>
    </w:p>
    <w:p>
      <w:pPr>
        <w:widowControl w:val="0"/>
        <w:pBdr>
          <w:bottom w:val="single" w:color="FFFFFF" w:sz="4" w:space="31"/>
        </w:pBdr>
        <w:topLinePunct/>
        <w:spacing w:after="0" w:line="600" w:lineRule="exact"/>
        <w:jc w:val="center"/>
        <w:rPr>
          <w:rFonts w:ascii="楷体_GB2312" w:eastAsia="楷体_GB2312"/>
          <w:b/>
          <w:sz w:val="32"/>
          <w:szCs w:val="32"/>
        </w:rPr>
      </w:pPr>
      <w:r>
        <w:rPr>
          <w:rFonts w:hint="eastAsia" w:ascii="楷体_GB2312" w:eastAsia="楷体_GB2312"/>
          <w:b/>
          <w:sz w:val="32"/>
          <w:szCs w:val="32"/>
        </w:rPr>
        <w:t>第一节</w:t>
      </w:r>
      <w:r>
        <w:rPr>
          <w:rFonts w:ascii="楷体_GB2312" w:eastAsia="楷体_GB2312"/>
          <w:b/>
          <w:sz w:val="32"/>
          <w:szCs w:val="32"/>
        </w:rPr>
        <w:t xml:space="preserve">   </w:t>
      </w:r>
      <w:r>
        <w:rPr>
          <w:rFonts w:hint="eastAsia" w:ascii="楷体_GB2312" w:eastAsia="楷体_GB2312"/>
          <w:b/>
          <w:sz w:val="32"/>
          <w:szCs w:val="32"/>
        </w:rPr>
        <w:t>加强对外贸易</w:t>
      </w:r>
    </w:p>
    <w:p>
      <w:pPr>
        <w:widowControl w:val="0"/>
        <w:pBdr>
          <w:bottom w:val="single" w:color="FFFFFF" w:sz="4" w:space="31"/>
        </w:pBdr>
        <w:topLinePunct/>
        <w:spacing w:after="0" w:line="600" w:lineRule="exact"/>
        <w:ind w:firstLine="643" w:firstLineChars="200"/>
        <w:jc w:val="both"/>
        <w:rPr>
          <w:rFonts w:ascii="仿宋_GB2312" w:eastAsia="仿宋_GB2312"/>
          <w:sz w:val="32"/>
          <w:szCs w:val="32"/>
        </w:rPr>
      </w:pPr>
      <w:r>
        <w:rPr>
          <w:rFonts w:hint="eastAsia" w:ascii="仿宋_GB2312" w:eastAsia="仿宋_GB2312"/>
          <w:b/>
          <w:sz w:val="32"/>
          <w:szCs w:val="32"/>
        </w:rPr>
        <w:t>加强政策扶持。</w:t>
      </w:r>
      <w:r>
        <w:rPr>
          <w:rFonts w:hint="eastAsia" w:ascii="仿宋_GB2312" w:eastAsia="仿宋_GB2312"/>
          <w:sz w:val="32"/>
          <w:szCs w:val="32"/>
        </w:rPr>
        <w:t>鼓励企业进口国际先进设备、装备和技术。积极争取棉花、粮食进口关税配额，减轻粮食加工、纺织企业负担</w:t>
      </w:r>
      <w:r>
        <w:rPr>
          <w:rFonts w:ascii="仿宋_GB2312" w:eastAsia="仿宋_GB2312"/>
          <w:sz w:val="32"/>
          <w:szCs w:val="32"/>
        </w:rPr>
        <w:t>,</w:t>
      </w:r>
      <w:r>
        <w:rPr>
          <w:rFonts w:hint="eastAsia" w:ascii="仿宋_GB2312" w:eastAsia="仿宋_GB2312"/>
          <w:sz w:val="32"/>
          <w:szCs w:val="32"/>
        </w:rPr>
        <w:t>加大对企业进出口特别是本地产品出口政策支持力度。依托宝鸡市跨境电子商务培训平台和培训基地，培养跨境电商人才，促进对外贸易稳定增长。</w:t>
      </w:r>
      <w:r>
        <w:rPr>
          <w:rFonts w:hint="eastAsia" w:ascii="仿宋_GB2312" w:eastAsia="仿宋_GB2312"/>
          <w:b/>
          <w:sz w:val="32"/>
          <w:szCs w:val="32"/>
        </w:rPr>
        <w:t>深化外贸体制改革。</w:t>
      </w:r>
      <w:r>
        <w:rPr>
          <w:rFonts w:hint="eastAsia" w:ascii="仿宋_GB2312" w:eastAsia="仿宋_GB2312"/>
          <w:sz w:val="32"/>
          <w:szCs w:val="32"/>
        </w:rPr>
        <w:t>抓好外贸综合服务体系、跨境贸易电子商务、通关便利改革等制度建设。支持口岸公共信息平台建设，推进“单一窗口”模式和口岸管理部门信息互换、监管互认、执法互助的“三互”合作机制。</w:t>
      </w:r>
      <w:r>
        <w:rPr>
          <w:rFonts w:hint="eastAsia" w:ascii="仿宋_GB2312" w:eastAsia="仿宋_GB2312"/>
          <w:b/>
          <w:sz w:val="32"/>
          <w:szCs w:val="32"/>
        </w:rPr>
        <w:t>优化贸易结构。</w:t>
      </w:r>
      <w:r>
        <w:rPr>
          <w:rFonts w:hint="eastAsia" w:ascii="仿宋_GB2312" w:eastAsia="仿宋_GB2312"/>
          <w:sz w:val="32"/>
          <w:szCs w:val="32"/>
        </w:rPr>
        <w:t>加快装备制造、新材料、能源化工等外贸出口基地创建。引导本地企业融入加工贸易产业链，提高产业配套能力和产品附加值。加大对服务贸易发展的支持，逐步扩大服务进出口，重点发展服务外包、文化、旅游等服务贸易。不断扩大对外承包工程项目下带动出口的比例。支持有实力和条件的企业申请对外工程承包权。依托宝鸡市外派劳务中介服务平台，大力发展外派劳务。</w:t>
      </w:r>
    </w:p>
    <w:p>
      <w:pPr>
        <w:snapToGrid/>
        <w:spacing w:after="0" w:line="600" w:lineRule="exact"/>
        <w:jc w:val="center"/>
        <w:rPr>
          <w:rFonts w:ascii="楷体_GB2312" w:eastAsia="楷体_GB2312"/>
          <w:b/>
          <w:sz w:val="32"/>
          <w:szCs w:val="32"/>
        </w:rPr>
      </w:pPr>
      <w:r>
        <w:rPr>
          <w:rFonts w:hint="eastAsia" w:ascii="楷体_GB2312" w:eastAsia="楷体_GB2312"/>
          <w:b/>
          <w:sz w:val="32"/>
          <w:szCs w:val="32"/>
        </w:rPr>
        <w:t>第二节</w:t>
      </w:r>
      <w:r>
        <w:rPr>
          <w:rFonts w:ascii="楷体_GB2312" w:eastAsia="楷体_GB2312"/>
          <w:b/>
          <w:sz w:val="32"/>
          <w:szCs w:val="32"/>
        </w:rPr>
        <w:t xml:space="preserve">  </w:t>
      </w:r>
      <w:r>
        <w:rPr>
          <w:rFonts w:hint="eastAsia" w:ascii="楷体_GB2312" w:eastAsia="楷体_GB2312"/>
          <w:b/>
          <w:sz w:val="32"/>
          <w:szCs w:val="32"/>
        </w:rPr>
        <w:t>加大对外投资</w:t>
      </w:r>
    </w:p>
    <w:p>
      <w:pPr>
        <w:snapToGrid/>
        <w:spacing w:after="0" w:line="600" w:lineRule="exact"/>
        <w:ind w:firstLine="643" w:firstLineChars="200"/>
        <w:jc w:val="both"/>
        <w:rPr>
          <w:rFonts w:ascii="仿宋_GB2312" w:hAnsi="宋体" w:eastAsia="仿宋_GB2312" w:cs="宋体"/>
          <w:snapToGrid w:val="0"/>
          <w:sz w:val="32"/>
          <w:szCs w:val="32"/>
        </w:rPr>
      </w:pPr>
      <w:r>
        <w:rPr>
          <w:rFonts w:hint="eastAsia" w:ascii="仿宋_GB2312" w:eastAsia="仿宋_GB2312"/>
          <w:b/>
          <w:sz w:val="32"/>
          <w:szCs w:val="32"/>
        </w:rPr>
        <w:t>支持优势企业开展境外投资。</w:t>
      </w:r>
      <w:r>
        <w:rPr>
          <w:rFonts w:hint="eastAsia" w:ascii="仿宋_GB2312" w:hAnsi="宋体" w:eastAsia="仿宋_GB2312" w:cs="宋体"/>
          <w:snapToGrid w:val="0"/>
          <w:sz w:val="32"/>
          <w:szCs w:val="32"/>
        </w:rPr>
        <w:t>依托重点产业，以优势企业为主体，大力推进铁路装备制造、水泥、砖瓦机械、机床工具、石油装备、有色金属冶炼、能源化工、食品等优势产业积极参与国际国内分工，加大境内外投资</w:t>
      </w:r>
      <w:r>
        <w:rPr>
          <w:rFonts w:hint="eastAsia" w:ascii="仿宋_GB2312" w:eastAsia="仿宋_GB2312"/>
          <w:sz w:val="32"/>
          <w:szCs w:val="32"/>
        </w:rPr>
        <w:t>，建立生产基地和营销分销网络</w:t>
      </w:r>
      <w:r>
        <w:rPr>
          <w:rFonts w:hint="eastAsia" w:ascii="仿宋_GB2312" w:hAnsi="宋体" w:eastAsia="仿宋_GB2312" w:cs="宋体"/>
          <w:snapToGrid w:val="0"/>
          <w:sz w:val="32"/>
          <w:szCs w:val="32"/>
        </w:rPr>
        <w:t>。支持宝石钢管、宝石机械、秦川机床等一批在境外生产经营已具备一定规模的企业，通过扩建、入股、并购等方式，扩大经营规模和范围，提升产业档次，提高国际市场占有率和竞争力。鼓励我市具有优势的能源开发利用、房屋建筑、市政工程、路桥建设等企业参与境外基础设施建设。</w:t>
      </w:r>
      <w:r>
        <w:rPr>
          <w:rFonts w:hint="eastAsia" w:ascii="仿宋_GB2312" w:hAnsi="宋体" w:eastAsia="仿宋_GB2312" w:cs="宋体"/>
          <w:b/>
          <w:snapToGrid w:val="0"/>
          <w:sz w:val="32"/>
          <w:szCs w:val="32"/>
        </w:rPr>
        <w:t>积极推进境外投资平台建设。</w:t>
      </w:r>
      <w:r>
        <w:rPr>
          <w:rFonts w:hint="eastAsia" w:ascii="仿宋_GB2312" w:hAnsi="宋体" w:eastAsia="仿宋_GB2312" w:cs="宋体"/>
          <w:snapToGrid w:val="0"/>
          <w:sz w:val="32"/>
          <w:szCs w:val="32"/>
        </w:rPr>
        <w:t>积极跟进中省重大投资项目，支持我市有实力的企业入驻陕西产业园，逐步建设成宝鸡综合性投资工业园。</w:t>
      </w:r>
      <w:r>
        <w:rPr>
          <w:rFonts w:hint="eastAsia" w:ascii="仿宋_GB2312" w:hAnsi="宋体" w:eastAsia="仿宋_GB2312" w:cs="宋体"/>
          <w:b/>
          <w:bCs/>
          <w:snapToGrid w:val="0"/>
          <w:sz w:val="32"/>
          <w:szCs w:val="32"/>
        </w:rPr>
        <w:t>积极参与境外资本运营。</w:t>
      </w:r>
      <w:r>
        <w:rPr>
          <w:rFonts w:hint="eastAsia" w:ascii="仿宋_GB2312" w:hAnsi="宋体" w:eastAsia="仿宋_GB2312" w:cs="宋体"/>
          <w:snapToGrid w:val="0"/>
          <w:sz w:val="32"/>
          <w:szCs w:val="32"/>
        </w:rPr>
        <w:t>鼓励具备条件的企业开展新设或并购境外企业进行直接投资、境外直接上市、境内企业境外放款等跨境资本运作。</w:t>
      </w:r>
      <w:r>
        <w:rPr>
          <w:rFonts w:hint="eastAsia" w:ascii="仿宋_GB2312" w:hAnsi="宋体" w:eastAsia="仿宋_GB2312" w:cs="宋体"/>
          <w:b/>
          <w:bCs/>
          <w:snapToGrid w:val="0"/>
          <w:sz w:val="32"/>
          <w:szCs w:val="32"/>
        </w:rPr>
        <w:t>支持企业境外技术入股、并购和服务。</w:t>
      </w:r>
      <w:r>
        <w:rPr>
          <w:rFonts w:hint="eastAsia" w:ascii="仿宋_GB2312" w:hAnsi="宋体" w:eastAsia="仿宋_GB2312" w:cs="宋体"/>
          <w:snapToGrid w:val="0"/>
          <w:sz w:val="32"/>
          <w:szCs w:val="32"/>
        </w:rPr>
        <w:t>支持有条件的企业结合行业特点和产业分工到境外科技资源密集的地区设立或并购研发中心，开展对外交流合作，通过多种方式收购境外具有自主知识产权的科技成果和先进制造业企业，提升我市电子信息、装备制造、新材料和新能源等高新技术产业的科技创新能力。</w:t>
      </w:r>
    </w:p>
    <w:p>
      <w:pPr>
        <w:snapToGrid/>
        <w:spacing w:after="0" w:line="600" w:lineRule="exact"/>
        <w:rPr>
          <w:rFonts w:ascii="仿宋_GB2312" w:hAnsi="宋体" w:eastAsia="仿宋_GB2312" w:cs="宋体"/>
          <w:snapToGrid w:val="0"/>
          <w:sz w:val="32"/>
          <w:szCs w:val="32"/>
        </w:rPr>
      </w:pPr>
    </w:p>
    <w:p>
      <w:pPr>
        <w:snapToGrid/>
        <w:spacing w:after="0" w:line="600" w:lineRule="exact"/>
        <w:jc w:val="center"/>
        <w:rPr>
          <w:rFonts w:ascii="黑体" w:hAnsi="黑体" w:eastAsia="黑体"/>
          <w:sz w:val="32"/>
          <w:szCs w:val="32"/>
        </w:rPr>
      </w:pPr>
      <w:r>
        <w:rPr>
          <w:rFonts w:hint="eastAsia" w:ascii="黑体" w:hAnsi="黑体" w:eastAsia="黑体"/>
          <w:sz w:val="32"/>
          <w:szCs w:val="32"/>
        </w:rPr>
        <w:t>第四十六章</w:t>
      </w:r>
      <w:r>
        <w:rPr>
          <w:rFonts w:ascii="黑体" w:hAnsi="黑体" w:eastAsia="黑体"/>
          <w:sz w:val="32"/>
          <w:szCs w:val="32"/>
        </w:rPr>
        <w:t xml:space="preserve">  </w:t>
      </w:r>
      <w:r>
        <w:rPr>
          <w:rFonts w:hint="eastAsia" w:ascii="黑体" w:hAnsi="黑体" w:eastAsia="黑体"/>
          <w:sz w:val="32"/>
          <w:szCs w:val="32"/>
        </w:rPr>
        <w:t>提升企业竞争力</w:t>
      </w:r>
    </w:p>
    <w:p>
      <w:pPr>
        <w:snapToGrid/>
        <w:spacing w:after="0" w:line="600" w:lineRule="exact"/>
        <w:ind w:firstLine="640" w:firstLineChars="200"/>
        <w:jc w:val="both"/>
        <w:rPr>
          <w:rFonts w:ascii="仿宋_GB2312" w:eastAsia="仿宋_GB2312"/>
          <w:sz w:val="32"/>
          <w:szCs w:val="32"/>
          <w:lang w:val="zh-CN"/>
        </w:rPr>
      </w:pPr>
      <w:r>
        <w:rPr>
          <w:rFonts w:hint="eastAsia" w:ascii="仿宋_GB2312" w:eastAsia="仿宋_GB2312"/>
          <w:sz w:val="32"/>
          <w:szCs w:val="32"/>
        </w:rPr>
        <w:t>加大产业招商力度，加快形成产业集聚、产业链延伸，全面推动招商引资迈上新台阶，壮大外向型企业队伍，打造宝鸡出口产品品牌。加强对百强企业和百佳企业的培育，建设外经贸企业核心队伍。重点扶持出口导向型大企业，着力培育发展一批拥有自主知识产权和知名品牌、主业突出、具有国际竞争力的外经贸大企业。鼓励大企业合作建设产业园区或投资大项目。积极扶持中小外贸企业成长壮大</w:t>
      </w:r>
      <w:r>
        <w:rPr>
          <w:rFonts w:ascii="仿宋_GB2312" w:eastAsia="仿宋_GB2312"/>
          <w:sz w:val="32"/>
          <w:szCs w:val="32"/>
        </w:rPr>
        <w:t xml:space="preserve">, </w:t>
      </w:r>
      <w:r>
        <w:rPr>
          <w:rFonts w:hint="eastAsia" w:ascii="仿宋_GB2312" w:eastAsia="仿宋_GB2312"/>
          <w:sz w:val="32"/>
          <w:szCs w:val="32"/>
        </w:rPr>
        <w:t>加快培育发展一批科技创新、持续成长的“小巨人”外贸企业，引导和协调其进入大公司大企业（集团）发展体系，形成科学的企业规模梯次结构。对企业新产品研发和技术改造给予扶持，提高我市出口产品的技术含量和附加值。打造一批以宝石机械、秦川机床、宝钛集团、大荣纺织、东岭集团和齐峰果业等企业为主体的省、市级出口示范基地。充分发挥国际贸促会、国际商会、行业组织、专业协会作用，在企业家与政府间建立便捷畅通的对接通道，鼓励企业家参与经济计划和产业政策制定。</w:t>
      </w:r>
    </w:p>
    <w:p>
      <w:pPr>
        <w:snapToGrid/>
        <w:spacing w:after="0" w:line="600" w:lineRule="exact"/>
        <w:ind w:firstLine="640" w:firstLineChars="200"/>
        <w:rPr>
          <w:rFonts w:ascii="仿宋_GB2312" w:eastAsia="仿宋_GB2312"/>
          <w:sz w:val="32"/>
          <w:szCs w:val="32"/>
        </w:rPr>
      </w:pPr>
    </w:p>
    <w:p>
      <w:pPr>
        <w:widowControl w:val="0"/>
        <w:suppressAutoHyphens/>
        <w:snapToGrid/>
        <w:spacing w:after="0" w:line="600" w:lineRule="exact"/>
        <w:jc w:val="center"/>
        <w:rPr>
          <w:rFonts w:hint="eastAsia" w:ascii="仿宋_GB2312" w:eastAsia="仿宋_GB2312"/>
          <w:b/>
          <w:sz w:val="32"/>
          <w:szCs w:val="32"/>
        </w:rPr>
      </w:pPr>
      <w:r>
        <w:rPr>
          <w:rFonts w:hint="eastAsia" w:ascii="黑体" w:hAnsi="黑体" w:eastAsia="黑体"/>
          <w:sz w:val="32"/>
          <w:szCs w:val="32"/>
        </w:rPr>
        <w:t>第四十七章</w:t>
      </w:r>
      <w:r>
        <w:rPr>
          <w:rFonts w:ascii="黑体" w:hAnsi="黑体" w:eastAsia="黑体"/>
          <w:sz w:val="32"/>
          <w:szCs w:val="32"/>
        </w:rPr>
        <w:t xml:space="preserve">  </w:t>
      </w:r>
      <w:r>
        <w:rPr>
          <w:rFonts w:hint="eastAsia" w:ascii="黑体" w:hAnsi="黑体" w:eastAsia="黑体"/>
          <w:sz w:val="32"/>
          <w:szCs w:val="32"/>
        </w:rPr>
        <w:t>深化区域合作</w:t>
      </w:r>
    </w:p>
    <w:p>
      <w:pPr>
        <w:widowControl w:val="0"/>
        <w:suppressAutoHyphens/>
        <w:snapToGrid/>
        <w:spacing w:after="0" w:line="600" w:lineRule="exact"/>
        <w:ind w:firstLine="645"/>
        <w:jc w:val="both"/>
        <w:rPr>
          <w:rFonts w:ascii="仿宋_GB2312" w:eastAsia="仿宋_GB2312"/>
          <w:sz w:val="32"/>
          <w:szCs w:val="32"/>
        </w:rPr>
      </w:pPr>
      <w:r>
        <w:rPr>
          <w:rFonts w:hint="eastAsia" w:ascii="仿宋_GB2312" w:eastAsia="仿宋_GB2312"/>
          <w:b/>
          <w:sz w:val="32"/>
          <w:szCs w:val="32"/>
        </w:rPr>
        <w:t>加大友好城市合作力度。</w:t>
      </w:r>
      <w:r>
        <w:rPr>
          <w:rFonts w:hint="eastAsia" w:ascii="仿宋_GB2312" w:eastAsia="仿宋_GB2312"/>
          <w:sz w:val="32"/>
          <w:szCs w:val="32"/>
        </w:rPr>
        <w:t>巩固和提升已有区域友好城市的合作，深化交流，推进合作项目，实现共赢发展。选择与我市优势产业有合作发展前景的城市建立友好城市，定期开展政府层面、行业协会和企业家层面的互访与交流。</w:t>
      </w:r>
      <w:r>
        <w:rPr>
          <w:rFonts w:hint="eastAsia" w:ascii="仿宋_GB2312" w:eastAsia="仿宋_GB2312"/>
          <w:b/>
          <w:sz w:val="32"/>
          <w:szCs w:val="32"/>
        </w:rPr>
        <w:t>大力发展会展经济。</w:t>
      </w:r>
      <w:r>
        <w:rPr>
          <w:rFonts w:hint="eastAsia" w:ascii="仿宋_GB2312" w:eastAsia="仿宋_GB2312"/>
          <w:sz w:val="32"/>
          <w:szCs w:val="32"/>
        </w:rPr>
        <w:t>积极参加国内外各类展会，结合宝鸡实际围绕独特产品和高端产品，办好和争取申办各类国际国内会议，推进高层次交流合作。</w:t>
      </w:r>
      <w:r>
        <w:rPr>
          <w:rFonts w:hint="eastAsia" w:ascii="仿宋_GB2312" w:eastAsia="仿宋_GB2312"/>
          <w:b/>
          <w:sz w:val="32"/>
          <w:szCs w:val="32"/>
        </w:rPr>
        <w:t>加强周边协作。</w:t>
      </w:r>
      <w:r>
        <w:rPr>
          <w:rFonts w:hint="eastAsia" w:ascii="仿宋_GB2312" w:eastAsia="仿宋_GB2312"/>
          <w:sz w:val="32"/>
          <w:szCs w:val="32"/>
        </w:rPr>
        <w:t>争取出台支持新一轮关天经济区副中心建设政策意见。加强金融、海关、信息交流、出入境检验检疫等领域合作。积极融入西北五省区与中亚有关国家城市旅游合作，共建丝路旅游精品线路，共同打造丝绸之路国际旅游品牌。</w:t>
      </w:r>
    </w:p>
    <w:p>
      <w:pPr>
        <w:snapToGrid/>
        <w:spacing w:after="0" w:line="600" w:lineRule="exact"/>
        <w:rPr>
          <w:rFonts w:ascii="仿宋_GB2312" w:eastAsia="仿宋_GB2312"/>
          <w:sz w:val="32"/>
          <w:szCs w:val="32"/>
        </w:rPr>
      </w:pPr>
    </w:p>
    <w:p>
      <w:pPr>
        <w:snapToGrid/>
        <w:spacing w:after="0" w:line="600" w:lineRule="exact"/>
        <w:jc w:val="center"/>
        <w:rPr>
          <w:rFonts w:ascii="黑体" w:hAnsi="黑体" w:eastAsia="黑体"/>
          <w:sz w:val="32"/>
          <w:szCs w:val="32"/>
        </w:rPr>
      </w:pPr>
      <w:r>
        <w:rPr>
          <w:rFonts w:hint="eastAsia" w:ascii="黑体" w:hAnsi="黑体" w:eastAsia="黑体"/>
          <w:sz w:val="32"/>
          <w:szCs w:val="32"/>
        </w:rPr>
        <w:t>第四十八章</w:t>
      </w:r>
      <w:r>
        <w:rPr>
          <w:rFonts w:ascii="黑体" w:hAnsi="黑体" w:eastAsia="黑体"/>
          <w:sz w:val="32"/>
          <w:szCs w:val="32"/>
        </w:rPr>
        <w:t xml:space="preserve">  </w:t>
      </w:r>
      <w:r>
        <w:rPr>
          <w:rFonts w:hint="eastAsia" w:ascii="黑体" w:hAnsi="黑体" w:eastAsia="黑体"/>
          <w:sz w:val="32"/>
          <w:szCs w:val="32"/>
        </w:rPr>
        <w:t>打造开放平台</w:t>
      </w:r>
    </w:p>
    <w:p>
      <w:pPr>
        <w:snapToGrid/>
        <w:spacing w:after="0" w:line="600" w:lineRule="exact"/>
        <w:ind w:firstLine="646"/>
        <w:jc w:val="both"/>
        <w:rPr>
          <w:rFonts w:ascii="仿宋_GB2312" w:eastAsia="仿宋_GB2312"/>
          <w:sz w:val="32"/>
        </w:rPr>
      </w:pPr>
      <w:r>
        <w:rPr>
          <w:rFonts w:hint="eastAsia" w:ascii="仿宋_GB2312" w:eastAsia="仿宋_GB2312"/>
          <w:sz w:val="32"/>
          <w:szCs w:val="32"/>
        </w:rPr>
        <w:t>加快建设宝鸡综合保税区，将综合保税区建设作为宝鸡在西部内陆地</w:t>
      </w:r>
      <w:r>
        <w:rPr>
          <w:rFonts w:ascii="仿宋_GB2312" w:eastAsia="仿宋_GB2312"/>
          <w:sz w:val="32"/>
          <w:szCs w:val="32"/>
        </w:rPr>
        <w:t>区</w:t>
      </w:r>
      <w:r>
        <w:rPr>
          <w:rFonts w:hint="eastAsia" w:ascii="仿宋_GB2312" w:eastAsia="仿宋_GB2312"/>
          <w:sz w:val="32"/>
          <w:szCs w:val="32"/>
        </w:rPr>
        <w:t>对外开发开放新高地的前沿，开展申报和总规编制工作，力争在“十三五”期间开工建成，进一步扩大宝鸡综合保税区品牌影响，积极吸引外向型企业入驻。加强区域合作，主动与西安联合共同申报以西安为核心、宝鸡为分区的陕西自贸区。加强与在陕高校“丝绸之路经济带研究中心（院）”合作，组建成立宝鸡丝绸之路研究会。加强与中亚地区国家的文化交流。组织相关企业和科研机构积极参与和利用好“丝博会”、“南宁东盟博览会”、“乌洽会”、“农高会”、“陕粤港澳经济合作周”等贸易合作平台，提高我市企业创新能力，</w:t>
      </w:r>
      <w:r>
        <w:rPr>
          <w:rFonts w:hint="eastAsia" w:ascii="仿宋_GB2312" w:eastAsia="仿宋_GB2312"/>
          <w:sz w:val="32"/>
        </w:rPr>
        <w:t>搭建招商引资平台，进一步提高产品的市场竞争力。</w:t>
      </w:r>
    </w:p>
    <w:p>
      <w:pPr>
        <w:snapToGrid/>
        <w:spacing w:after="0" w:line="600" w:lineRule="exact"/>
        <w:jc w:val="center"/>
        <w:rPr>
          <w:rFonts w:ascii="华文中宋" w:hAnsi="华文中宋" w:eastAsia="华文中宋"/>
          <w:b/>
          <w:sz w:val="36"/>
          <w:szCs w:val="36"/>
        </w:rPr>
      </w:pPr>
    </w:p>
    <w:p>
      <w:pPr>
        <w:snapToGrid/>
        <w:spacing w:after="0" w:line="600" w:lineRule="exact"/>
        <w:jc w:val="center"/>
        <w:rPr>
          <w:rFonts w:hint="eastAsia" w:ascii="华文中宋" w:hAnsi="华文中宋" w:eastAsia="华文中宋"/>
          <w:b/>
          <w:sz w:val="36"/>
          <w:szCs w:val="36"/>
        </w:rPr>
      </w:pPr>
      <w:r>
        <w:rPr>
          <w:rFonts w:hint="eastAsia" w:ascii="华文中宋" w:hAnsi="华文中宋" w:eastAsia="华文中宋"/>
          <w:b/>
          <w:sz w:val="36"/>
          <w:szCs w:val="36"/>
        </w:rPr>
        <w:t>第十四篇  实现社会治理能力现代化</w:t>
      </w:r>
    </w:p>
    <w:p>
      <w:pPr>
        <w:snapToGrid/>
        <w:spacing w:after="0" w:line="600" w:lineRule="exact"/>
        <w:ind w:firstLine="640" w:firstLineChars="200"/>
        <w:jc w:val="both"/>
        <w:rPr>
          <w:rFonts w:hint="eastAsia" w:ascii="仿宋_GB2312" w:eastAsia="仿宋_GB2312"/>
          <w:sz w:val="32"/>
          <w:szCs w:val="32"/>
        </w:rPr>
      </w:pPr>
    </w:p>
    <w:p>
      <w:pPr>
        <w:snapToGrid/>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紧扣“四个全面”的总体布局和要求，以维护最广大人民群众根本利益为目标，以创新社会治理方式、深化平安建设为主线，以网格化管理、社会化服务为方向，创新有效预防和化解社会矛盾体制，激发组织活力，以信息化为支撑，加快建设社会治安防控体系，提升社会治理现代化水平，确保人民安居乐业，社会安定有序。</w:t>
      </w:r>
    </w:p>
    <w:p>
      <w:pPr>
        <w:snapToGrid/>
        <w:spacing w:after="0" w:line="600" w:lineRule="exact"/>
        <w:jc w:val="center"/>
        <w:rPr>
          <w:rFonts w:hint="eastAsia" w:ascii="黑体" w:hAnsi="黑体" w:eastAsia="黑体"/>
          <w:sz w:val="32"/>
          <w:szCs w:val="32"/>
        </w:rPr>
      </w:pPr>
    </w:p>
    <w:p>
      <w:pPr>
        <w:snapToGrid/>
        <w:spacing w:after="0" w:line="600" w:lineRule="exact"/>
        <w:jc w:val="center"/>
        <w:rPr>
          <w:rFonts w:hint="eastAsia" w:ascii="黑体" w:hAnsi="黑体" w:eastAsia="黑体"/>
          <w:sz w:val="32"/>
          <w:szCs w:val="32"/>
        </w:rPr>
      </w:pPr>
      <w:r>
        <w:rPr>
          <w:rFonts w:hint="eastAsia" w:ascii="黑体" w:hAnsi="黑体" w:eastAsia="黑体"/>
          <w:sz w:val="32"/>
          <w:szCs w:val="32"/>
        </w:rPr>
        <w:t>第四十九章</w:t>
      </w:r>
      <w:r>
        <w:rPr>
          <w:rFonts w:ascii="黑体" w:hAnsi="黑体" w:eastAsia="黑体"/>
          <w:sz w:val="32"/>
          <w:szCs w:val="32"/>
        </w:rPr>
        <w:t xml:space="preserve">  </w:t>
      </w:r>
      <w:r>
        <w:rPr>
          <w:rFonts w:hint="eastAsia" w:ascii="黑体" w:hAnsi="黑体" w:eastAsia="黑体"/>
          <w:sz w:val="32"/>
          <w:szCs w:val="32"/>
        </w:rPr>
        <w:t>加强社会治理体系建设</w:t>
      </w:r>
    </w:p>
    <w:p>
      <w:pPr>
        <w:snapToGrid/>
        <w:spacing w:after="0" w:line="600" w:lineRule="exact"/>
        <w:jc w:val="center"/>
        <w:rPr>
          <w:rFonts w:ascii="楷体_GB2312" w:hAnsi="楷体" w:eastAsia="楷体_GB2312"/>
          <w:b/>
          <w:sz w:val="32"/>
          <w:szCs w:val="32"/>
        </w:rPr>
      </w:pPr>
    </w:p>
    <w:p>
      <w:pPr>
        <w:snapToGrid/>
        <w:spacing w:after="0" w:line="600" w:lineRule="exact"/>
        <w:jc w:val="center"/>
        <w:rPr>
          <w:rFonts w:hint="eastAsia" w:ascii="楷体_GB2312" w:hAnsi="楷体" w:eastAsia="楷体_GB2312"/>
          <w:b/>
          <w:sz w:val="32"/>
          <w:szCs w:val="32"/>
        </w:rPr>
      </w:pPr>
      <w:r>
        <w:rPr>
          <w:rFonts w:hint="eastAsia" w:ascii="楷体_GB2312" w:hAnsi="楷体" w:eastAsia="楷体_GB2312"/>
          <w:b/>
          <w:sz w:val="32"/>
          <w:szCs w:val="32"/>
        </w:rPr>
        <w:t>第一节</w:t>
      </w:r>
      <w:r>
        <w:rPr>
          <w:rFonts w:ascii="楷体_GB2312" w:hAnsi="楷体" w:eastAsia="楷体_GB2312"/>
          <w:b/>
          <w:sz w:val="32"/>
          <w:szCs w:val="32"/>
        </w:rPr>
        <w:t xml:space="preserve">  </w:t>
      </w:r>
      <w:r>
        <w:rPr>
          <w:rFonts w:hint="eastAsia" w:ascii="楷体_GB2312" w:hAnsi="楷体" w:eastAsia="楷体_GB2312"/>
          <w:b/>
          <w:sz w:val="32"/>
          <w:szCs w:val="32"/>
        </w:rPr>
        <w:t>提升平安宝鸡建设水平</w:t>
      </w:r>
    </w:p>
    <w:p>
      <w:pPr>
        <w:snapToGrid/>
        <w:spacing w:after="0" w:line="600" w:lineRule="exact"/>
        <w:ind w:firstLine="646"/>
        <w:jc w:val="both"/>
        <w:rPr>
          <w:rFonts w:ascii="仿宋_GB2312" w:eastAsia="仿宋_GB2312"/>
          <w:sz w:val="32"/>
          <w:szCs w:val="32"/>
        </w:rPr>
      </w:pPr>
      <w:r>
        <w:rPr>
          <w:rFonts w:hint="eastAsia" w:ascii="仿宋_GB2312" w:eastAsia="仿宋_GB2312"/>
          <w:sz w:val="32"/>
          <w:szCs w:val="32"/>
        </w:rPr>
        <w:t>加强社会治安综合治理，健全社会治安、危险物品和重点行业、信息网络安全等立体化社会治安防控体系，依法严密防范和惩治各类违法犯罪活动，提升人民群众安全感和满意度。创新城乡群众基层自治和社区管理，完善乡镇（街道）行政权力的制约机制。加强基层民主政治建设，贯彻落实村委会组织法，建立健全村民自治制度，开展形式多样的基层民主协商。推进城乡社区网格化管理，拓展社区服务功能，整合人口、民政、社保、卫生以及治安、信访等管理职能和服务资源，推进社区居民依法民主管理社区公共事务和公益事业。完善调解、仲裁、裁决和复议、诉讼等多元化纠纷解决机制，加强行业性、专业性人民调解组织建设，提高调解质量和效率，引导群众依法行使权力、表达诉求、解决纠纷。加强突发事件和社会热点问题的舆论引导，及时处理群众反映强烈的突出问题。落实重大决策社会稳定风险评估制度，加大对流动人口、特殊人群和虚拟社会的管控力度。强化舆情引导，进一步提高处置公共安全事件的能力和水平。</w:t>
      </w:r>
    </w:p>
    <w:p>
      <w:pPr>
        <w:spacing w:after="0" w:line="600" w:lineRule="exact"/>
        <w:ind w:firstLine="640" w:firstLineChars="200"/>
        <w:jc w:val="both"/>
        <w:rPr>
          <w:rFonts w:ascii="仿宋_GB2312" w:eastAsia="仿宋_GB2312"/>
          <w:sz w:val="32"/>
          <w:szCs w:val="32"/>
        </w:rPr>
      </w:pPr>
    </w:p>
    <w:p>
      <w:pPr>
        <w:spacing w:after="0" w:line="600" w:lineRule="exact"/>
        <w:jc w:val="center"/>
        <w:rPr>
          <w:rFonts w:ascii="楷体_GB2312" w:hAnsi="楷体" w:eastAsia="楷体_GB2312"/>
          <w:b/>
          <w:sz w:val="32"/>
          <w:szCs w:val="32"/>
        </w:rPr>
      </w:pPr>
      <w:r>
        <w:rPr>
          <w:rFonts w:hint="eastAsia" w:ascii="楷体_GB2312" w:hAnsi="楷体" w:eastAsia="楷体_GB2312"/>
          <w:b/>
          <w:sz w:val="32"/>
          <w:szCs w:val="32"/>
        </w:rPr>
        <w:t>第二节</w:t>
      </w:r>
      <w:r>
        <w:rPr>
          <w:rFonts w:ascii="楷体_GB2312" w:hAnsi="楷体" w:eastAsia="楷体_GB2312"/>
          <w:b/>
          <w:sz w:val="32"/>
          <w:szCs w:val="32"/>
        </w:rPr>
        <w:t xml:space="preserve">  </w:t>
      </w:r>
      <w:r>
        <w:rPr>
          <w:rFonts w:hint="eastAsia" w:ascii="楷体_GB2312" w:hAnsi="楷体" w:eastAsia="楷体_GB2312"/>
          <w:b/>
          <w:sz w:val="32"/>
          <w:szCs w:val="32"/>
        </w:rPr>
        <w:t>健全公共安全防控体系</w:t>
      </w:r>
    </w:p>
    <w:p>
      <w:pPr>
        <w:spacing w:after="0" w:line="600" w:lineRule="exact"/>
        <w:ind w:firstLine="643" w:firstLineChars="200"/>
        <w:jc w:val="both"/>
        <w:rPr>
          <w:rFonts w:ascii="仿宋_GB2312" w:eastAsia="仿宋_GB2312"/>
          <w:sz w:val="32"/>
          <w:szCs w:val="32"/>
        </w:rPr>
      </w:pPr>
      <w:r>
        <w:rPr>
          <w:rFonts w:hint="eastAsia" w:ascii="仿宋_GB2312" w:eastAsia="仿宋_GB2312"/>
          <w:b/>
          <w:sz w:val="32"/>
          <w:szCs w:val="32"/>
        </w:rPr>
        <w:t>加强安全生产监管。</w:t>
      </w:r>
      <w:r>
        <w:rPr>
          <w:rFonts w:hint="eastAsia" w:ascii="仿宋_GB2312" w:eastAsia="仿宋_GB2312"/>
          <w:sz w:val="32"/>
          <w:szCs w:val="32"/>
        </w:rPr>
        <w:t>推进安全生产法制化进程，严格安全生产监管。建立健全“党政同责、一岗双责、齐抓共管”的安全生产责任体系，建立健全安全生产打非治违和隐患排查整治体系，形成制度化、常态化的机制，坚持标本兼治，加强源头治理，实行重大隐患治理逐级挂牌督办和整改效果评价制度，逐步建立重大危险源实时在线监控平台；建立健全事故风险预防控制体系、安全生产应急救援体系，不断强化应急处置能力。大力实施科技兴安战略，不断提高安全生产保障能力，努力构建安全生产长效机制。到</w:t>
      </w:r>
      <w:r>
        <w:rPr>
          <w:rFonts w:ascii="仿宋_GB2312" w:eastAsia="仿宋_GB2312"/>
          <w:sz w:val="32"/>
          <w:szCs w:val="32"/>
        </w:rPr>
        <w:t>2020</w:t>
      </w:r>
      <w:r>
        <w:rPr>
          <w:rFonts w:hint="eastAsia" w:ascii="仿宋_GB2312" w:eastAsia="仿宋_GB2312"/>
          <w:sz w:val="32"/>
          <w:szCs w:val="32"/>
        </w:rPr>
        <w:t>年，全市</w:t>
      </w:r>
      <w:r>
        <w:rPr>
          <w:rFonts w:hint="eastAsia" w:ascii="Times New Roman" w:hAnsi="Times New Roman" w:eastAsia="仿宋_GB2312"/>
          <w:sz w:val="32"/>
          <w:szCs w:val="32"/>
        </w:rPr>
        <w:t>安全</w:t>
      </w:r>
      <w:r>
        <w:rPr>
          <w:rFonts w:hint="eastAsia" w:ascii="仿宋_GB2312" w:eastAsia="仿宋_GB2312"/>
          <w:sz w:val="32"/>
          <w:szCs w:val="32"/>
        </w:rPr>
        <w:t>生产形势持续稳定向好，安全生产事故起数、死亡人数控制在省上下达指标之内。</w:t>
      </w:r>
    </w:p>
    <w:p>
      <w:pPr>
        <w:spacing w:after="0" w:line="600" w:lineRule="exact"/>
        <w:ind w:firstLine="643" w:firstLineChars="200"/>
        <w:rPr>
          <w:rFonts w:hint="eastAsia" w:ascii="仿宋_GB2312" w:eastAsia="仿宋_GB2312"/>
          <w:sz w:val="32"/>
          <w:szCs w:val="32"/>
        </w:rPr>
      </w:pPr>
      <w:r>
        <w:rPr>
          <w:rFonts w:hint="eastAsia" w:ascii="仿宋_GB2312" w:eastAsia="仿宋_GB2312"/>
          <w:b/>
          <w:sz w:val="32"/>
          <w:szCs w:val="32"/>
        </w:rPr>
        <w:t>强化食品药品安全监管。</w:t>
      </w:r>
      <w:r>
        <w:rPr>
          <w:rFonts w:hint="eastAsia" w:ascii="仿宋_GB2312" w:eastAsia="仿宋_GB2312"/>
          <w:color w:val="000000"/>
          <w:sz w:val="32"/>
          <w:szCs w:val="32"/>
        </w:rPr>
        <w:t>围绕建设国家食品安全城市，健全食品药</w:t>
      </w:r>
      <w:r>
        <w:rPr>
          <w:rFonts w:hint="eastAsia" w:ascii="仿宋_GB2312" w:eastAsia="仿宋_GB2312"/>
          <w:sz w:val="32"/>
          <w:szCs w:val="32"/>
        </w:rPr>
        <w:t>品监管机构，合理划分事权，落实属地监管责任，加强食品药品质量安全过程监控。建设</w:t>
      </w:r>
      <w:r>
        <w:rPr>
          <w:rFonts w:hint="eastAsia" w:ascii="仿宋_GB2312" w:hAnsi="仿宋" w:eastAsia="仿宋_GB2312"/>
          <w:sz w:val="32"/>
          <w:szCs w:val="32"/>
        </w:rPr>
        <w:t>企业负责，部门监管，社会共治的</w:t>
      </w:r>
      <w:r>
        <w:rPr>
          <w:rFonts w:hint="eastAsia" w:ascii="仿宋_GB2312" w:eastAsia="仿宋_GB2312"/>
          <w:sz w:val="32"/>
          <w:szCs w:val="32"/>
        </w:rPr>
        <w:t>食品药品安全监管体系；建设</w:t>
      </w:r>
      <w:r>
        <w:rPr>
          <w:rFonts w:hint="eastAsia" w:ascii="仿宋_GB2312" w:hAnsi="仿宋" w:eastAsia="仿宋_GB2312"/>
          <w:sz w:val="32"/>
          <w:szCs w:val="32"/>
        </w:rPr>
        <w:t>市级检测为主、县级检测为辅、企业自检和市场快速检测为补充的检验检测体系；建立健全食品药品安全分级处置应急体系；完善电子监管为手段的农产品质量安全追溯体系。</w:t>
      </w:r>
      <w:r>
        <w:rPr>
          <w:rFonts w:hint="eastAsia" w:ascii="仿宋_GB2312" w:eastAsia="仿宋_GB2312"/>
          <w:sz w:val="32"/>
          <w:szCs w:val="32"/>
        </w:rPr>
        <w:t>构建政府、市场、社会协同的食品药品安全多元化治理格局。</w:t>
      </w:r>
    </w:p>
    <w:p>
      <w:pPr>
        <w:spacing w:after="0" w:line="600" w:lineRule="exact"/>
        <w:jc w:val="center"/>
        <w:rPr>
          <w:rFonts w:hint="eastAsia" w:ascii="楷体_GB2312" w:hAnsi="楷体" w:eastAsia="楷体_GB2312"/>
          <w:b/>
          <w:sz w:val="32"/>
          <w:szCs w:val="32"/>
        </w:rPr>
      </w:pPr>
    </w:p>
    <w:p>
      <w:pPr>
        <w:spacing w:after="0" w:line="600" w:lineRule="exact"/>
        <w:jc w:val="center"/>
        <w:rPr>
          <w:rFonts w:ascii="楷体_GB2312" w:hAnsi="楷体" w:eastAsia="楷体_GB2312"/>
          <w:b/>
          <w:sz w:val="32"/>
          <w:szCs w:val="32"/>
        </w:rPr>
      </w:pPr>
      <w:r>
        <w:rPr>
          <w:rFonts w:hint="eastAsia" w:ascii="楷体_GB2312" w:hAnsi="楷体" w:eastAsia="楷体_GB2312"/>
          <w:b/>
          <w:sz w:val="32"/>
          <w:szCs w:val="32"/>
        </w:rPr>
        <w:t>第三节</w:t>
      </w:r>
      <w:r>
        <w:rPr>
          <w:rFonts w:ascii="楷体_GB2312" w:hAnsi="楷体" w:eastAsia="楷体_GB2312"/>
          <w:b/>
          <w:sz w:val="32"/>
          <w:szCs w:val="32"/>
        </w:rPr>
        <w:t xml:space="preserve">  </w:t>
      </w:r>
      <w:r>
        <w:rPr>
          <w:rFonts w:hint="eastAsia" w:ascii="楷体_GB2312" w:hAnsi="楷体" w:eastAsia="楷体_GB2312"/>
          <w:b/>
          <w:sz w:val="32"/>
          <w:szCs w:val="32"/>
        </w:rPr>
        <w:t>强化应急能力建设</w:t>
      </w:r>
    </w:p>
    <w:p>
      <w:pPr>
        <w:spacing w:after="0" w:line="600" w:lineRule="exact"/>
        <w:ind w:firstLine="640" w:firstLineChars="200"/>
        <w:jc w:val="both"/>
        <w:rPr>
          <w:rFonts w:ascii="仿宋_GB2312" w:eastAsia="仿宋_GB2312"/>
          <w:sz w:val="32"/>
          <w:szCs w:val="32"/>
        </w:rPr>
      </w:pPr>
      <w:r>
        <w:rPr>
          <w:rFonts w:hint="eastAsia" w:ascii="仿宋_GB2312" w:eastAsia="仿宋_GB2312"/>
          <w:sz w:val="32"/>
          <w:szCs w:val="32"/>
        </w:rPr>
        <w:t>加强饮用水、食品药品、卫生、自然灾害、网络、群体性事件等应急管理基础能力、核心应急能力和社会协同应对能力建设，健全分级负责、属地为主、相互协同的应急治理体制机制，提升非传统安全的风险预警、防范控制和快速处置能力，构建与公共安全风险相适应、与国家安全相衔接的突发事件应急体系。</w:t>
      </w:r>
    </w:p>
    <w:p>
      <w:pPr>
        <w:spacing w:after="0" w:line="600" w:lineRule="exact"/>
        <w:ind w:firstLine="640" w:firstLineChars="200"/>
        <w:jc w:val="both"/>
        <w:rPr>
          <w:rFonts w:ascii="楷体" w:hAnsi="楷体" w:eastAsia="楷体"/>
          <w:b/>
          <w:sz w:val="32"/>
          <w:szCs w:val="32"/>
        </w:rPr>
      </w:pPr>
      <w:r>
        <w:rPr>
          <w:rFonts w:hint="eastAsia" w:ascii="仿宋_GB2312" w:eastAsia="仿宋_GB2312"/>
          <w:sz w:val="32"/>
          <w:szCs w:val="32"/>
        </w:rPr>
        <w:t>加强气象等自然灾害监测预警、应急处置、救援救助等能力建设，完善综合防灾减灾体系。优化整合各类减灾救灾资源，建立健全联动机制和社会力量参与机制。建设防灾减灾应急体系，加强自然灾害风险综合防范、评估和恢复重建能力建设。加强救灾物资储备库建设和管理，提升基层救灾物资储备能力。增强地震监测基础能力建设，提升地震趋势研判能力。加强防灾减灾宣传，建设防灾减灾应急体系和培训阵地，多层次开展防灾减灾和避灾自救技能培训。</w:t>
      </w:r>
    </w:p>
    <w:p>
      <w:pPr>
        <w:spacing w:after="0" w:line="600" w:lineRule="exact"/>
        <w:jc w:val="center"/>
        <w:rPr>
          <w:rFonts w:ascii="楷体" w:hAnsi="楷体" w:eastAsia="楷体"/>
          <w:b/>
          <w:sz w:val="32"/>
          <w:szCs w:val="32"/>
        </w:rPr>
      </w:pPr>
    </w:p>
    <w:p>
      <w:pPr>
        <w:spacing w:after="0" w:line="600" w:lineRule="exact"/>
        <w:jc w:val="center"/>
        <w:rPr>
          <w:rFonts w:ascii="楷体_GB2312" w:hAnsi="楷体" w:eastAsia="楷体_GB2312"/>
          <w:b/>
          <w:sz w:val="32"/>
          <w:szCs w:val="32"/>
        </w:rPr>
      </w:pPr>
      <w:r>
        <w:rPr>
          <w:rFonts w:hint="eastAsia" w:ascii="楷体_GB2312" w:hAnsi="楷体" w:eastAsia="楷体_GB2312"/>
          <w:b/>
          <w:sz w:val="32"/>
          <w:szCs w:val="32"/>
        </w:rPr>
        <w:t>第四节</w:t>
      </w:r>
      <w:r>
        <w:rPr>
          <w:rFonts w:ascii="楷体_GB2312" w:hAnsi="楷体" w:eastAsia="楷体_GB2312"/>
          <w:b/>
          <w:sz w:val="32"/>
          <w:szCs w:val="32"/>
        </w:rPr>
        <w:t xml:space="preserve">  </w:t>
      </w:r>
      <w:r>
        <w:rPr>
          <w:rFonts w:hint="eastAsia" w:ascii="楷体_GB2312" w:hAnsi="楷体" w:eastAsia="楷体_GB2312"/>
          <w:b/>
          <w:sz w:val="32"/>
          <w:szCs w:val="32"/>
        </w:rPr>
        <w:t>构建诚信宝鸡体系</w:t>
      </w:r>
    </w:p>
    <w:p>
      <w:pPr>
        <w:spacing w:after="0"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建立健全工作机构和机制。扎实推进诚信建设基础工作，推进诚信建设制度化。积极建立和落实“构建诚信·惩戒失信”合作备忘录制度，对“失信者”采取限制高消费、限贷、限制担任企业法人等惩戒措施，食药监、质监、工商等部门建立诚信“红黑榜”发布制度，形成部门上下衔接、左右联通诚信制度系统，力争到2017年末，初步建成社会信用体系框架与运行机制。到“十三五”末，基本建成和全国同步、符合全省要求、具有宝鸡特色、体制完善、运行高效、监管有力的社会信用体系基本框架与运行机制，形成一整套支撑“诚信宝鸡”建设的信用体系。打造“一言九鼎·诚信宝鸡”品牌。</w:t>
      </w:r>
    </w:p>
    <w:p>
      <w:pPr>
        <w:spacing w:after="0" w:line="600" w:lineRule="exact"/>
        <w:jc w:val="center"/>
        <w:rPr>
          <w:rFonts w:hint="eastAsia" w:ascii="黑体" w:hAnsi="黑体" w:eastAsia="黑体"/>
          <w:sz w:val="32"/>
          <w:szCs w:val="32"/>
        </w:rPr>
      </w:pPr>
    </w:p>
    <w:p>
      <w:pPr>
        <w:spacing w:after="0" w:line="600" w:lineRule="exact"/>
        <w:jc w:val="center"/>
        <w:rPr>
          <w:rFonts w:hint="eastAsia" w:ascii="仿宋_GB2312" w:eastAsia="仿宋_GB2312"/>
          <w:b/>
          <w:sz w:val="32"/>
          <w:szCs w:val="32"/>
        </w:rPr>
      </w:pPr>
      <w:r>
        <w:rPr>
          <w:rFonts w:hint="eastAsia" w:ascii="黑体" w:hAnsi="黑体" w:eastAsia="黑体"/>
          <w:sz w:val="32"/>
          <w:szCs w:val="32"/>
        </w:rPr>
        <w:t>第五十章</w:t>
      </w:r>
      <w:r>
        <w:rPr>
          <w:rFonts w:ascii="黑体" w:hAnsi="黑体" w:eastAsia="黑体"/>
          <w:sz w:val="32"/>
          <w:szCs w:val="32"/>
        </w:rPr>
        <w:t xml:space="preserve">  </w:t>
      </w:r>
      <w:r>
        <w:rPr>
          <w:rFonts w:hint="eastAsia" w:ascii="黑体" w:hAnsi="黑体" w:eastAsia="黑体"/>
          <w:sz w:val="32"/>
          <w:szCs w:val="32"/>
        </w:rPr>
        <w:t>大力推进依法治市</w:t>
      </w:r>
    </w:p>
    <w:p>
      <w:pPr>
        <w:spacing w:after="0" w:line="600" w:lineRule="exact"/>
        <w:ind w:firstLine="627" w:firstLineChars="196"/>
        <w:jc w:val="both"/>
        <w:rPr>
          <w:rFonts w:ascii="仿宋_GB2312" w:eastAsia="仿宋_GB2312"/>
          <w:sz w:val="32"/>
          <w:szCs w:val="32"/>
        </w:rPr>
      </w:pPr>
      <w:r>
        <w:rPr>
          <w:rFonts w:hint="eastAsia" w:ascii="仿宋_GB2312" w:eastAsia="仿宋_GB2312"/>
          <w:sz w:val="32"/>
          <w:szCs w:val="32"/>
        </w:rPr>
        <w:t>创新法治人才培养机制，努力打造一支政治强、业务精、作风正、敢担当的法治工作队伍。推进司法人员分类管理制度改革，优化司法职权配置，完善审级制度。严格规范执法司法行为，落实办案质量终身负责制和错案责任倒查问责制。加强人权司法保障，健全落实罪行法定、疑罪从无、非法证据排除等法律原则和制度机制。健全保障人民群众参与司法的有效机制，在司法解释、司法听证、涉法信访等司法活动中保障人民群众参与。实施“七五”普法规划，健全普法工作机制，增强全社会法律意识。坚持用制度管权管事管人，加快构建科学有效的权力运行制约和监督体系，让权力在阳光下运行，确保有权必责、用权受监督、违法必追究。推进政府职能转变，完善行政组织和行政程序法规，推进政府服务法治化，明确服务内容、标准、程序和时限等事项，建设法治型、服务型政府。发展基层民主，推行政务公开、厂务公开、村务公开。依法保障人民群众的知情权、参与权、表达权、监督权。全面推进依法治市、依法治县进程，加快推进教育、制度、监督并重的惩治和预防腐败体系建设，从源头上预防和治理腐败。</w:t>
      </w:r>
    </w:p>
    <w:p>
      <w:pPr>
        <w:spacing w:after="0" w:line="600" w:lineRule="exact"/>
        <w:jc w:val="center"/>
        <w:rPr>
          <w:rFonts w:ascii="黑体" w:hAnsi="黑体" w:eastAsia="黑体"/>
          <w:sz w:val="32"/>
          <w:szCs w:val="32"/>
        </w:rPr>
      </w:pPr>
    </w:p>
    <w:p>
      <w:pPr>
        <w:spacing w:after="0" w:line="600" w:lineRule="exact"/>
        <w:jc w:val="center"/>
        <w:rPr>
          <w:rFonts w:ascii="黑体" w:hAnsi="黑体" w:eastAsia="黑体"/>
          <w:sz w:val="32"/>
          <w:szCs w:val="32"/>
        </w:rPr>
      </w:pPr>
      <w:r>
        <w:rPr>
          <w:rFonts w:hint="eastAsia" w:ascii="黑体" w:hAnsi="黑体" w:eastAsia="黑体"/>
          <w:sz w:val="32"/>
          <w:szCs w:val="32"/>
        </w:rPr>
        <w:t>第五十一章</w:t>
      </w:r>
      <w:r>
        <w:rPr>
          <w:rFonts w:ascii="黑体" w:hAnsi="黑体" w:eastAsia="黑体"/>
          <w:sz w:val="32"/>
          <w:szCs w:val="32"/>
        </w:rPr>
        <w:t xml:space="preserve">  </w:t>
      </w:r>
      <w:r>
        <w:rPr>
          <w:rFonts w:hint="eastAsia" w:ascii="黑体" w:hAnsi="黑体" w:eastAsia="黑体"/>
          <w:sz w:val="32"/>
          <w:szCs w:val="32"/>
        </w:rPr>
        <w:t>巩固提升精神文明建设成果</w:t>
      </w:r>
    </w:p>
    <w:p>
      <w:pPr>
        <w:spacing w:after="0" w:line="600" w:lineRule="exact"/>
        <w:ind w:firstLine="1920" w:firstLineChars="600"/>
        <w:jc w:val="both"/>
        <w:rPr>
          <w:rFonts w:ascii="仿宋_GB2312" w:eastAsia="仿宋_GB2312"/>
          <w:sz w:val="32"/>
          <w:szCs w:val="32"/>
        </w:rPr>
      </w:pPr>
    </w:p>
    <w:p>
      <w:pPr>
        <w:spacing w:after="0" w:line="600" w:lineRule="exact"/>
        <w:jc w:val="center"/>
        <w:rPr>
          <w:rFonts w:ascii="楷体_GB2312" w:hAnsi="楷体" w:eastAsia="楷体_GB2312"/>
          <w:b/>
          <w:sz w:val="32"/>
          <w:szCs w:val="32"/>
        </w:rPr>
      </w:pPr>
      <w:r>
        <w:rPr>
          <w:rFonts w:hint="eastAsia" w:ascii="楷体_GB2312" w:hAnsi="楷体" w:eastAsia="楷体_GB2312"/>
          <w:b/>
          <w:sz w:val="32"/>
          <w:szCs w:val="32"/>
        </w:rPr>
        <w:t>第一节</w:t>
      </w:r>
      <w:r>
        <w:rPr>
          <w:rFonts w:ascii="楷体_GB2312" w:hAnsi="楷体" w:eastAsia="楷体_GB2312"/>
          <w:b/>
          <w:sz w:val="32"/>
          <w:szCs w:val="32"/>
        </w:rPr>
        <w:t xml:space="preserve">  </w:t>
      </w:r>
      <w:r>
        <w:rPr>
          <w:rFonts w:hint="eastAsia" w:ascii="楷体_GB2312" w:hAnsi="楷体" w:eastAsia="楷体_GB2312"/>
          <w:b/>
          <w:sz w:val="32"/>
          <w:szCs w:val="32"/>
        </w:rPr>
        <w:t>提升精神文明建设水平</w:t>
      </w:r>
    </w:p>
    <w:p>
      <w:pPr>
        <w:spacing w:after="0" w:line="600" w:lineRule="exact"/>
        <w:ind w:firstLine="640" w:firstLineChars="200"/>
        <w:jc w:val="both"/>
        <w:rPr>
          <w:rFonts w:ascii="仿宋_GB2312" w:eastAsia="仿宋_GB2312"/>
          <w:sz w:val="32"/>
          <w:szCs w:val="32"/>
        </w:rPr>
      </w:pPr>
      <w:r>
        <w:rPr>
          <w:rFonts w:hint="eastAsia" w:ascii="仿宋_GB2312" w:eastAsia="仿宋_GB2312"/>
          <w:sz w:val="32"/>
          <w:szCs w:val="32"/>
        </w:rPr>
        <w:t>继续深入广泛开展培育和践行社会主义核心价值体系教育实践活动，加强中国特色社会主义道路和实现中华民族伟大复兴的理想信念教育。深入开展道德模范评选表彰活动和道德宣传实践活动，大力倡导爱国守法、明礼诚信、团结友善、勤俭自强、敬业奉献等基本道</w:t>
      </w:r>
      <w:r>
        <w:rPr>
          <w:rFonts w:hint="eastAsia" w:ascii="仿宋_GB2312" w:eastAsia="仿宋_GB2312"/>
          <w:color w:val="000000"/>
          <w:sz w:val="32"/>
          <w:szCs w:val="32"/>
        </w:rPr>
        <w:t>德规范。深入挖掘宝鸡历史文化中所蕴含的独创性精神元素，唤醒当代宝鸡人的创新意识和创造精神，充实丰富并大力弘扬“崇德尚礼、和谐包容、闻鸡起舞、开放创新” 的宝鸡精神。开展全民</w:t>
      </w:r>
      <w:r>
        <w:rPr>
          <w:rFonts w:hint="eastAsia" w:ascii="仿宋_GB2312" w:eastAsia="仿宋_GB2312"/>
          <w:sz w:val="32"/>
          <w:szCs w:val="32"/>
        </w:rPr>
        <w:t>阅读活动，提高干部群众精神素养。建立健全未成年人思想道德建设领导体制，围绕提升公民文明素质和城乡文明程度，全民动员，综合治理，巩固和发展全社会形成的文明成果。建立巩固全国文明城市荣誉的长效机制，实施常态化管理，全面推进公共文明引导行动，深入推进礼仪文明、环境文明、秩序文明、服务文明、网络文明引导行动。</w:t>
      </w:r>
    </w:p>
    <w:p>
      <w:pPr>
        <w:spacing w:after="0" w:line="600" w:lineRule="exact"/>
        <w:jc w:val="center"/>
        <w:rPr>
          <w:rFonts w:ascii="楷体_GB2312" w:hAnsi="楷体" w:eastAsia="楷体_GB2312"/>
          <w:b/>
          <w:sz w:val="32"/>
          <w:szCs w:val="32"/>
        </w:rPr>
      </w:pPr>
    </w:p>
    <w:p>
      <w:pPr>
        <w:spacing w:after="0" w:line="600" w:lineRule="exact"/>
        <w:jc w:val="center"/>
        <w:rPr>
          <w:rFonts w:ascii="楷体_GB2312" w:hAnsi="楷体" w:eastAsia="楷体_GB2312"/>
          <w:b/>
          <w:sz w:val="32"/>
          <w:szCs w:val="32"/>
        </w:rPr>
      </w:pPr>
      <w:r>
        <w:rPr>
          <w:rFonts w:hint="eastAsia" w:ascii="楷体_GB2312" w:hAnsi="楷体" w:eastAsia="楷体_GB2312"/>
          <w:b/>
          <w:sz w:val="32"/>
          <w:szCs w:val="32"/>
        </w:rPr>
        <w:t>第二节</w:t>
      </w:r>
      <w:r>
        <w:rPr>
          <w:rFonts w:ascii="楷体_GB2312" w:hAnsi="楷体" w:eastAsia="楷体_GB2312"/>
          <w:b/>
          <w:sz w:val="32"/>
          <w:szCs w:val="32"/>
        </w:rPr>
        <w:t xml:space="preserve">  </w:t>
      </w:r>
      <w:r>
        <w:rPr>
          <w:rFonts w:hint="eastAsia" w:ascii="楷体_GB2312" w:hAnsi="楷体" w:eastAsia="楷体_GB2312"/>
          <w:b/>
          <w:sz w:val="32"/>
          <w:szCs w:val="32"/>
        </w:rPr>
        <w:t>深化群众性精神文明创建工作</w:t>
      </w:r>
    </w:p>
    <w:p>
      <w:pPr>
        <w:spacing w:after="0" w:line="600" w:lineRule="exact"/>
        <w:ind w:firstLine="627" w:firstLineChars="196"/>
        <w:jc w:val="both"/>
        <w:rPr>
          <w:rFonts w:hint="eastAsia" w:ascii="仿宋_GB2312" w:eastAsia="仿宋_GB2312"/>
          <w:sz w:val="32"/>
          <w:szCs w:val="32"/>
        </w:rPr>
      </w:pPr>
      <w:r>
        <w:rPr>
          <w:rFonts w:hint="eastAsia" w:ascii="仿宋_GB2312" w:eastAsia="仿宋_GB2312"/>
          <w:sz w:val="32"/>
          <w:szCs w:val="32"/>
        </w:rPr>
        <w:t>突出以培育和践行社会主义核心价值观为主要内容的社会公德、职业道德、家庭美德教育活动。不断探索和完善文明单位评选表彰管理办法，提升文明村镇（社区）、文明单位、文明行业科学化、制度化、规范化创建水平。进一步改善城乡社会环境和公共秩序，提升社会服务水平，为加快转变经济发展方式，推动科学发展提供强大精神动力，营造良好的社会发展氛围，为宝鸡全面同步建成小康社会提供精神动力。</w:t>
      </w:r>
    </w:p>
    <w:p>
      <w:pPr>
        <w:spacing w:after="0" w:line="600" w:lineRule="exact"/>
        <w:jc w:val="center"/>
        <w:rPr>
          <w:rFonts w:ascii="黑体" w:hAnsi="黑体" w:eastAsia="黑体"/>
          <w:sz w:val="32"/>
          <w:szCs w:val="32"/>
        </w:rPr>
      </w:pPr>
    </w:p>
    <w:p>
      <w:pPr>
        <w:spacing w:after="0" w:line="600" w:lineRule="exact"/>
        <w:jc w:val="center"/>
        <w:rPr>
          <w:rFonts w:ascii="黑体" w:hAnsi="黑体" w:eastAsia="黑体"/>
          <w:sz w:val="32"/>
          <w:szCs w:val="32"/>
        </w:rPr>
      </w:pPr>
      <w:r>
        <w:rPr>
          <w:rFonts w:hint="eastAsia" w:ascii="黑体" w:hAnsi="黑体" w:eastAsia="黑体"/>
          <w:sz w:val="32"/>
          <w:szCs w:val="32"/>
        </w:rPr>
        <w:t>第五十二章</w:t>
      </w:r>
      <w:r>
        <w:rPr>
          <w:rFonts w:ascii="黑体" w:hAnsi="黑体" w:eastAsia="黑体"/>
          <w:sz w:val="32"/>
          <w:szCs w:val="32"/>
        </w:rPr>
        <w:t xml:space="preserve">  </w:t>
      </w:r>
      <w:r>
        <w:rPr>
          <w:rFonts w:hint="eastAsia" w:ascii="黑体" w:hAnsi="黑体" w:eastAsia="黑体"/>
          <w:sz w:val="32"/>
          <w:szCs w:val="32"/>
        </w:rPr>
        <w:t>加强和推进其他各项事业发展</w:t>
      </w:r>
    </w:p>
    <w:p>
      <w:pPr>
        <w:spacing w:after="0" w:line="600" w:lineRule="exact"/>
        <w:ind w:firstLine="627" w:firstLineChars="196"/>
        <w:jc w:val="both"/>
        <w:rPr>
          <w:rFonts w:ascii="仿宋_GB2312" w:eastAsia="仿宋_GB2312"/>
          <w:sz w:val="32"/>
          <w:szCs w:val="32"/>
        </w:rPr>
      </w:pPr>
      <w:r>
        <w:rPr>
          <w:rFonts w:hint="eastAsia" w:ascii="仿宋_GB2312" w:eastAsia="仿宋_GB2312"/>
          <w:sz w:val="32"/>
          <w:szCs w:val="32"/>
        </w:rPr>
        <w:t>重视工会、共青团、妇女儿童、关心下一代等工作，进一步加强群团组织阵地建设，积极维护职工合法权益，关注妇女、关爱儿童，保障妇女参与国家社会事务管理权利；重视党校培训基地建设，推进市委党校搬迁和建设工作，培育壮大党政人才队伍；双拥模范城（县）创建水平不断提高，力争蝉联全国双拥模范城“九连冠”。加快档案信息化建设，加强地方志事业发展全面完成第二轮地方志修志任务，服务经济社会发展。加强民族、宗教、侨务及港澳等工作。加强人民防空建设，强化县区人民防空组织指挥、信息化、防空防灾平台建设，建立军地联合、平战结合、统一高效的人民防空指挥体制。</w:t>
      </w:r>
    </w:p>
    <w:p>
      <w:pPr>
        <w:spacing w:after="0" w:line="620" w:lineRule="exact"/>
        <w:ind w:firstLine="431" w:firstLineChars="196"/>
        <w:jc w:val="both"/>
        <w:rPr>
          <w:rFonts w:hint="eastAsia"/>
        </w:rPr>
      </w:pPr>
    </w:p>
    <w:p>
      <w:pPr>
        <w:spacing w:after="0" w:line="620" w:lineRule="exact"/>
        <w:jc w:val="center"/>
        <w:rPr>
          <w:rFonts w:ascii="华文中宋" w:hAnsi="华文中宋" w:eastAsia="华文中宋"/>
          <w:b/>
          <w:sz w:val="36"/>
          <w:szCs w:val="36"/>
        </w:rPr>
      </w:pPr>
      <w:r>
        <w:rPr>
          <w:rFonts w:hint="eastAsia" w:ascii="华文中宋" w:hAnsi="华文中宋" w:eastAsia="华文中宋"/>
          <w:b/>
          <w:sz w:val="36"/>
          <w:szCs w:val="36"/>
        </w:rPr>
        <w:t>第十五篇  加强规划的组织实施</w:t>
      </w:r>
    </w:p>
    <w:p>
      <w:pPr>
        <w:spacing w:after="0" w:line="620" w:lineRule="exact"/>
        <w:jc w:val="center"/>
        <w:rPr>
          <w:rFonts w:hint="eastAsia" w:ascii="方正小标宋简体" w:eastAsia="方正小标宋简体"/>
          <w:b/>
          <w:sz w:val="36"/>
          <w:szCs w:val="36"/>
        </w:rPr>
      </w:pPr>
    </w:p>
    <w:p>
      <w:pPr>
        <w:spacing w:after="0" w:line="620" w:lineRule="exact"/>
        <w:ind w:firstLine="640" w:firstLineChars="200"/>
        <w:jc w:val="both"/>
        <w:rPr>
          <w:rFonts w:ascii="仿宋_GB2312" w:eastAsia="仿宋_GB2312"/>
          <w:sz w:val="32"/>
          <w:szCs w:val="32"/>
        </w:rPr>
      </w:pPr>
      <w:r>
        <w:rPr>
          <w:rFonts w:hint="eastAsia" w:ascii="仿宋_GB2312" w:eastAsia="仿宋_GB2312"/>
          <w:sz w:val="32"/>
          <w:szCs w:val="32"/>
        </w:rPr>
        <w:t>本规划是今后五年我市经济社会发展的纲领性文件，是政府履行宏观调控、改革创新、社会治理、生态建设和公共服务职责的重要依据。本规划经过市人民代表大会审议批准，具有法律效力，要举全市之力，实现未来五年发展宏伟蓝图。</w:t>
      </w:r>
      <w:bookmarkStart w:id="1" w:name="OLE_LINK1"/>
    </w:p>
    <w:p>
      <w:pPr>
        <w:widowControl w:val="0"/>
        <w:spacing w:after="0" w:line="600" w:lineRule="exact"/>
        <w:jc w:val="center"/>
        <w:rPr>
          <w:rFonts w:hint="eastAsia" w:ascii="黑体" w:hAnsi="黑体" w:eastAsia="黑体"/>
          <w:sz w:val="32"/>
          <w:szCs w:val="32"/>
        </w:rPr>
      </w:pPr>
    </w:p>
    <w:p>
      <w:pPr>
        <w:widowControl w:val="0"/>
        <w:spacing w:after="0" w:line="620" w:lineRule="exact"/>
        <w:jc w:val="center"/>
        <w:rPr>
          <w:rFonts w:ascii="黑体" w:hAnsi="黑体" w:eastAsia="黑体"/>
          <w:sz w:val="32"/>
          <w:szCs w:val="32"/>
        </w:rPr>
      </w:pPr>
      <w:r>
        <w:rPr>
          <w:rFonts w:hint="eastAsia" w:ascii="黑体" w:hAnsi="黑体" w:eastAsia="黑体"/>
          <w:sz w:val="32"/>
          <w:szCs w:val="32"/>
        </w:rPr>
        <w:t>第五十三章</w:t>
      </w:r>
      <w:r>
        <w:rPr>
          <w:rFonts w:ascii="黑体" w:hAnsi="黑体" w:eastAsia="黑体"/>
          <w:sz w:val="32"/>
          <w:szCs w:val="32"/>
        </w:rPr>
        <w:t xml:space="preserve">  </w:t>
      </w:r>
      <w:r>
        <w:rPr>
          <w:rFonts w:hint="eastAsia" w:ascii="黑体" w:hAnsi="黑体" w:eastAsia="黑体"/>
          <w:sz w:val="32"/>
          <w:szCs w:val="32"/>
        </w:rPr>
        <w:t>强化重点项目支撑</w:t>
      </w:r>
    </w:p>
    <w:p>
      <w:pPr>
        <w:widowControl w:val="0"/>
        <w:spacing w:after="0" w:line="620" w:lineRule="exact"/>
        <w:ind w:firstLine="640" w:firstLineChars="200"/>
        <w:jc w:val="both"/>
        <w:rPr>
          <w:rFonts w:hint="eastAsia" w:ascii="仿宋_GB2312" w:eastAsia="仿宋_GB2312"/>
          <w:sz w:val="32"/>
          <w:szCs w:val="32"/>
        </w:rPr>
      </w:pPr>
      <w:r>
        <w:rPr>
          <w:rFonts w:hint="eastAsia" w:ascii="仿宋_GB2312" w:eastAsia="仿宋_GB2312"/>
          <w:sz w:val="32"/>
          <w:szCs w:val="32"/>
        </w:rPr>
        <w:t>根据全市经济社会发展对投资的需求，为确保预期目标全面实现，共谋划重大前期项目</w:t>
      </w:r>
      <w:r>
        <w:rPr>
          <w:rFonts w:ascii="仿宋_GB2312" w:eastAsia="仿宋_GB2312"/>
          <w:sz w:val="32"/>
          <w:szCs w:val="32"/>
        </w:rPr>
        <w:t>700</w:t>
      </w:r>
      <w:r>
        <w:rPr>
          <w:rFonts w:hint="eastAsia" w:ascii="仿宋_GB2312" w:eastAsia="仿宋_GB2312"/>
          <w:sz w:val="32"/>
          <w:szCs w:val="32"/>
        </w:rPr>
        <w:t>个，总投资101</w:t>
      </w:r>
      <w:r>
        <w:rPr>
          <w:rFonts w:ascii="仿宋_GB2312" w:eastAsia="仿宋_GB2312"/>
          <w:sz w:val="32"/>
          <w:szCs w:val="32"/>
        </w:rPr>
        <w:t>26</w:t>
      </w:r>
      <w:r>
        <w:rPr>
          <w:rFonts w:hint="eastAsia" w:ascii="仿宋_GB2312" w:eastAsia="仿宋_GB2312"/>
          <w:sz w:val="32"/>
          <w:szCs w:val="32"/>
        </w:rPr>
        <w:t>亿元。“十三五”期间，完成重点项目投资4000亿元左右，其中产业化项目投资达到2100亿元以上。</w:t>
      </w:r>
    </w:p>
    <w:p>
      <w:pPr>
        <w:widowControl w:val="0"/>
        <w:pBdr>
          <w:bottom w:val="single" w:color="FFFFFF" w:sz="4" w:space="31"/>
        </w:pBdr>
        <w:spacing w:after="0" w:line="620" w:lineRule="exact"/>
        <w:ind w:firstLine="640" w:firstLineChars="200"/>
        <w:jc w:val="both"/>
        <w:textAlignment w:val="baseline"/>
        <w:rPr>
          <w:rFonts w:ascii="仿宋_GB2312" w:hAnsi="仿宋" w:eastAsia="仿宋_GB2312"/>
          <w:b/>
          <w:sz w:val="32"/>
          <w:szCs w:val="32"/>
        </w:rPr>
      </w:pPr>
      <w:r>
        <w:rPr>
          <w:rFonts w:hint="eastAsia" w:ascii="仿宋_GB2312" w:eastAsia="仿宋_GB2312"/>
          <w:sz w:val="32"/>
          <w:szCs w:val="32"/>
        </w:rPr>
        <w:t>谋划的万亿项目中，</w:t>
      </w:r>
      <w:r>
        <w:rPr>
          <w:rFonts w:hint="eastAsia" w:ascii="仿宋_GB2312" w:hAnsi="仿宋" w:eastAsia="仿宋_GB2312"/>
          <w:sz w:val="32"/>
        </w:rPr>
        <w:t>其中，</w:t>
      </w:r>
      <w:r>
        <w:rPr>
          <w:rFonts w:hint="eastAsia" w:ascii="仿宋_GB2312" w:hAnsi="仿宋" w:eastAsia="仿宋_GB2312"/>
          <w:b/>
          <w:sz w:val="32"/>
          <w:szCs w:val="32"/>
        </w:rPr>
        <w:t>产业项目</w:t>
      </w:r>
      <w:r>
        <w:rPr>
          <w:rFonts w:hint="eastAsia" w:ascii="仿宋_GB2312" w:hAnsi="仿宋" w:eastAsia="仿宋_GB2312"/>
          <w:sz w:val="32"/>
          <w:szCs w:val="32"/>
        </w:rPr>
        <w:t>共48</w:t>
      </w:r>
      <w:r>
        <w:rPr>
          <w:rFonts w:ascii="仿宋_GB2312" w:hAnsi="仿宋" w:eastAsia="仿宋_GB2312"/>
          <w:sz w:val="32"/>
          <w:szCs w:val="32"/>
        </w:rPr>
        <w:t>7</w:t>
      </w:r>
      <w:r>
        <w:rPr>
          <w:rFonts w:hint="eastAsia" w:ascii="仿宋_GB2312" w:hAnsi="仿宋" w:eastAsia="仿宋_GB2312"/>
          <w:sz w:val="32"/>
          <w:szCs w:val="32"/>
        </w:rPr>
        <w:t>个，总投资607</w:t>
      </w:r>
      <w:r>
        <w:rPr>
          <w:rFonts w:ascii="仿宋_GB2312" w:hAnsi="仿宋" w:eastAsia="仿宋_GB2312"/>
          <w:sz w:val="32"/>
          <w:szCs w:val="32"/>
        </w:rPr>
        <w:t>4</w:t>
      </w:r>
      <w:r>
        <w:rPr>
          <w:rFonts w:hint="eastAsia" w:ascii="仿宋_GB2312" w:hAnsi="仿宋" w:eastAsia="仿宋_GB2312"/>
          <w:sz w:val="32"/>
          <w:szCs w:val="32"/>
        </w:rPr>
        <w:t>亿元，占60%；</w:t>
      </w:r>
      <w:r>
        <w:rPr>
          <w:rFonts w:hint="eastAsia" w:ascii="仿宋_GB2312" w:hAnsi="仿宋" w:eastAsia="仿宋_GB2312"/>
          <w:b/>
          <w:sz w:val="32"/>
          <w:szCs w:val="32"/>
        </w:rPr>
        <w:t>基础设施</w:t>
      </w:r>
      <w:r>
        <w:rPr>
          <w:rFonts w:hint="eastAsia" w:ascii="仿宋_GB2312" w:hAnsi="仿宋" w:eastAsia="仿宋_GB2312"/>
          <w:sz w:val="32"/>
          <w:szCs w:val="32"/>
        </w:rPr>
        <w:t>项目共17</w:t>
      </w:r>
      <w:r>
        <w:rPr>
          <w:rFonts w:ascii="仿宋_GB2312" w:hAnsi="仿宋" w:eastAsia="仿宋_GB2312"/>
          <w:sz w:val="32"/>
          <w:szCs w:val="32"/>
        </w:rPr>
        <w:t>3</w:t>
      </w:r>
      <w:r>
        <w:rPr>
          <w:rFonts w:hint="eastAsia" w:ascii="仿宋_GB2312" w:hAnsi="仿宋" w:eastAsia="仿宋_GB2312"/>
          <w:sz w:val="32"/>
          <w:szCs w:val="32"/>
        </w:rPr>
        <w:t>个，总投资364</w:t>
      </w:r>
      <w:r>
        <w:rPr>
          <w:rFonts w:ascii="仿宋_GB2312" w:hAnsi="仿宋" w:eastAsia="仿宋_GB2312"/>
          <w:sz w:val="32"/>
          <w:szCs w:val="32"/>
        </w:rPr>
        <w:t>8</w:t>
      </w:r>
      <w:r>
        <w:rPr>
          <w:rFonts w:hint="eastAsia" w:ascii="仿宋_GB2312" w:hAnsi="仿宋" w:eastAsia="仿宋_GB2312"/>
          <w:sz w:val="32"/>
          <w:szCs w:val="32"/>
        </w:rPr>
        <w:t>亿元，占36%；</w:t>
      </w:r>
      <w:r>
        <w:rPr>
          <w:rFonts w:hint="eastAsia" w:ascii="仿宋_GB2312" w:hAnsi="仿宋" w:eastAsia="仿宋_GB2312"/>
          <w:b/>
          <w:sz w:val="32"/>
          <w:szCs w:val="32"/>
        </w:rPr>
        <w:t>社会事业</w:t>
      </w:r>
      <w:r>
        <w:rPr>
          <w:rFonts w:hint="eastAsia" w:ascii="仿宋_GB2312" w:hAnsi="仿宋" w:eastAsia="仿宋_GB2312"/>
          <w:sz w:val="32"/>
          <w:szCs w:val="32"/>
        </w:rPr>
        <w:t>项目共40个，总投资40</w:t>
      </w:r>
      <w:r>
        <w:rPr>
          <w:rFonts w:ascii="仿宋_GB2312" w:hAnsi="仿宋" w:eastAsia="仿宋_GB2312"/>
          <w:sz w:val="32"/>
          <w:szCs w:val="32"/>
        </w:rPr>
        <w:t>4</w:t>
      </w:r>
      <w:r>
        <w:rPr>
          <w:rFonts w:hint="eastAsia" w:ascii="仿宋_GB2312" w:hAnsi="仿宋" w:eastAsia="仿宋_GB2312"/>
          <w:sz w:val="32"/>
          <w:szCs w:val="32"/>
        </w:rPr>
        <w:t>亿元，占4%；100亿元以上项目23个,50-100亿元项目23个,20-50亿元以上项目82个,10-20亿元以上项目115个。主要体现在</w:t>
      </w:r>
      <w:r>
        <w:rPr>
          <w:rFonts w:hint="eastAsia" w:ascii="仿宋_GB2312" w:hAnsi="仿宋" w:eastAsia="仿宋_GB2312"/>
          <w:b/>
          <w:sz w:val="32"/>
          <w:szCs w:val="32"/>
        </w:rPr>
        <w:t>八大领域</w:t>
      </w:r>
      <w:r>
        <w:rPr>
          <w:rFonts w:hint="eastAsia" w:ascii="仿宋_GB2312" w:hAnsi="仿宋" w:eastAsia="仿宋_GB2312"/>
          <w:sz w:val="32"/>
          <w:szCs w:val="32"/>
        </w:rPr>
        <w:t>，归类到</w:t>
      </w:r>
      <w:r>
        <w:rPr>
          <w:rFonts w:hint="eastAsia" w:ascii="仿宋_GB2312" w:hAnsi="仿宋" w:eastAsia="仿宋_GB2312"/>
          <w:b/>
          <w:sz w:val="32"/>
          <w:szCs w:val="32"/>
        </w:rPr>
        <w:t>29个工程包</w:t>
      </w:r>
      <w:r>
        <w:rPr>
          <w:rFonts w:hint="eastAsia" w:ascii="仿宋_GB2312" w:hAnsi="仿宋" w:eastAsia="仿宋_GB2312"/>
          <w:sz w:val="32"/>
          <w:szCs w:val="32"/>
        </w:rPr>
        <w:t>。</w:t>
      </w:r>
      <w:r>
        <w:rPr>
          <w:rFonts w:hint="eastAsia" w:ascii="仿宋_GB2312" w:hAnsi="仿宋" w:eastAsia="仿宋_GB2312"/>
          <w:b/>
          <w:sz w:val="32"/>
          <w:szCs w:val="32"/>
        </w:rPr>
        <w:t>工业创新转型升级工程领域，10个工程包， 203个项目，总投资3312亿元。</w:t>
      </w:r>
      <w:r>
        <w:rPr>
          <w:rFonts w:hint="eastAsia" w:ascii="仿宋_GB2312" w:hAnsi="仿宋" w:eastAsia="仿宋_GB2312"/>
          <w:sz w:val="32"/>
          <w:szCs w:val="32"/>
        </w:rPr>
        <w:t>汽车及零部件产业包项目19个，总投资41</w:t>
      </w:r>
      <w:r>
        <w:rPr>
          <w:rFonts w:ascii="仿宋_GB2312" w:hAnsi="仿宋" w:eastAsia="仿宋_GB2312"/>
          <w:sz w:val="32"/>
          <w:szCs w:val="32"/>
        </w:rPr>
        <w:t>8</w:t>
      </w:r>
      <w:r>
        <w:rPr>
          <w:rFonts w:hint="eastAsia" w:ascii="仿宋_GB2312" w:hAnsi="仿宋" w:eastAsia="仿宋_GB2312"/>
          <w:sz w:val="32"/>
          <w:szCs w:val="32"/>
        </w:rPr>
        <w:t>亿元；钛及钛合金产业包项目22个，总投资 167亿元；能源化工产业包项目57个，总投资1517亿元；轨道交通产业包项目4个，总投资32亿元；机床工具产业包项目9个，总投资16亿元；装备制造产业包项目17个，总投资221亿元；烟酒食品产业包项目23个，总投资198亿元；电子信息产业包项目16个，总投资</w:t>
      </w:r>
      <w:r>
        <w:rPr>
          <w:rFonts w:ascii="仿宋_GB2312" w:hAnsi="仿宋" w:eastAsia="仿宋_GB2312"/>
          <w:sz w:val="32"/>
          <w:szCs w:val="32"/>
        </w:rPr>
        <w:t>3</w:t>
      </w:r>
      <w:r>
        <w:rPr>
          <w:rFonts w:hint="eastAsia" w:ascii="仿宋_GB2312" w:hAnsi="仿宋" w:eastAsia="仿宋_GB2312"/>
          <w:sz w:val="32"/>
          <w:szCs w:val="32"/>
        </w:rPr>
        <w:t>0</w:t>
      </w:r>
      <w:r>
        <w:rPr>
          <w:rFonts w:ascii="仿宋_GB2312" w:hAnsi="仿宋" w:eastAsia="仿宋_GB2312"/>
          <w:sz w:val="32"/>
          <w:szCs w:val="32"/>
        </w:rPr>
        <w:t>4</w:t>
      </w:r>
      <w:r>
        <w:rPr>
          <w:rFonts w:hint="eastAsia" w:ascii="仿宋_GB2312" w:hAnsi="仿宋" w:eastAsia="仿宋_GB2312"/>
          <w:sz w:val="32"/>
          <w:szCs w:val="32"/>
        </w:rPr>
        <w:t>亿元；传统产业提升改造工程包项目28个，总投资160亿元；新兴产业包项目8个，总投资279亿元。</w:t>
      </w:r>
      <w:r>
        <w:rPr>
          <w:rFonts w:hint="eastAsia" w:ascii="仿宋_GB2312" w:hAnsi="仿宋" w:eastAsia="仿宋_GB2312"/>
          <w:b/>
          <w:sz w:val="32"/>
          <w:szCs w:val="32"/>
        </w:rPr>
        <w:t>现代农业发展领域，3个工程包，</w:t>
      </w:r>
      <w:r>
        <w:rPr>
          <w:rFonts w:ascii="仿宋_GB2312" w:hAnsi="仿宋" w:eastAsia="仿宋_GB2312"/>
          <w:b/>
          <w:sz w:val="32"/>
          <w:szCs w:val="32"/>
        </w:rPr>
        <w:t>49</w:t>
      </w:r>
      <w:r>
        <w:rPr>
          <w:rFonts w:hint="eastAsia" w:ascii="仿宋_GB2312" w:hAnsi="仿宋" w:eastAsia="仿宋_GB2312"/>
          <w:b/>
          <w:sz w:val="32"/>
          <w:szCs w:val="32"/>
        </w:rPr>
        <w:t>个项目，总投资48</w:t>
      </w:r>
      <w:r>
        <w:rPr>
          <w:rFonts w:ascii="仿宋_GB2312" w:hAnsi="仿宋" w:eastAsia="仿宋_GB2312"/>
          <w:b/>
          <w:sz w:val="32"/>
          <w:szCs w:val="32"/>
        </w:rPr>
        <w:t>7</w:t>
      </w:r>
      <w:r>
        <w:rPr>
          <w:rFonts w:hint="eastAsia" w:ascii="仿宋_GB2312" w:hAnsi="仿宋" w:eastAsia="仿宋_GB2312"/>
          <w:b/>
          <w:sz w:val="32"/>
          <w:szCs w:val="32"/>
        </w:rPr>
        <w:t>亿元。</w:t>
      </w:r>
      <w:r>
        <w:rPr>
          <w:rFonts w:hint="eastAsia" w:ascii="仿宋_GB2312" w:hAnsi="仿宋" w:eastAsia="仿宋_GB2312"/>
          <w:sz w:val="32"/>
          <w:szCs w:val="32"/>
        </w:rPr>
        <w:t>粮食生产能力提升工程包项目 4个，总投资33亿元；特色农业建设工程包项目35 个，总投资19</w:t>
      </w:r>
      <w:r>
        <w:rPr>
          <w:rFonts w:ascii="仿宋_GB2312" w:hAnsi="仿宋" w:eastAsia="仿宋_GB2312"/>
          <w:sz w:val="32"/>
          <w:szCs w:val="32"/>
        </w:rPr>
        <w:t>7</w:t>
      </w:r>
      <w:r>
        <w:rPr>
          <w:rFonts w:hint="eastAsia" w:ascii="仿宋_GB2312" w:hAnsi="仿宋" w:eastAsia="仿宋_GB2312"/>
          <w:sz w:val="32"/>
          <w:szCs w:val="32"/>
        </w:rPr>
        <w:t>亿元；特色园区发展工程包项目1</w:t>
      </w:r>
      <w:r>
        <w:rPr>
          <w:rFonts w:ascii="仿宋_GB2312" w:hAnsi="仿宋" w:eastAsia="仿宋_GB2312"/>
          <w:sz w:val="32"/>
          <w:szCs w:val="32"/>
        </w:rPr>
        <w:t>0</w:t>
      </w:r>
      <w:r>
        <w:rPr>
          <w:rFonts w:hint="eastAsia" w:ascii="仿宋_GB2312" w:hAnsi="仿宋" w:eastAsia="仿宋_GB2312"/>
          <w:sz w:val="32"/>
          <w:szCs w:val="32"/>
        </w:rPr>
        <w:t>个，总投资25</w:t>
      </w:r>
      <w:r>
        <w:rPr>
          <w:rFonts w:ascii="仿宋_GB2312" w:hAnsi="仿宋" w:eastAsia="仿宋_GB2312"/>
          <w:sz w:val="32"/>
          <w:szCs w:val="32"/>
        </w:rPr>
        <w:t>7</w:t>
      </w:r>
      <w:r>
        <w:rPr>
          <w:rFonts w:hint="eastAsia" w:ascii="仿宋_GB2312" w:hAnsi="仿宋" w:eastAsia="仿宋_GB2312"/>
          <w:sz w:val="32"/>
          <w:szCs w:val="32"/>
        </w:rPr>
        <w:t>亿元。</w:t>
      </w:r>
      <w:r>
        <w:rPr>
          <w:rFonts w:hint="eastAsia" w:ascii="仿宋_GB2312" w:hAnsi="仿宋" w:eastAsia="仿宋_GB2312"/>
          <w:b/>
          <w:sz w:val="32"/>
          <w:szCs w:val="32"/>
        </w:rPr>
        <w:t>丝路商贸物流领域，3个工程包，122个项目，总投资1116亿元。</w:t>
      </w:r>
      <w:r>
        <w:rPr>
          <w:rFonts w:hint="eastAsia" w:ascii="仿宋_GB2312" w:hAnsi="仿宋" w:eastAsia="仿宋_GB2312"/>
          <w:sz w:val="32"/>
          <w:szCs w:val="32"/>
        </w:rPr>
        <w:t>物流工程包项目64个，总投资567亿元；电子商务工程包项目9个，总投资22元；商贸领域工程包项目49个，总投资 52</w:t>
      </w:r>
      <w:r>
        <w:rPr>
          <w:rFonts w:ascii="仿宋_GB2312" w:hAnsi="仿宋" w:eastAsia="仿宋_GB2312"/>
          <w:sz w:val="32"/>
          <w:szCs w:val="32"/>
        </w:rPr>
        <w:t>7</w:t>
      </w:r>
      <w:r>
        <w:rPr>
          <w:rFonts w:hint="eastAsia" w:ascii="仿宋_GB2312" w:hAnsi="仿宋" w:eastAsia="仿宋_GB2312"/>
          <w:sz w:val="32"/>
          <w:szCs w:val="32"/>
        </w:rPr>
        <w:t>亿元。</w:t>
      </w:r>
      <w:r>
        <w:rPr>
          <w:rFonts w:hint="eastAsia" w:ascii="仿宋_GB2312" w:hAnsi="仿宋" w:eastAsia="仿宋_GB2312"/>
          <w:b/>
          <w:sz w:val="32"/>
          <w:szCs w:val="32"/>
        </w:rPr>
        <w:t>文化旅游精品领域，5个工程包，113个项目，总投资115</w:t>
      </w:r>
      <w:r>
        <w:rPr>
          <w:rFonts w:ascii="仿宋_GB2312" w:hAnsi="仿宋" w:eastAsia="仿宋_GB2312"/>
          <w:b/>
          <w:sz w:val="32"/>
          <w:szCs w:val="32"/>
        </w:rPr>
        <w:t>9</w:t>
      </w:r>
      <w:r>
        <w:rPr>
          <w:rFonts w:hint="eastAsia" w:ascii="仿宋_GB2312" w:hAnsi="仿宋" w:eastAsia="仿宋_GB2312"/>
          <w:b/>
          <w:sz w:val="32"/>
          <w:szCs w:val="32"/>
        </w:rPr>
        <w:t>亿元。</w:t>
      </w:r>
      <w:r>
        <w:rPr>
          <w:rFonts w:hint="eastAsia" w:ascii="仿宋_GB2312" w:hAnsi="仿宋" w:eastAsia="仿宋_GB2312"/>
          <w:sz w:val="32"/>
          <w:szCs w:val="32"/>
        </w:rPr>
        <w:t>都市休闲游工程包项目25个，总投资289亿元；乡村民俗体验游工程包项目18个，总投资85亿元；渭河沿岸人文休闲游工程包项目25个，总投资484亿元；县区特色旅游工程包项目33个，总投资263亿元；文化影视工程包项目12个，总投资38亿元。</w:t>
      </w:r>
      <w:r>
        <w:rPr>
          <w:rFonts w:hint="eastAsia" w:ascii="仿宋_GB2312" w:hAnsi="仿宋" w:eastAsia="仿宋_GB2312"/>
          <w:b/>
          <w:sz w:val="32"/>
          <w:szCs w:val="32"/>
        </w:rPr>
        <w:t>交通枢纽提升领域，4个工程包，52个项目，总投资162</w:t>
      </w:r>
      <w:r>
        <w:rPr>
          <w:rFonts w:ascii="仿宋_GB2312" w:hAnsi="仿宋" w:eastAsia="仿宋_GB2312"/>
          <w:b/>
          <w:sz w:val="32"/>
          <w:szCs w:val="32"/>
        </w:rPr>
        <w:t>2</w:t>
      </w:r>
      <w:r>
        <w:rPr>
          <w:rFonts w:hint="eastAsia" w:ascii="仿宋_GB2312" w:hAnsi="仿宋" w:eastAsia="仿宋_GB2312"/>
          <w:b/>
          <w:sz w:val="32"/>
          <w:szCs w:val="32"/>
        </w:rPr>
        <w:t>亿元。</w:t>
      </w:r>
      <w:r>
        <w:rPr>
          <w:rFonts w:hint="eastAsia" w:ascii="仿宋_GB2312" w:hAnsi="仿宋" w:eastAsia="仿宋_GB2312"/>
          <w:sz w:val="32"/>
          <w:szCs w:val="32"/>
        </w:rPr>
        <w:t>公路建设畅达工程包项目40个，总投资1053亿元；铁路建设联网工程包项目6个，总投资523亿元；航空建设提速工程包项目2个，总投资16亿元；公共交通惠民工程包项目4个，总投资30亿元。</w:t>
      </w:r>
      <w:r>
        <w:rPr>
          <w:rFonts w:hint="eastAsia" w:ascii="仿宋_GB2312" w:hAnsi="仿宋" w:eastAsia="仿宋_GB2312"/>
          <w:b/>
          <w:sz w:val="32"/>
          <w:szCs w:val="32"/>
        </w:rPr>
        <w:t>城镇公共设施领域，2个工程包，项目76个，总投资1680亿元。</w:t>
      </w:r>
      <w:r>
        <w:rPr>
          <w:rFonts w:hint="eastAsia" w:ascii="仿宋_GB2312" w:hAnsi="仿宋" w:eastAsia="仿宋_GB2312"/>
          <w:sz w:val="32"/>
          <w:szCs w:val="32"/>
        </w:rPr>
        <w:t>市政设施提升工程包项目 37个，总投资368亿元；城镇加快推进工程包项目39个，总投资1312亿元。</w:t>
      </w:r>
      <w:r>
        <w:rPr>
          <w:rFonts w:hint="eastAsia" w:ascii="仿宋_GB2312" w:hAnsi="仿宋" w:eastAsia="仿宋_GB2312"/>
          <w:b/>
          <w:sz w:val="32"/>
          <w:szCs w:val="32"/>
        </w:rPr>
        <w:t>生态环境保护领域，2个工程包项目45个，总投资346亿元。</w:t>
      </w:r>
      <w:r>
        <w:rPr>
          <w:rFonts w:hint="eastAsia" w:ascii="仿宋_GB2312" w:hAnsi="仿宋" w:eastAsia="仿宋_GB2312"/>
          <w:sz w:val="32"/>
          <w:szCs w:val="32"/>
        </w:rPr>
        <w:t>水土保持工程包项目35个，总投资283亿元；森林防护工程包项目10个，总投资63亿元。</w:t>
      </w:r>
      <w:r>
        <w:rPr>
          <w:rFonts w:hint="eastAsia" w:ascii="仿宋_GB2312" w:hAnsi="仿宋" w:eastAsia="仿宋_GB2312"/>
          <w:b/>
          <w:sz w:val="32"/>
          <w:szCs w:val="32"/>
        </w:rPr>
        <w:t>公共服务体系领域，项目40个，总投资40</w:t>
      </w:r>
      <w:r>
        <w:rPr>
          <w:rFonts w:ascii="仿宋_GB2312" w:hAnsi="仿宋" w:eastAsia="仿宋_GB2312"/>
          <w:b/>
          <w:sz w:val="32"/>
          <w:szCs w:val="32"/>
        </w:rPr>
        <w:t>4</w:t>
      </w:r>
      <w:r>
        <w:rPr>
          <w:rFonts w:hint="eastAsia" w:ascii="仿宋_GB2312" w:hAnsi="仿宋" w:eastAsia="仿宋_GB2312"/>
          <w:b/>
          <w:sz w:val="32"/>
          <w:szCs w:val="32"/>
        </w:rPr>
        <w:t>亿元。</w:t>
      </w:r>
    </w:p>
    <w:p>
      <w:pPr>
        <w:widowControl w:val="0"/>
        <w:pBdr>
          <w:bottom w:val="single" w:color="FFFFFF" w:sz="4" w:space="31"/>
        </w:pBdr>
        <w:spacing w:after="0" w:line="620" w:lineRule="exact"/>
        <w:ind w:firstLine="640" w:firstLineChars="200"/>
        <w:jc w:val="both"/>
        <w:textAlignment w:val="baseline"/>
        <w:rPr>
          <w:rFonts w:ascii="仿宋_GB2312" w:eastAsia="仿宋_GB2312"/>
          <w:sz w:val="32"/>
          <w:szCs w:val="32"/>
        </w:rPr>
        <w:sectPr>
          <w:pgSz w:w="11906" w:h="16838"/>
          <w:pgMar w:top="1418" w:right="1588" w:bottom="1418" w:left="1588" w:header="851" w:footer="397" w:gutter="0"/>
          <w:cols w:space="425" w:num="1"/>
          <w:docGrid w:type="lines" w:linePitch="312" w:charSpace="0"/>
        </w:sectPr>
      </w:pPr>
      <w:r>
        <w:rPr>
          <w:rFonts w:hint="eastAsia" w:ascii="仿宋_GB2312" w:eastAsia="仿宋_GB2312"/>
          <w:sz w:val="32"/>
          <w:szCs w:val="32"/>
        </w:rPr>
        <w:t>对《纲要》确定的重大工程和项目，各级发展改革部门要做好规划编制和统筹协调工作，其他相关部门要根据项目性质，区分投资主体，抓好组织实施和监督评估工作。</w:t>
      </w:r>
    </w:p>
    <w:p>
      <w:pPr>
        <w:spacing w:after="0" w:line="600" w:lineRule="exact"/>
        <w:ind w:firstLine="640" w:firstLineChars="200"/>
        <w:jc w:val="both"/>
        <w:rPr>
          <w:rFonts w:hint="eastAsia" w:ascii="仿宋_GB2312" w:eastAsia="仿宋_GB2312"/>
          <w:sz w:val="32"/>
          <w:szCs w:val="32"/>
        </w:rPr>
      </w:pPr>
      <w:r>
        <w:rPr>
          <w:rFonts w:ascii="仿宋_GB2312" w:eastAsia="仿宋_GB2312"/>
          <w:sz w:val="32"/>
          <w:szCs w:val="32"/>
          <w:lang/>
        </w:rPr>
        <w:drawing>
          <wp:anchor distT="0" distB="0" distL="114300" distR="114300" simplePos="0" relativeHeight="251732992" behindDoc="0" locked="0" layoutInCell="1" allowOverlap="1">
            <wp:simplePos x="0" y="0"/>
            <wp:positionH relativeFrom="column">
              <wp:posOffset>69850</wp:posOffset>
            </wp:positionH>
            <wp:positionV relativeFrom="line">
              <wp:posOffset>4655820</wp:posOffset>
            </wp:positionV>
            <wp:extent cx="5448300" cy="4160520"/>
            <wp:effectExtent l="57150" t="57150" r="57150" b="68580"/>
            <wp:wrapTopAndBottom/>
            <wp:docPr id="73" name="图片 18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3" descr="30"/>
                    <pic:cNvPicPr>
                      <a:picLocks noChangeAspect="1"/>
                    </pic:cNvPicPr>
                  </pic:nvPicPr>
                  <pic:blipFill>
                    <a:blip r:embed="rId37"/>
                    <a:stretch>
                      <a:fillRect/>
                    </a:stretch>
                  </pic:blipFill>
                  <pic:spPr>
                    <a:xfrm>
                      <a:off x="0" y="0"/>
                      <a:ext cx="5448300" cy="4160520"/>
                    </a:xfrm>
                    <a:prstGeom prst="rect">
                      <a:avLst/>
                    </a:prstGeom>
                    <a:noFill/>
                    <a:ln w="57150" cap="flat" cmpd="thickThin">
                      <a:solidFill>
                        <a:srgbClr val="808080"/>
                      </a:solidFill>
                      <a:prstDash val="solid"/>
                      <a:miter/>
                      <a:headEnd type="none" w="med" len="med"/>
                      <a:tailEnd type="none" w="med" len="med"/>
                    </a:ln>
                  </pic:spPr>
                </pic:pic>
              </a:graphicData>
            </a:graphic>
          </wp:anchor>
        </w:drawing>
      </w:r>
      <w:r>
        <w:rPr>
          <w:rFonts w:ascii="仿宋_GB2312" w:eastAsia="仿宋_GB2312"/>
          <w:sz w:val="32"/>
          <w:szCs w:val="32"/>
          <w:lang/>
        </w:rPr>
        <w:drawing>
          <wp:anchor distT="0" distB="0" distL="114300" distR="114300" simplePos="0" relativeHeight="251731968" behindDoc="0" locked="0" layoutInCell="1" allowOverlap="1">
            <wp:simplePos x="0" y="0"/>
            <wp:positionH relativeFrom="column">
              <wp:posOffset>69850</wp:posOffset>
            </wp:positionH>
            <wp:positionV relativeFrom="line">
              <wp:posOffset>198120</wp:posOffset>
            </wp:positionV>
            <wp:extent cx="5448300" cy="4061460"/>
            <wp:effectExtent l="57150" t="57150" r="57150" b="72390"/>
            <wp:wrapTopAndBottom/>
            <wp:docPr id="72" name="图片 18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2" descr="29"/>
                    <pic:cNvPicPr>
                      <a:picLocks noChangeAspect="1"/>
                    </pic:cNvPicPr>
                  </pic:nvPicPr>
                  <pic:blipFill>
                    <a:blip r:embed="rId38"/>
                    <a:stretch>
                      <a:fillRect/>
                    </a:stretch>
                  </pic:blipFill>
                  <pic:spPr>
                    <a:xfrm>
                      <a:off x="0" y="0"/>
                      <a:ext cx="5448300" cy="4061460"/>
                    </a:xfrm>
                    <a:prstGeom prst="rect">
                      <a:avLst/>
                    </a:prstGeom>
                    <a:noFill/>
                    <a:ln w="57150" cap="flat" cmpd="thickThin">
                      <a:solidFill>
                        <a:srgbClr val="808080"/>
                      </a:solidFill>
                      <a:prstDash val="solid"/>
                      <a:miter/>
                      <a:headEnd type="none" w="med" len="med"/>
                      <a:tailEnd type="none" w="med" len="med"/>
                    </a:ln>
                  </pic:spPr>
                </pic:pic>
              </a:graphicData>
            </a:graphic>
          </wp:anchor>
        </w:drawing>
      </w:r>
    </w:p>
    <w:p>
      <w:pPr>
        <w:spacing w:after="0" w:line="600" w:lineRule="exact"/>
        <w:ind w:firstLine="640" w:firstLineChars="200"/>
        <w:contextualSpacing/>
        <w:jc w:val="both"/>
        <w:rPr>
          <w:rFonts w:ascii="仿宋_GB2312" w:eastAsia="仿宋_GB2312"/>
          <w:sz w:val="32"/>
          <w:szCs w:val="32"/>
        </w:rPr>
        <w:sectPr>
          <w:pgSz w:w="11906" w:h="16838"/>
          <w:pgMar w:top="1418" w:right="1588" w:bottom="1418" w:left="1588" w:header="851" w:footer="397" w:gutter="0"/>
          <w:cols w:space="425" w:num="1"/>
          <w:docGrid w:type="lines" w:linePitch="312" w:charSpace="0"/>
        </w:sectPr>
      </w:pPr>
    </w:p>
    <w:p>
      <w:pPr>
        <w:spacing w:after="0" w:line="600" w:lineRule="exact"/>
        <w:ind w:firstLine="560" w:firstLineChars="200"/>
        <w:contextualSpacing/>
        <w:jc w:val="both"/>
        <w:rPr>
          <w:rFonts w:hint="eastAsia" w:ascii="仿宋_GB2312" w:hAnsi="仿宋" w:eastAsia="仿宋_GB2312"/>
          <w:spacing w:val="-20"/>
          <w:sz w:val="32"/>
          <w:szCs w:val="32"/>
        </w:rPr>
      </w:pPr>
      <w:r>
        <w:rPr>
          <w:rFonts w:hint="eastAsia" w:ascii="仿宋_GB2312" w:hAnsi="仿宋" w:eastAsia="仿宋_GB2312"/>
          <w:spacing w:val="-20"/>
          <w:sz w:val="32"/>
          <w:szCs w:val="32"/>
          <w:lang/>
        </w:rPr>
        <mc:AlternateContent>
          <mc:Choice Requires="wps">
            <w:drawing>
              <wp:anchor distT="0" distB="0" distL="114300" distR="114300" simplePos="0" relativeHeight="251693056" behindDoc="0" locked="0" layoutInCell="1" allowOverlap="1">
                <wp:simplePos x="0" y="0"/>
                <wp:positionH relativeFrom="margin">
                  <wp:posOffset>0</wp:posOffset>
                </wp:positionH>
                <wp:positionV relativeFrom="margin">
                  <wp:posOffset>0</wp:posOffset>
                </wp:positionV>
                <wp:extent cx="5533390" cy="8726805"/>
                <wp:effectExtent l="4445" t="4445" r="5715" b="12700"/>
                <wp:wrapSquare wrapText="bothSides"/>
                <wp:docPr id="34" name="文本框 88"/>
                <wp:cNvGraphicFramePr/>
                <a:graphic xmlns:a="http://schemas.openxmlformats.org/drawingml/2006/main">
                  <a:graphicData uri="http://schemas.microsoft.com/office/word/2010/wordprocessingShape">
                    <wps:wsp>
                      <wps:cNvSpPr txBox="1"/>
                      <wps:spPr>
                        <a:xfrm>
                          <a:off x="0" y="0"/>
                          <a:ext cx="5533390" cy="8726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00" w:lineRule="exact"/>
                              <w:textAlignment w:val="baseline"/>
                              <w:rPr>
                                <w:rFonts w:hint="eastAsia" w:ascii="黑体" w:hAnsi="黑体" w:eastAsia="黑体"/>
                                <w:b/>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9</w:t>
                            </w:r>
                          </w:p>
                          <w:p>
                            <w:pPr>
                              <w:spacing w:after="0" w:line="300" w:lineRule="exact"/>
                              <w:jc w:val="center"/>
                              <w:textAlignment w:val="baseline"/>
                              <w:rPr>
                                <w:rFonts w:hint="eastAsia" w:ascii="黑体" w:hAnsi="黑体" w:eastAsia="黑体"/>
                                <w:b/>
                                <w:sz w:val="21"/>
                                <w:szCs w:val="21"/>
                              </w:rPr>
                            </w:pPr>
                            <w:r>
                              <w:rPr>
                                <w:rFonts w:hint="eastAsia" w:ascii="黑体" w:hAnsi="黑体" w:eastAsia="黑体"/>
                                <w:b/>
                                <w:sz w:val="21"/>
                                <w:szCs w:val="21"/>
                              </w:rPr>
                              <w:t>“十三五”规划20亿元以上重大前期项目（</w:t>
                            </w:r>
                            <w:r>
                              <w:rPr>
                                <w:rFonts w:ascii="黑体" w:hAnsi="黑体" w:eastAsia="黑体"/>
                                <w:b/>
                                <w:sz w:val="21"/>
                                <w:szCs w:val="21"/>
                              </w:rPr>
                              <w:t>1</w:t>
                            </w:r>
                            <w:r>
                              <w:rPr>
                                <w:rFonts w:hint="eastAsia" w:ascii="黑体" w:hAnsi="黑体" w:eastAsia="黑体"/>
                                <w:b/>
                                <w:sz w:val="21"/>
                                <w:szCs w:val="21"/>
                              </w:rPr>
                              <w:t>）（共</w:t>
                            </w:r>
                            <w:r>
                              <w:rPr>
                                <w:rFonts w:ascii="黑体" w:hAnsi="黑体" w:eastAsia="黑体"/>
                                <w:b/>
                                <w:sz w:val="21"/>
                                <w:szCs w:val="21"/>
                              </w:rPr>
                              <w:t>128</w:t>
                            </w:r>
                            <w:r>
                              <w:rPr>
                                <w:rFonts w:hint="eastAsia" w:ascii="黑体" w:hAnsi="黑体" w:eastAsia="黑体"/>
                                <w:b/>
                                <w:sz w:val="21"/>
                                <w:szCs w:val="21"/>
                              </w:rPr>
                              <w:t>个）</w:t>
                            </w:r>
                          </w:p>
                          <w:p>
                            <w:pPr>
                              <w:spacing w:after="0" w:line="300" w:lineRule="exact"/>
                              <w:ind w:firstLine="525" w:firstLineChars="250"/>
                              <w:jc w:val="both"/>
                              <w:textAlignment w:val="baseline"/>
                              <w:rPr>
                                <w:rFonts w:ascii="楷体_GB2312" w:hAnsi="仿宋" w:eastAsia="楷体_GB2312"/>
                                <w:sz w:val="21"/>
                                <w:szCs w:val="21"/>
                              </w:rPr>
                            </w:pPr>
                            <w:r>
                              <w:rPr>
                                <w:rFonts w:hint="eastAsia" w:ascii="黑体" w:hAnsi="黑体" w:eastAsia="黑体"/>
                                <w:sz w:val="21"/>
                                <w:szCs w:val="21"/>
                              </w:rPr>
                              <w:t>一、产业提升工程：</w:t>
                            </w:r>
                            <w:r>
                              <w:rPr>
                                <w:rFonts w:hint="eastAsia" w:ascii="楷体_GB2312" w:eastAsia="楷体_GB2312"/>
                                <w:b/>
                                <w:sz w:val="21"/>
                                <w:szCs w:val="21"/>
                              </w:rPr>
                              <w:t>（一）汽车及零部件（</w:t>
                            </w:r>
                            <w:r>
                              <w:rPr>
                                <w:rFonts w:ascii="楷体_GB2312" w:eastAsia="楷体_GB2312"/>
                                <w:b/>
                                <w:sz w:val="21"/>
                                <w:szCs w:val="21"/>
                              </w:rPr>
                              <w:t>8</w:t>
                            </w:r>
                            <w:r>
                              <w:rPr>
                                <w:rFonts w:hint="eastAsia" w:ascii="楷体_GB2312" w:eastAsia="楷体_GB2312"/>
                                <w:b/>
                                <w:sz w:val="21"/>
                                <w:szCs w:val="21"/>
                              </w:rPr>
                              <w:t>个）</w:t>
                            </w:r>
                            <w:r>
                              <w:rPr>
                                <w:rFonts w:hint="eastAsia" w:ascii="楷体_GB2312" w:eastAsia="楷体_GB2312"/>
                                <w:sz w:val="21"/>
                                <w:szCs w:val="21"/>
                              </w:rPr>
                              <w:t>1.吉利汽车产业基地建设项目，总投资72亿元；2.新能源汽车产业基地建设项目，总投资50亿元；3.吉利汽车配套园项目，总投资50亿元；4.飞雳士安全轮胎建设项目，总投资40亿元；5.年产100万台高端轻卡变速器项目，总投资30亿元；6.专用汽车工业园建设项目，总投资30亿元；7.吉利沃尔沃</w:t>
                            </w:r>
                            <w:r>
                              <w:rPr>
                                <w:rFonts w:ascii="楷体_GB2312" w:eastAsia="楷体_GB2312"/>
                                <w:sz w:val="21"/>
                                <w:szCs w:val="21"/>
                              </w:rPr>
                              <w:t>发动机项目</w:t>
                            </w:r>
                            <w:r>
                              <w:rPr>
                                <w:rFonts w:hint="eastAsia" w:ascii="楷体_GB2312" w:eastAsia="楷体_GB2312"/>
                                <w:sz w:val="21"/>
                                <w:szCs w:val="21"/>
                              </w:rPr>
                              <w:t>，</w:t>
                            </w:r>
                            <w:r>
                              <w:rPr>
                                <w:rFonts w:ascii="楷体_GB2312" w:eastAsia="楷体_GB2312"/>
                                <w:sz w:val="21"/>
                                <w:szCs w:val="21"/>
                              </w:rPr>
                              <w:t>总投资</w:t>
                            </w:r>
                            <w:r>
                              <w:rPr>
                                <w:rFonts w:hint="eastAsia" w:ascii="楷体_GB2312" w:eastAsia="楷体_GB2312"/>
                                <w:sz w:val="21"/>
                                <w:szCs w:val="21"/>
                              </w:rPr>
                              <w:t>28亿元</w:t>
                            </w:r>
                            <w:r>
                              <w:rPr>
                                <w:rFonts w:ascii="楷体_GB2312" w:eastAsia="楷体_GB2312"/>
                                <w:sz w:val="21"/>
                                <w:szCs w:val="21"/>
                              </w:rPr>
                              <w:t>；</w:t>
                            </w:r>
                            <w:r>
                              <w:rPr>
                                <w:rFonts w:hint="eastAsia" w:ascii="楷体_GB2312" w:eastAsia="楷体_GB2312"/>
                                <w:sz w:val="21"/>
                                <w:szCs w:val="21"/>
                              </w:rPr>
                              <w:t>8.国家汽车质量监督检验中心项目，总投资20亿元。</w:t>
                            </w:r>
                            <w:r>
                              <w:rPr>
                                <w:rFonts w:hint="eastAsia" w:ascii="楷体_GB2312" w:eastAsia="楷体_GB2312"/>
                                <w:b/>
                                <w:sz w:val="21"/>
                                <w:szCs w:val="21"/>
                              </w:rPr>
                              <w:t>（二）钛及钛合金（4个）</w:t>
                            </w:r>
                            <w:r>
                              <w:rPr>
                                <w:rFonts w:hint="eastAsia" w:ascii="楷体_GB2312" w:eastAsia="楷体_GB2312"/>
                                <w:sz w:val="21"/>
                                <w:szCs w:val="21"/>
                              </w:rPr>
                              <w:t>1.中国钛谷应用产业园项目，总投资30亿元；2.钛科新城产业开发项目，总投资20亿元；3.民营钛产业园建设项目，总投资20亿元；4.中国钛谷东区建设项目，总投资20亿元。</w:t>
                            </w:r>
                            <w:r>
                              <w:rPr>
                                <w:rFonts w:hint="eastAsia" w:ascii="楷体_GB2312" w:eastAsia="楷体_GB2312"/>
                                <w:b/>
                                <w:sz w:val="21"/>
                                <w:szCs w:val="21"/>
                              </w:rPr>
                              <w:t>（三）能源化工（</w:t>
                            </w:r>
                            <w:r>
                              <w:rPr>
                                <w:rFonts w:ascii="楷体_GB2312" w:eastAsia="楷体_GB2312"/>
                                <w:b/>
                                <w:sz w:val="21"/>
                                <w:szCs w:val="21"/>
                              </w:rPr>
                              <w:t>25</w:t>
                            </w:r>
                            <w:r>
                              <w:rPr>
                                <w:rFonts w:hint="eastAsia" w:ascii="楷体_GB2312" w:eastAsia="楷体_GB2312"/>
                                <w:b/>
                                <w:sz w:val="21"/>
                                <w:szCs w:val="21"/>
                              </w:rPr>
                              <w:t>个）</w:t>
                            </w:r>
                            <w:r>
                              <w:rPr>
                                <w:rFonts w:ascii="楷体_GB2312" w:eastAsia="楷体_GB2312"/>
                                <w:sz w:val="21"/>
                                <w:szCs w:val="21"/>
                              </w:rPr>
                              <w:t>1</w:t>
                            </w:r>
                            <w:r>
                              <w:rPr>
                                <w:rFonts w:hint="eastAsia" w:ascii="楷体_GB2312" w:eastAsia="楷体_GB2312"/>
                                <w:sz w:val="21"/>
                                <w:szCs w:val="21"/>
                              </w:rPr>
                              <w:t>.新能源</w:t>
                            </w:r>
                            <w:r>
                              <w:rPr>
                                <w:rFonts w:ascii="楷体_GB2312" w:eastAsia="楷体_GB2312"/>
                                <w:sz w:val="21"/>
                                <w:szCs w:val="21"/>
                              </w:rPr>
                              <w:t>产业园项目，总投资</w:t>
                            </w:r>
                            <w:r>
                              <w:rPr>
                                <w:rFonts w:hint="eastAsia" w:ascii="楷体_GB2312" w:eastAsia="楷体_GB2312"/>
                                <w:sz w:val="21"/>
                                <w:szCs w:val="21"/>
                              </w:rPr>
                              <w:t>200亿元</w:t>
                            </w:r>
                            <w:r>
                              <w:rPr>
                                <w:rFonts w:ascii="楷体_GB2312" w:eastAsia="楷体_GB2312"/>
                                <w:sz w:val="21"/>
                                <w:szCs w:val="21"/>
                              </w:rPr>
                              <w:t>；2</w:t>
                            </w:r>
                            <w:r>
                              <w:rPr>
                                <w:rFonts w:hint="eastAsia" w:ascii="楷体_GB2312" w:eastAsia="楷体_GB2312"/>
                                <w:sz w:val="21"/>
                                <w:szCs w:val="21"/>
                              </w:rPr>
                              <w:t>.凤县20万千瓦风电开发项目，总投资20亿元；</w:t>
                            </w:r>
                            <w:r>
                              <w:rPr>
                                <w:rFonts w:ascii="楷体_GB2312" w:eastAsia="楷体_GB2312"/>
                                <w:sz w:val="21"/>
                                <w:szCs w:val="21"/>
                              </w:rPr>
                              <w:t>3</w:t>
                            </w:r>
                            <w:r>
                              <w:rPr>
                                <w:rFonts w:hint="eastAsia" w:ascii="楷体_GB2312" w:eastAsia="楷体_GB2312"/>
                                <w:sz w:val="21"/>
                                <w:szCs w:val="21"/>
                              </w:rPr>
                              <w:t>.中民光伏发电项目，总投资25亿元；</w:t>
                            </w:r>
                            <w:r>
                              <w:rPr>
                                <w:rFonts w:ascii="楷体_GB2312" w:eastAsia="楷体_GB2312"/>
                                <w:sz w:val="21"/>
                                <w:szCs w:val="21"/>
                              </w:rPr>
                              <w:t>4</w:t>
                            </w:r>
                            <w:r>
                              <w:rPr>
                                <w:rFonts w:hint="eastAsia" w:ascii="楷体_GB2312" w:eastAsia="楷体_GB2312"/>
                                <w:sz w:val="21"/>
                                <w:szCs w:val="21"/>
                              </w:rPr>
                              <w:t>.海润太阳能光伏发电项目，总投资20亿元；</w:t>
                            </w:r>
                            <w:r>
                              <w:rPr>
                                <w:rFonts w:ascii="楷体_GB2312" w:eastAsia="楷体_GB2312"/>
                                <w:sz w:val="21"/>
                                <w:szCs w:val="21"/>
                              </w:rPr>
                              <w:t>5</w:t>
                            </w:r>
                            <w:r>
                              <w:rPr>
                                <w:rFonts w:hint="eastAsia" w:ascii="楷体_GB2312" w:eastAsia="楷体_GB2312"/>
                                <w:sz w:val="21"/>
                                <w:szCs w:val="21"/>
                              </w:rPr>
                              <w:t>.年产60万吨烯烃项目，总投资80亿元；</w:t>
                            </w:r>
                            <w:r>
                              <w:rPr>
                                <w:rFonts w:ascii="楷体_GB2312" w:eastAsia="楷体_GB2312"/>
                                <w:sz w:val="21"/>
                                <w:szCs w:val="21"/>
                              </w:rPr>
                              <w:t>6</w:t>
                            </w:r>
                            <w:r>
                              <w:rPr>
                                <w:rFonts w:hint="eastAsia" w:ascii="楷体_GB2312" w:eastAsia="楷体_GB2312"/>
                                <w:sz w:val="21"/>
                                <w:szCs w:val="21"/>
                              </w:rPr>
                              <w:t>.甲醇下游产品开发项目，总投资41亿元；</w:t>
                            </w:r>
                            <w:r>
                              <w:rPr>
                                <w:rFonts w:ascii="楷体_GB2312" w:eastAsia="楷体_GB2312"/>
                                <w:sz w:val="21"/>
                                <w:szCs w:val="21"/>
                              </w:rPr>
                              <w:t>7</w:t>
                            </w:r>
                            <w:r>
                              <w:rPr>
                                <w:rFonts w:hint="eastAsia" w:ascii="楷体_GB2312" w:eastAsia="楷体_GB2312"/>
                                <w:sz w:val="21"/>
                                <w:szCs w:val="21"/>
                              </w:rPr>
                              <w:t>.聚甲氧基二甲醚项目，总投资20亿元；</w:t>
                            </w:r>
                            <w:r>
                              <w:rPr>
                                <w:rFonts w:ascii="楷体_GB2312" w:eastAsia="楷体_GB2312"/>
                                <w:sz w:val="21"/>
                                <w:szCs w:val="21"/>
                              </w:rPr>
                              <w:t>8</w:t>
                            </w:r>
                            <w:r>
                              <w:rPr>
                                <w:rFonts w:hint="eastAsia" w:ascii="楷体_GB2312" w:eastAsia="楷体_GB2312"/>
                                <w:sz w:val="21"/>
                                <w:szCs w:val="21"/>
                              </w:rPr>
                              <w:t>.西北成品油库项目，总投资64亿元；</w:t>
                            </w:r>
                            <w:r>
                              <w:rPr>
                                <w:rFonts w:ascii="楷体_GB2312" w:eastAsia="楷体_GB2312"/>
                                <w:sz w:val="21"/>
                                <w:szCs w:val="21"/>
                              </w:rPr>
                              <w:t>9</w:t>
                            </w:r>
                            <w:r>
                              <w:rPr>
                                <w:rFonts w:hint="eastAsia" w:ascii="楷体_GB2312" w:eastAsia="楷体_GB2312"/>
                                <w:sz w:val="21"/>
                                <w:szCs w:val="21"/>
                              </w:rPr>
                              <w:t>.年产</w:t>
                            </w:r>
                            <w:r>
                              <w:rPr>
                                <w:rFonts w:ascii="楷体_GB2312" w:eastAsia="楷体_GB2312"/>
                                <w:sz w:val="21"/>
                                <w:szCs w:val="21"/>
                              </w:rPr>
                              <w:t>100</w:t>
                            </w:r>
                            <w:r>
                              <w:rPr>
                                <w:rFonts w:hint="eastAsia" w:ascii="楷体_GB2312" w:eastAsia="楷体_GB2312"/>
                                <w:sz w:val="21"/>
                                <w:szCs w:val="21"/>
                              </w:rPr>
                              <w:t>万吨甲醇项目，总投资60亿元；</w:t>
                            </w:r>
                            <w:r>
                              <w:rPr>
                                <w:rFonts w:ascii="楷体_GB2312" w:eastAsia="楷体_GB2312"/>
                                <w:sz w:val="21"/>
                                <w:szCs w:val="21"/>
                              </w:rPr>
                              <w:t>10</w:t>
                            </w:r>
                            <w:r>
                              <w:rPr>
                                <w:rFonts w:hint="eastAsia" w:ascii="楷体_GB2312" w:eastAsia="楷体_GB2312"/>
                                <w:sz w:val="21"/>
                                <w:szCs w:val="21"/>
                              </w:rPr>
                              <w:t>.麟游县煤变油建设项目，总投资207亿元；1</w:t>
                            </w:r>
                            <w:r>
                              <w:rPr>
                                <w:rFonts w:ascii="楷体_GB2312" w:eastAsia="楷体_GB2312"/>
                                <w:sz w:val="21"/>
                                <w:szCs w:val="21"/>
                              </w:rPr>
                              <w:t>1</w:t>
                            </w:r>
                            <w:r>
                              <w:rPr>
                                <w:rFonts w:hint="eastAsia" w:ascii="楷体_GB2312" w:eastAsia="楷体_GB2312"/>
                                <w:sz w:val="21"/>
                                <w:szCs w:val="21"/>
                              </w:rPr>
                              <w:t>.10万吨焦炉煤气制合成氨项目，总投资50亿元；1</w:t>
                            </w:r>
                            <w:r>
                              <w:rPr>
                                <w:rFonts w:ascii="楷体_GB2312" w:eastAsia="楷体_GB2312"/>
                                <w:sz w:val="21"/>
                                <w:szCs w:val="21"/>
                              </w:rPr>
                              <w:t>2</w:t>
                            </w:r>
                            <w:r>
                              <w:rPr>
                                <w:rFonts w:hint="eastAsia" w:ascii="楷体_GB2312" w:eastAsia="楷体_GB2312"/>
                                <w:sz w:val="21"/>
                                <w:szCs w:val="21"/>
                              </w:rPr>
                              <w:t>.20万吨煤焦油深加工项目，总投资35亿元；1</w:t>
                            </w:r>
                            <w:r>
                              <w:rPr>
                                <w:rFonts w:ascii="楷体_GB2312" w:eastAsia="楷体_GB2312"/>
                                <w:sz w:val="21"/>
                                <w:szCs w:val="21"/>
                              </w:rPr>
                              <w:t>3</w:t>
                            </w:r>
                            <w:r>
                              <w:rPr>
                                <w:rFonts w:hint="eastAsia" w:ascii="楷体_GB2312" w:eastAsia="楷体_GB2312"/>
                                <w:sz w:val="21"/>
                                <w:szCs w:val="21"/>
                              </w:rPr>
                              <w:t>.丈八煤矿建设项目，总投资34亿元；1</w:t>
                            </w:r>
                            <w:r>
                              <w:rPr>
                                <w:rFonts w:ascii="楷体_GB2312" w:eastAsia="楷体_GB2312"/>
                                <w:sz w:val="21"/>
                                <w:szCs w:val="21"/>
                              </w:rPr>
                              <w:t>4</w:t>
                            </w:r>
                            <w:r>
                              <w:rPr>
                                <w:rFonts w:hint="eastAsia" w:ascii="楷体_GB2312" w:eastAsia="楷体_GB2312"/>
                                <w:sz w:val="21"/>
                                <w:szCs w:val="21"/>
                              </w:rPr>
                              <w:t>.30万吨烯烃生产线项目，总投资32亿元；1</w:t>
                            </w:r>
                            <w:r>
                              <w:rPr>
                                <w:rFonts w:ascii="楷体_GB2312" w:eastAsia="楷体_GB2312"/>
                                <w:sz w:val="21"/>
                                <w:szCs w:val="21"/>
                              </w:rPr>
                              <w:t>5</w:t>
                            </w:r>
                            <w:r>
                              <w:rPr>
                                <w:rFonts w:hint="eastAsia" w:ascii="楷体_GB2312" w:eastAsia="楷体_GB2312"/>
                                <w:sz w:val="21"/>
                                <w:szCs w:val="21"/>
                              </w:rPr>
                              <w:t>.招贤煤矿建设项目，总投资30亿元；1</w:t>
                            </w:r>
                            <w:r>
                              <w:rPr>
                                <w:rFonts w:ascii="楷体_GB2312" w:eastAsia="楷体_GB2312"/>
                                <w:sz w:val="21"/>
                                <w:szCs w:val="21"/>
                              </w:rPr>
                              <w:t>6</w:t>
                            </w:r>
                            <w:r>
                              <w:rPr>
                                <w:rFonts w:hint="eastAsia" w:ascii="楷体_GB2312" w:eastAsia="楷体_GB2312"/>
                                <w:sz w:val="21"/>
                                <w:szCs w:val="21"/>
                              </w:rPr>
                              <w:t>.20万吨乙二醇项目，总投资30亿元；1</w:t>
                            </w:r>
                            <w:r>
                              <w:rPr>
                                <w:rFonts w:ascii="楷体_GB2312" w:eastAsia="楷体_GB2312"/>
                                <w:sz w:val="21"/>
                                <w:szCs w:val="21"/>
                              </w:rPr>
                              <w:t>7</w:t>
                            </w:r>
                            <w:r>
                              <w:rPr>
                                <w:rFonts w:hint="eastAsia" w:ascii="楷体_GB2312" w:eastAsia="楷体_GB2312"/>
                                <w:sz w:val="21"/>
                                <w:szCs w:val="21"/>
                              </w:rPr>
                              <w:t>.陇县李家河煤矿开发项目，总投资38亿元；1</w:t>
                            </w:r>
                            <w:r>
                              <w:rPr>
                                <w:rFonts w:ascii="楷体_GB2312" w:eastAsia="楷体_GB2312"/>
                                <w:sz w:val="21"/>
                                <w:szCs w:val="21"/>
                              </w:rPr>
                              <w:t>8</w:t>
                            </w:r>
                            <w:r>
                              <w:rPr>
                                <w:rFonts w:hint="eastAsia" w:ascii="楷体_GB2312" w:eastAsia="楷体_GB2312"/>
                                <w:sz w:val="21"/>
                                <w:szCs w:val="21"/>
                              </w:rPr>
                              <w:t>.千阳县风力发电建设项目，总投资30亿元；1</w:t>
                            </w:r>
                            <w:r>
                              <w:rPr>
                                <w:rFonts w:ascii="楷体_GB2312" w:eastAsia="楷体_GB2312"/>
                                <w:sz w:val="21"/>
                                <w:szCs w:val="21"/>
                              </w:rPr>
                              <w:t>9</w:t>
                            </w:r>
                            <w:r>
                              <w:rPr>
                                <w:rFonts w:hint="eastAsia" w:ascii="楷体_GB2312" w:eastAsia="楷体_GB2312"/>
                                <w:sz w:val="21"/>
                                <w:szCs w:val="21"/>
                              </w:rPr>
                              <w:t>.园子沟煤矿项目，总投资54亿元；20.2×35万千瓦煤矸</w:t>
                            </w:r>
                            <w:r>
                              <w:rPr>
                                <w:rFonts w:ascii="楷体_GB2312" w:eastAsia="楷体_GB2312"/>
                                <w:sz w:val="21"/>
                                <w:szCs w:val="21"/>
                              </w:rPr>
                              <w:t>石发电项目</w:t>
                            </w:r>
                            <w:r>
                              <w:rPr>
                                <w:rFonts w:hint="eastAsia" w:ascii="楷体_GB2312" w:eastAsia="楷体_GB2312"/>
                                <w:sz w:val="21"/>
                                <w:szCs w:val="21"/>
                              </w:rPr>
                              <w:t>，总投资32亿元；2</w:t>
                            </w:r>
                            <w:r>
                              <w:rPr>
                                <w:rFonts w:ascii="楷体_GB2312" w:eastAsia="楷体_GB2312"/>
                                <w:sz w:val="21"/>
                                <w:szCs w:val="21"/>
                              </w:rPr>
                              <w:t>1</w:t>
                            </w:r>
                            <w:r>
                              <w:rPr>
                                <w:rFonts w:hint="eastAsia" w:ascii="楷体_GB2312" w:eastAsia="楷体_GB2312"/>
                                <w:sz w:val="21"/>
                                <w:szCs w:val="21"/>
                              </w:rPr>
                              <w:t>.大唐热电二期</w:t>
                            </w:r>
                            <w:r>
                              <w:rPr>
                                <w:rFonts w:ascii="楷体_GB2312" w:eastAsia="楷体_GB2312"/>
                                <w:sz w:val="21"/>
                                <w:szCs w:val="21"/>
                              </w:rPr>
                              <w:t>项目，总投资</w:t>
                            </w:r>
                            <w:r>
                              <w:rPr>
                                <w:rFonts w:hint="eastAsia" w:ascii="楷体_GB2312" w:eastAsia="楷体_GB2312"/>
                                <w:sz w:val="21"/>
                                <w:szCs w:val="21"/>
                              </w:rPr>
                              <w:t>32亿元</w:t>
                            </w:r>
                            <w:r>
                              <w:rPr>
                                <w:rFonts w:ascii="楷体_GB2312" w:eastAsia="楷体_GB2312"/>
                                <w:sz w:val="21"/>
                                <w:szCs w:val="21"/>
                              </w:rPr>
                              <w:t>；</w:t>
                            </w:r>
                            <w:r>
                              <w:rPr>
                                <w:rFonts w:hint="eastAsia" w:ascii="楷体_GB2312" w:eastAsia="楷体_GB2312"/>
                                <w:sz w:val="21"/>
                                <w:szCs w:val="21"/>
                              </w:rPr>
                              <w:t>22宝鸡热电“上大压小”2×350MW改扩建项目，总投资29亿元；2</w:t>
                            </w:r>
                            <w:r>
                              <w:rPr>
                                <w:rFonts w:ascii="楷体_GB2312" w:eastAsia="楷体_GB2312"/>
                                <w:sz w:val="21"/>
                                <w:szCs w:val="21"/>
                              </w:rPr>
                              <w:t>3</w:t>
                            </w:r>
                            <w:r>
                              <w:rPr>
                                <w:rFonts w:hint="eastAsia" w:ascii="楷体_GB2312" w:eastAsia="楷体_GB2312"/>
                                <w:sz w:val="21"/>
                                <w:szCs w:val="21"/>
                              </w:rPr>
                              <w:t>.陇县风力发电建设项目, 总投资</w:t>
                            </w:r>
                            <w:r>
                              <w:rPr>
                                <w:rFonts w:ascii="楷体_GB2312" w:eastAsia="楷体_GB2312"/>
                                <w:sz w:val="21"/>
                                <w:szCs w:val="21"/>
                              </w:rPr>
                              <w:t>23</w:t>
                            </w:r>
                            <w:r>
                              <w:rPr>
                                <w:rFonts w:hint="eastAsia" w:ascii="楷体_GB2312" w:eastAsia="楷体_GB2312"/>
                                <w:sz w:val="21"/>
                                <w:szCs w:val="21"/>
                              </w:rPr>
                              <w:t>亿元；2</w:t>
                            </w:r>
                            <w:r>
                              <w:rPr>
                                <w:rFonts w:ascii="楷体_GB2312" w:eastAsia="楷体_GB2312"/>
                                <w:sz w:val="21"/>
                                <w:szCs w:val="21"/>
                              </w:rPr>
                              <w:t>4</w:t>
                            </w:r>
                            <w:r>
                              <w:rPr>
                                <w:rFonts w:hint="eastAsia" w:ascii="楷体_GB2312" w:eastAsia="楷体_GB2312"/>
                                <w:sz w:val="21"/>
                                <w:szCs w:val="21"/>
                              </w:rPr>
                              <w:t>.太白县风电建设项目, 总投资35亿元；2</w:t>
                            </w:r>
                            <w:r>
                              <w:rPr>
                                <w:rFonts w:ascii="楷体_GB2312" w:eastAsia="楷体_GB2312"/>
                                <w:sz w:val="21"/>
                                <w:szCs w:val="21"/>
                              </w:rPr>
                              <w:t>5</w:t>
                            </w:r>
                            <w:r>
                              <w:rPr>
                                <w:rFonts w:hint="eastAsia" w:ascii="楷体_GB2312" w:eastAsia="楷体_GB2312"/>
                                <w:sz w:val="21"/>
                                <w:szCs w:val="21"/>
                              </w:rPr>
                              <w:t>.太白县光伏发电项目, 总投资15亿元。</w:t>
                            </w:r>
                            <w:r>
                              <w:rPr>
                                <w:rFonts w:hint="eastAsia" w:ascii="楷体_GB2312" w:hAnsi="仿宋" w:eastAsia="楷体_GB2312"/>
                                <w:b/>
                                <w:sz w:val="21"/>
                                <w:szCs w:val="21"/>
                              </w:rPr>
                              <w:t>（四）装备制造（</w:t>
                            </w:r>
                            <w:r>
                              <w:rPr>
                                <w:rFonts w:ascii="楷体_GB2312" w:hAnsi="仿宋" w:eastAsia="楷体_GB2312"/>
                                <w:b/>
                                <w:sz w:val="21"/>
                                <w:szCs w:val="21"/>
                              </w:rPr>
                              <w:t>4</w:t>
                            </w:r>
                            <w:r>
                              <w:rPr>
                                <w:rFonts w:hint="eastAsia" w:ascii="楷体_GB2312" w:hAnsi="仿宋" w:eastAsia="楷体_GB2312"/>
                                <w:b/>
                                <w:sz w:val="21"/>
                                <w:szCs w:val="21"/>
                              </w:rPr>
                              <w:t>个）</w:t>
                            </w:r>
                            <w:r>
                              <w:rPr>
                                <w:rFonts w:hint="eastAsia" w:ascii="楷体_GB2312" w:hAnsi="仿宋" w:eastAsia="楷体_GB2312"/>
                                <w:sz w:val="21"/>
                                <w:szCs w:val="21"/>
                              </w:rPr>
                              <w:t>1. 智能装备</w:t>
                            </w:r>
                            <w:r>
                              <w:rPr>
                                <w:rFonts w:ascii="楷体_GB2312" w:hAnsi="仿宋" w:eastAsia="楷体_GB2312"/>
                                <w:sz w:val="21"/>
                                <w:szCs w:val="21"/>
                              </w:rPr>
                              <w:t>制造产业园建设项目，总投资</w:t>
                            </w:r>
                            <w:r>
                              <w:rPr>
                                <w:rFonts w:hint="eastAsia" w:ascii="楷体_GB2312" w:hAnsi="仿宋" w:eastAsia="楷体_GB2312"/>
                                <w:sz w:val="21"/>
                                <w:szCs w:val="21"/>
                              </w:rPr>
                              <w:t>100亿元</w:t>
                            </w:r>
                            <w:r>
                              <w:rPr>
                                <w:rFonts w:ascii="楷体_GB2312" w:hAnsi="仿宋" w:eastAsia="楷体_GB2312"/>
                                <w:sz w:val="21"/>
                                <w:szCs w:val="21"/>
                              </w:rPr>
                              <w:t>；2</w:t>
                            </w:r>
                            <w:r>
                              <w:rPr>
                                <w:rFonts w:hint="eastAsia" w:ascii="楷体_GB2312" w:hAnsi="仿宋" w:eastAsia="楷体_GB2312"/>
                                <w:sz w:val="21"/>
                                <w:szCs w:val="21"/>
                              </w:rPr>
                              <w:t>.石油钻采高端装备产业园项目，总投资28亿元；</w:t>
                            </w:r>
                            <w:r>
                              <w:rPr>
                                <w:rFonts w:ascii="楷体_GB2312" w:hAnsi="仿宋" w:eastAsia="楷体_GB2312"/>
                                <w:sz w:val="21"/>
                                <w:szCs w:val="21"/>
                              </w:rPr>
                              <w:t>3</w:t>
                            </w:r>
                            <w:r>
                              <w:rPr>
                                <w:rFonts w:hint="eastAsia" w:ascii="楷体_GB2312" w:hAnsi="仿宋" w:eastAsia="楷体_GB2312"/>
                                <w:sz w:val="21"/>
                                <w:szCs w:val="21"/>
                              </w:rPr>
                              <w:t>.年产20万吨铝制品生产基地项目，总投资20亿元；</w:t>
                            </w:r>
                            <w:r>
                              <w:rPr>
                                <w:rFonts w:ascii="楷体_GB2312" w:hAnsi="仿宋" w:eastAsia="楷体_GB2312"/>
                                <w:sz w:val="21"/>
                                <w:szCs w:val="21"/>
                              </w:rPr>
                              <w:t>4</w:t>
                            </w:r>
                            <w:r>
                              <w:rPr>
                                <w:rFonts w:hint="eastAsia" w:ascii="楷体_GB2312" w:hAnsi="仿宋" w:eastAsia="楷体_GB2312"/>
                                <w:sz w:val="21"/>
                                <w:szCs w:val="21"/>
                              </w:rPr>
                              <w:t>.千阳县机械加工及配件产业基地项目，总投资35亿元。（</w:t>
                            </w:r>
                            <w:r>
                              <w:rPr>
                                <w:rFonts w:hint="eastAsia" w:ascii="楷体_GB2312" w:hAnsi="仿宋" w:eastAsia="楷体_GB2312"/>
                                <w:b/>
                                <w:sz w:val="21"/>
                                <w:szCs w:val="21"/>
                              </w:rPr>
                              <w:t>五）烟酒食品（1个）</w:t>
                            </w:r>
                            <w:r>
                              <w:rPr>
                                <w:rFonts w:hint="eastAsia" w:ascii="楷体_GB2312" w:hAnsi="仿宋" w:eastAsia="楷体_GB2312"/>
                                <w:sz w:val="21"/>
                                <w:szCs w:val="21"/>
                              </w:rPr>
                              <w:t>中国西凤酒城建设项目，总投资150亿元。</w:t>
                            </w:r>
                            <w:r>
                              <w:rPr>
                                <w:rFonts w:hint="eastAsia" w:ascii="楷体_GB2312" w:hAnsi="仿宋" w:eastAsia="楷体_GB2312"/>
                                <w:b/>
                                <w:sz w:val="21"/>
                                <w:szCs w:val="21"/>
                              </w:rPr>
                              <w:t>（六）电子信息（</w:t>
                            </w:r>
                            <w:r>
                              <w:rPr>
                                <w:rFonts w:ascii="楷体_GB2312" w:hAnsi="仿宋" w:eastAsia="楷体_GB2312"/>
                                <w:b/>
                                <w:sz w:val="21"/>
                                <w:szCs w:val="21"/>
                              </w:rPr>
                              <w:t>5</w:t>
                            </w:r>
                            <w:r>
                              <w:rPr>
                                <w:rFonts w:hint="eastAsia" w:ascii="楷体_GB2312" w:hAnsi="仿宋" w:eastAsia="楷体_GB2312"/>
                                <w:b/>
                                <w:sz w:val="21"/>
                                <w:szCs w:val="21"/>
                              </w:rPr>
                              <w:t>个）</w:t>
                            </w:r>
                            <w:r>
                              <w:rPr>
                                <w:rFonts w:hint="eastAsia" w:ascii="楷体_GB2312" w:hAnsi="仿宋" w:eastAsia="楷体_GB2312"/>
                                <w:sz w:val="21"/>
                                <w:szCs w:val="21"/>
                              </w:rPr>
                              <w:t>1.新一代</w:t>
                            </w:r>
                            <w:r>
                              <w:rPr>
                                <w:rFonts w:ascii="楷体_GB2312" w:hAnsi="仿宋" w:eastAsia="楷体_GB2312"/>
                                <w:sz w:val="21"/>
                                <w:szCs w:val="21"/>
                              </w:rPr>
                              <w:t>信息技术产业园，总投资</w:t>
                            </w:r>
                            <w:r>
                              <w:rPr>
                                <w:rFonts w:hint="eastAsia" w:ascii="楷体_GB2312" w:hAnsi="仿宋" w:eastAsia="楷体_GB2312"/>
                                <w:sz w:val="21"/>
                                <w:szCs w:val="21"/>
                              </w:rPr>
                              <w:t>100亿元</w:t>
                            </w:r>
                            <w:r>
                              <w:rPr>
                                <w:rFonts w:ascii="楷体_GB2312" w:hAnsi="仿宋" w:eastAsia="楷体_GB2312"/>
                                <w:sz w:val="21"/>
                                <w:szCs w:val="21"/>
                              </w:rPr>
                              <w:t>；</w:t>
                            </w:r>
                            <w:r>
                              <w:rPr>
                                <w:rFonts w:hint="eastAsia" w:ascii="楷体_GB2312" w:hAnsi="仿宋" w:eastAsia="楷体_GB2312"/>
                                <w:sz w:val="21"/>
                                <w:szCs w:val="21"/>
                              </w:rPr>
                              <w:t xml:space="preserve"> </w:t>
                            </w:r>
                            <w:r>
                              <w:rPr>
                                <w:rFonts w:ascii="楷体_GB2312" w:hAnsi="仿宋" w:eastAsia="楷体_GB2312"/>
                                <w:sz w:val="21"/>
                                <w:szCs w:val="21"/>
                              </w:rPr>
                              <w:t>2</w:t>
                            </w:r>
                            <w:r>
                              <w:rPr>
                                <w:rFonts w:hint="eastAsia" w:ascii="楷体_GB2312" w:hAnsi="仿宋" w:eastAsia="楷体_GB2312"/>
                                <w:sz w:val="21"/>
                                <w:szCs w:val="21"/>
                              </w:rPr>
                              <w:t>宝鸡高新区电子信息装备产业园，总投资30亿元；</w:t>
                            </w:r>
                            <w:r>
                              <w:rPr>
                                <w:rFonts w:ascii="楷体_GB2312" w:hAnsi="仿宋" w:eastAsia="楷体_GB2312"/>
                                <w:sz w:val="21"/>
                                <w:szCs w:val="21"/>
                              </w:rPr>
                              <w:t>3</w:t>
                            </w:r>
                            <w:r>
                              <w:rPr>
                                <w:rFonts w:hint="eastAsia" w:ascii="楷体_GB2312" w:hAnsi="仿宋" w:eastAsia="楷体_GB2312"/>
                                <w:sz w:val="21"/>
                                <w:szCs w:val="21"/>
                              </w:rPr>
                              <w:t>.宝鸡高新区智慧园区建设，总投资30亿元；</w:t>
                            </w:r>
                            <w:r>
                              <w:rPr>
                                <w:rFonts w:ascii="楷体_GB2312" w:hAnsi="仿宋" w:eastAsia="楷体_GB2312"/>
                                <w:sz w:val="21"/>
                                <w:szCs w:val="21"/>
                              </w:rPr>
                              <w:t>4</w:t>
                            </w:r>
                            <w:r>
                              <w:rPr>
                                <w:rFonts w:hint="eastAsia" w:ascii="楷体_GB2312" w:hAnsi="仿宋" w:eastAsia="楷体_GB2312"/>
                                <w:sz w:val="21"/>
                                <w:szCs w:val="21"/>
                              </w:rPr>
                              <w:t>.千阳县电子科技产业园项目，总投资20.8亿元；</w:t>
                            </w:r>
                            <w:r>
                              <w:rPr>
                                <w:rFonts w:ascii="楷体_GB2312" w:hAnsi="仿宋" w:eastAsia="楷体_GB2312"/>
                                <w:sz w:val="21"/>
                                <w:szCs w:val="21"/>
                              </w:rPr>
                              <w:t>5</w:t>
                            </w:r>
                            <w:r>
                              <w:rPr>
                                <w:rFonts w:hint="eastAsia" w:ascii="楷体_GB2312" w:hAnsi="仿宋" w:eastAsia="楷体_GB2312"/>
                                <w:sz w:val="21"/>
                                <w:szCs w:val="21"/>
                              </w:rPr>
                              <w:t>.西部光谷光通信产业园建设项目，总投资40亿元。</w:t>
                            </w:r>
                            <w:r>
                              <w:rPr>
                                <w:rFonts w:hint="eastAsia" w:ascii="楷体_GB2312" w:hAnsi="仿宋" w:eastAsia="楷体_GB2312"/>
                                <w:b/>
                                <w:sz w:val="21"/>
                                <w:szCs w:val="21"/>
                              </w:rPr>
                              <w:t>（七）新兴产业（</w:t>
                            </w:r>
                            <w:r>
                              <w:rPr>
                                <w:rFonts w:ascii="楷体_GB2312" w:hAnsi="仿宋" w:eastAsia="楷体_GB2312"/>
                                <w:b/>
                                <w:sz w:val="21"/>
                                <w:szCs w:val="21"/>
                              </w:rPr>
                              <w:t>4</w:t>
                            </w:r>
                            <w:r>
                              <w:rPr>
                                <w:rFonts w:hint="eastAsia" w:ascii="楷体_GB2312" w:hAnsi="仿宋" w:eastAsia="楷体_GB2312"/>
                                <w:b/>
                                <w:sz w:val="21"/>
                                <w:szCs w:val="21"/>
                              </w:rPr>
                              <w:t>个）</w:t>
                            </w:r>
                            <w:r>
                              <w:rPr>
                                <w:rFonts w:hint="eastAsia" w:ascii="楷体_GB2312" w:hAnsi="仿宋" w:eastAsia="楷体_GB2312"/>
                                <w:sz w:val="21"/>
                                <w:szCs w:val="21"/>
                              </w:rPr>
                              <w:t>1.生物制品产业园建设项目，总投资100亿元；2.应急产业示范园，总投资100亿元；3.清华紫光生物医药产业园，总投资50亿元；4.中国•岐山普宁国际服装产业园，总投资20亿元。</w:t>
                            </w:r>
                          </w:p>
                          <w:p>
                            <w:pPr>
                              <w:spacing w:after="0" w:line="300" w:lineRule="exact"/>
                              <w:ind w:firstLine="527" w:firstLineChars="250"/>
                              <w:jc w:val="both"/>
                              <w:textAlignment w:val="baseline"/>
                              <w:rPr>
                                <w:rFonts w:ascii="楷体_GB2312" w:hAnsi="仿宋" w:eastAsia="楷体_GB2312"/>
                                <w:sz w:val="21"/>
                                <w:szCs w:val="21"/>
                              </w:rPr>
                            </w:pPr>
                            <w:r>
                              <w:rPr>
                                <w:rFonts w:hint="eastAsia" w:ascii="黑体" w:hAnsi="黑体" w:eastAsia="黑体"/>
                                <w:b/>
                                <w:sz w:val="21"/>
                                <w:szCs w:val="21"/>
                              </w:rPr>
                              <w:t>二、现代农业发展工程：</w:t>
                            </w:r>
                            <w:r>
                              <w:rPr>
                                <w:rFonts w:hint="eastAsia" w:ascii="楷体_GB2312" w:hAnsi="仿宋" w:eastAsia="楷体_GB2312"/>
                                <w:b/>
                                <w:sz w:val="21"/>
                                <w:szCs w:val="21"/>
                              </w:rPr>
                              <w:t>（一）特色农业建设工程（</w:t>
                            </w:r>
                            <w:r>
                              <w:rPr>
                                <w:rFonts w:ascii="楷体_GB2312" w:hAnsi="仿宋" w:eastAsia="楷体_GB2312"/>
                                <w:b/>
                                <w:sz w:val="21"/>
                                <w:szCs w:val="21"/>
                              </w:rPr>
                              <w:t>3</w:t>
                            </w:r>
                            <w:r>
                              <w:rPr>
                                <w:rFonts w:hint="eastAsia" w:ascii="楷体_GB2312" w:hAnsi="仿宋" w:eastAsia="楷体_GB2312"/>
                                <w:b/>
                                <w:sz w:val="21"/>
                                <w:szCs w:val="21"/>
                              </w:rPr>
                              <w:t>个）</w:t>
                            </w:r>
                            <w:r>
                              <w:rPr>
                                <w:rFonts w:hint="eastAsia" w:ascii="楷体_GB2312" w:hAnsi="仿宋" w:eastAsia="楷体_GB2312"/>
                                <w:sz w:val="21"/>
                                <w:szCs w:val="21"/>
                              </w:rPr>
                              <w:t>1.千阳果都建设项目, 总投资2</w:t>
                            </w:r>
                            <w:r>
                              <w:rPr>
                                <w:rFonts w:ascii="楷体_GB2312" w:hAnsi="仿宋" w:eastAsia="楷体_GB2312"/>
                                <w:sz w:val="21"/>
                                <w:szCs w:val="21"/>
                              </w:rPr>
                              <w:t>7</w:t>
                            </w:r>
                            <w:r>
                              <w:rPr>
                                <w:rFonts w:hint="eastAsia" w:ascii="楷体_GB2312" w:hAnsi="仿宋" w:eastAsia="楷体_GB2312"/>
                                <w:sz w:val="21"/>
                                <w:szCs w:val="21"/>
                              </w:rPr>
                              <w:t>亿元；2.星辉现代生态农业科技观光旅游园建设项目, 总投资30亿元；</w:t>
                            </w:r>
                            <w:r>
                              <w:rPr>
                                <w:rFonts w:ascii="楷体_GB2312" w:hAnsi="仿宋" w:eastAsia="楷体_GB2312"/>
                                <w:sz w:val="21"/>
                                <w:szCs w:val="21"/>
                              </w:rPr>
                              <w:t>3</w:t>
                            </w:r>
                            <w:r>
                              <w:rPr>
                                <w:rFonts w:hint="eastAsia" w:ascii="楷体_GB2312" w:hAnsi="仿宋" w:eastAsia="楷体_GB2312"/>
                                <w:sz w:val="21"/>
                                <w:szCs w:val="21"/>
                              </w:rPr>
                              <w:t>.陇县西部乳都</w:t>
                            </w:r>
                            <w:r>
                              <w:rPr>
                                <w:rFonts w:ascii="楷体_GB2312" w:hAnsi="仿宋" w:eastAsia="楷体_GB2312"/>
                                <w:sz w:val="21"/>
                                <w:szCs w:val="21"/>
                              </w:rPr>
                              <w:t>建设项目，总投资30</w:t>
                            </w:r>
                            <w:r>
                              <w:rPr>
                                <w:rFonts w:hint="eastAsia" w:ascii="楷体_GB2312" w:hAnsi="仿宋" w:eastAsia="楷体_GB2312"/>
                                <w:sz w:val="21"/>
                                <w:szCs w:val="21"/>
                              </w:rPr>
                              <w:t>亿元。</w:t>
                            </w:r>
                            <w:r>
                              <w:rPr>
                                <w:rFonts w:hint="eastAsia" w:ascii="楷体_GB2312" w:hAnsi="仿宋" w:eastAsia="楷体_GB2312"/>
                                <w:b/>
                                <w:sz w:val="21"/>
                                <w:szCs w:val="21"/>
                              </w:rPr>
                              <w:t>（二）农业园区发展项目（3个）</w:t>
                            </w:r>
                            <w:r>
                              <w:rPr>
                                <w:rFonts w:hint="eastAsia" w:ascii="楷体_GB2312" w:hAnsi="仿宋" w:eastAsia="楷体_GB2312"/>
                                <w:sz w:val="21"/>
                                <w:szCs w:val="21"/>
                              </w:rPr>
                              <w:t>1.现代农业示范千园推进项目, 总投资175亿元；2.金台区葡萄产业科技园区项目, 总投资25亿元；3.金台城郊现代农业产业示范园项目，总投资20亿元。</w:t>
                            </w:r>
                          </w:p>
                          <w:p>
                            <w:pPr>
                              <w:spacing w:after="0" w:line="300" w:lineRule="exact"/>
                              <w:ind w:firstLine="422" w:firstLineChars="200"/>
                              <w:jc w:val="both"/>
                              <w:textAlignment w:val="baseline"/>
                              <w:rPr>
                                <w:rFonts w:hint="eastAsia" w:ascii="黑体" w:hAnsi="黑体" w:eastAsia="黑体"/>
                                <w:b/>
                                <w:sz w:val="21"/>
                                <w:szCs w:val="21"/>
                              </w:rPr>
                            </w:pPr>
                            <w:r>
                              <w:rPr>
                                <w:rFonts w:hint="eastAsia" w:ascii="黑体" w:hAnsi="黑体" w:eastAsia="黑体"/>
                                <w:b/>
                                <w:sz w:val="21"/>
                                <w:szCs w:val="21"/>
                              </w:rPr>
                              <w:t>三、丝路商贸物流工程：</w:t>
                            </w:r>
                            <w:r>
                              <w:rPr>
                                <w:rFonts w:hint="eastAsia" w:ascii="楷体_GB2312" w:hAnsi="仿宋" w:eastAsia="楷体_GB2312"/>
                                <w:b/>
                                <w:sz w:val="21"/>
                                <w:szCs w:val="21"/>
                              </w:rPr>
                              <w:t>（一）物流业（8个）</w:t>
                            </w:r>
                            <w:r>
                              <w:rPr>
                                <w:rFonts w:hint="eastAsia" w:ascii="楷体_GB2312" w:hAnsi="仿宋" w:eastAsia="楷体_GB2312"/>
                                <w:sz w:val="21"/>
                                <w:szCs w:val="21"/>
                              </w:rPr>
                              <w:t>1.宝鸡陆港新区建设项目, 总投资100亿元；2.宝鸡高新综合保税区, 总投资30亿元；3.宝鸡空港物流园, 总投资20亿元；4.国家级眉县猕猴桃批发市场, 总投资30亿元；5.陕甘宁国际农产品物流中心项目, 总投资20亿元；6.凤酒城物流建设项目, 总投资100亿元；7.中国西部（凤翔）国际商贸城, 总投资35亿元；8.宝鸡铁路枢纽货运设施阳平物流中心建设项目， 总投资35亿元。</w:t>
                            </w:r>
                            <w:r>
                              <w:rPr>
                                <w:rFonts w:hint="eastAsia" w:ascii="楷体_GB2312" w:hAnsi="仿宋" w:eastAsia="楷体_GB2312"/>
                                <w:b/>
                                <w:sz w:val="21"/>
                                <w:szCs w:val="21"/>
                              </w:rPr>
                              <w:t>（二）商贸（7个）</w:t>
                            </w:r>
                            <w:r>
                              <w:rPr>
                                <w:rFonts w:hint="eastAsia" w:ascii="楷体_GB2312" w:hAnsi="仿宋" w:eastAsia="楷体_GB2312"/>
                                <w:sz w:val="21"/>
                                <w:szCs w:val="21"/>
                              </w:rPr>
                              <w:t>1.眉县综合市场项目, 总投资30.5亿元；2.陈仓区城市商业综合体项目, 总投资108亿元；3五洲中央公园, 总投资25亿元；4.渭滨区商贸改造提升项目, 总投资23亿元；5.岐山县城市综合体建设项目，总投资30亿元；6.旧城商业改造提升项目，总投资26.5亿元；7.宝鸡中央金融文化商务区，总投资40亿元。</w:t>
                            </w:r>
                          </w:p>
                        </w:txbxContent>
                      </wps:txbx>
                      <wps:bodyPr wrap="square" upright="1"/>
                    </wps:wsp>
                  </a:graphicData>
                </a:graphic>
              </wp:anchor>
            </w:drawing>
          </mc:Choice>
          <mc:Fallback>
            <w:pict>
              <v:shape id="文本框 88" o:spid="_x0000_s1026" o:spt="202" type="#_x0000_t202" style="position:absolute;left:0pt;margin-left:0pt;margin-top:0pt;height:687.15pt;width:435.7pt;mso-position-horizontal-relative:margin;mso-position-vertical-relative:margin;mso-wrap-distance-bottom:0pt;mso-wrap-distance-left:9pt;mso-wrap-distance-right:9pt;mso-wrap-distance-top:0pt;z-index:251693056;mso-width-relative:page;mso-height-relative:page;" fillcolor="#FFFFFF" filled="t" stroked="t" coordsize="21600,21600" o:gfxdata="UEsDBAoAAAAAAIdO4kAAAAAAAAAAAAAAAAAEAAAAZHJzL1BLAwQUAAAACACHTuJAriSp69YAAAAG&#10;AQAADwAAAGRycy9kb3ducmV2LnhtbE2PwU7DMBBE70j8g7VIXBB1QqImhDg9IIHgBgW1VzfZJhH2&#10;OthuWv6ehQtcRlrNaOZtvTpZI2b0YXSkIF0kIJBa143UK3h/e7guQYSoqdPGESr4wgCr5vys1lXn&#10;jvSK8zr2gksoVFrBEONUSRnaAa0OCzchsbd33urIp+9l5/WRy62RN0mylFaPxAuDnvB+wPZjfbAK&#10;yvxp3obn7GXTLvfmNl4V8+OnV+ryIk3uQEQ8xb8w/OAzOjTMtHMH6oIwCviR+KvslUWag9hxKCvy&#10;DGRTy//4zTdQSwMEFAAAAAgAh07iQAbCRMcYAgAARwQAAA4AAABkcnMvZTJvRG9jLnhtbK1TS5LT&#10;MBDdU8UdVNoz9iRkyLjiTBWEsKGAqoEDKJJsq0o/1ErsXABuwIoNe86Vc9CSM5kPLLLAC7mlbr3u&#10;97q1uBmMJjsZQDlb08uLkhJpuRPKtjX98nn9Yk4JRGYF087Kmu4l0Jvl82eL3ldy4jqnhQwEQSxU&#10;va9pF6OvigJ4Jw2DC+elRWfjgmERt6EtRGA9ohtdTMryquhdED44LgHwdDU66RExnAPomkZxuXJ8&#10;a6SNI2qQmkWkBJ3yQJe52qaRPH5sGpCR6Joi05hXTIL2Jq3FcsGqNjDfKX4sgZ1TwhNOhimLSU9Q&#10;KxYZ2Qb1F5RRPDhwTbzgzhQjkawIsrgsn2hz2zEvMxeUGvxJdPh/sPzD7lMgStR0+pISywx2/PDj&#10;++Hn78Ovb2Q+TwL1HiqMu/UYGYfXbsCxuTsHPEy8hyaY9EdGBP0o7/4krxwi4Xg4m02n02t0cfTN&#10;X02u5uUs4RT3132A+E46Q5JR04D9y7Ky3XuIY+hdSMoGTiuxVlrnTWg3b3QgO4a9XufviP4oTFvS&#10;1/R6NplhIQwHuMHBQdN4FAFsm/M9ugEPgcv8/Qs4FbZi0I0FZIQUxiqjogzZ6iQTb60gce9RZ4vv&#10;i6ZijBSUaInPMVk5MjKlz4lE7bRFCVOPxl4kKw6bAWGSuXFij33rccSR3tctC5hz64NqOxQ49zFf&#10;xvnKnTi+hTTAD/c5xf37X/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iSp69YAAAAGAQAADwAA&#10;AAAAAAABACAAAAAiAAAAZHJzL2Rvd25yZXYueG1sUEsBAhQAFAAAAAgAh07iQAbCRMcYAgAARwQA&#10;AA4AAAAAAAAAAQAgAAAAJQEAAGRycy9lMm9Eb2MueG1sUEsFBgAAAAAGAAYAWQEAAK8FAAAAAA==&#10;">
                <v:fill on="t" focussize="0,0"/>
                <v:stroke color="#000000" joinstyle="miter"/>
                <v:imagedata o:title=""/>
                <o:lock v:ext="edit" aspectratio="f"/>
                <v:textbox>
                  <w:txbxContent>
                    <w:p>
                      <w:pPr>
                        <w:spacing w:after="0" w:line="300" w:lineRule="exact"/>
                        <w:textAlignment w:val="baseline"/>
                        <w:rPr>
                          <w:rFonts w:hint="eastAsia" w:ascii="黑体" w:hAnsi="黑体" w:eastAsia="黑体"/>
                          <w:b/>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9</w:t>
                      </w:r>
                    </w:p>
                    <w:p>
                      <w:pPr>
                        <w:spacing w:after="0" w:line="300" w:lineRule="exact"/>
                        <w:jc w:val="center"/>
                        <w:textAlignment w:val="baseline"/>
                        <w:rPr>
                          <w:rFonts w:hint="eastAsia" w:ascii="黑体" w:hAnsi="黑体" w:eastAsia="黑体"/>
                          <w:b/>
                          <w:sz w:val="21"/>
                          <w:szCs w:val="21"/>
                        </w:rPr>
                      </w:pPr>
                      <w:r>
                        <w:rPr>
                          <w:rFonts w:hint="eastAsia" w:ascii="黑体" w:hAnsi="黑体" w:eastAsia="黑体"/>
                          <w:b/>
                          <w:sz w:val="21"/>
                          <w:szCs w:val="21"/>
                        </w:rPr>
                        <w:t>“十三五”规划20亿元以上重大前期项目（</w:t>
                      </w:r>
                      <w:r>
                        <w:rPr>
                          <w:rFonts w:ascii="黑体" w:hAnsi="黑体" w:eastAsia="黑体"/>
                          <w:b/>
                          <w:sz w:val="21"/>
                          <w:szCs w:val="21"/>
                        </w:rPr>
                        <w:t>1</w:t>
                      </w:r>
                      <w:r>
                        <w:rPr>
                          <w:rFonts w:hint="eastAsia" w:ascii="黑体" w:hAnsi="黑体" w:eastAsia="黑体"/>
                          <w:b/>
                          <w:sz w:val="21"/>
                          <w:szCs w:val="21"/>
                        </w:rPr>
                        <w:t>）（共</w:t>
                      </w:r>
                      <w:r>
                        <w:rPr>
                          <w:rFonts w:ascii="黑体" w:hAnsi="黑体" w:eastAsia="黑体"/>
                          <w:b/>
                          <w:sz w:val="21"/>
                          <w:szCs w:val="21"/>
                        </w:rPr>
                        <w:t>128</w:t>
                      </w:r>
                      <w:r>
                        <w:rPr>
                          <w:rFonts w:hint="eastAsia" w:ascii="黑体" w:hAnsi="黑体" w:eastAsia="黑体"/>
                          <w:b/>
                          <w:sz w:val="21"/>
                          <w:szCs w:val="21"/>
                        </w:rPr>
                        <w:t>个）</w:t>
                      </w:r>
                    </w:p>
                    <w:p>
                      <w:pPr>
                        <w:spacing w:after="0" w:line="300" w:lineRule="exact"/>
                        <w:ind w:firstLine="525" w:firstLineChars="250"/>
                        <w:jc w:val="both"/>
                        <w:textAlignment w:val="baseline"/>
                        <w:rPr>
                          <w:rFonts w:ascii="楷体_GB2312" w:hAnsi="仿宋" w:eastAsia="楷体_GB2312"/>
                          <w:sz w:val="21"/>
                          <w:szCs w:val="21"/>
                        </w:rPr>
                      </w:pPr>
                      <w:r>
                        <w:rPr>
                          <w:rFonts w:hint="eastAsia" w:ascii="黑体" w:hAnsi="黑体" w:eastAsia="黑体"/>
                          <w:sz w:val="21"/>
                          <w:szCs w:val="21"/>
                        </w:rPr>
                        <w:t>一、产业提升工程：</w:t>
                      </w:r>
                      <w:r>
                        <w:rPr>
                          <w:rFonts w:hint="eastAsia" w:ascii="楷体_GB2312" w:eastAsia="楷体_GB2312"/>
                          <w:b/>
                          <w:sz w:val="21"/>
                          <w:szCs w:val="21"/>
                        </w:rPr>
                        <w:t>（一）汽车及零部件（</w:t>
                      </w:r>
                      <w:r>
                        <w:rPr>
                          <w:rFonts w:ascii="楷体_GB2312" w:eastAsia="楷体_GB2312"/>
                          <w:b/>
                          <w:sz w:val="21"/>
                          <w:szCs w:val="21"/>
                        </w:rPr>
                        <w:t>8</w:t>
                      </w:r>
                      <w:r>
                        <w:rPr>
                          <w:rFonts w:hint="eastAsia" w:ascii="楷体_GB2312" w:eastAsia="楷体_GB2312"/>
                          <w:b/>
                          <w:sz w:val="21"/>
                          <w:szCs w:val="21"/>
                        </w:rPr>
                        <w:t>个）</w:t>
                      </w:r>
                      <w:r>
                        <w:rPr>
                          <w:rFonts w:hint="eastAsia" w:ascii="楷体_GB2312" w:eastAsia="楷体_GB2312"/>
                          <w:sz w:val="21"/>
                          <w:szCs w:val="21"/>
                        </w:rPr>
                        <w:t>1.吉利汽车产业基地建设项目，总投资72亿元；2.新能源汽车产业基地建设项目，总投资50亿元；3.吉利汽车配套园项目，总投资50亿元；4.飞雳士安全轮胎建设项目，总投资40亿元；5.年产100万台高端轻卡变速器项目，总投资30亿元；6.专用汽车工业园建设项目，总投资30亿元；7.吉利沃尔沃</w:t>
                      </w:r>
                      <w:r>
                        <w:rPr>
                          <w:rFonts w:ascii="楷体_GB2312" w:eastAsia="楷体_GB2312"/>
                          <w:sz w:val="21"/>
                          <w:szCs w:val="21"/>
                        </w:rPr>
                        <w:t>发动机项目</w:t>
                      </w:r>
                      <w:r>
                        <w:rPr>
                          <w:rFonts w:hint="eastAsia" w:ascii="楷体_GB2312" w:eastAsia="楷体_GB2312"/>
                          <w:sz w:val="21"/>
                          <w:szCs w:val="21"/>
                        </w:rPr>
                        <w:t>，</w:t>
                      </w:r>
                      <w:r>
                        <w:rPr>
                          <w:rFonts w:ascii="楷体_GB2312" w:eastAsia="楷体_GB2312"/>
                          <w:sz w:val="21"/>
                          <w:szCs w:val="21"/>
                        </w:rPr>
                        <w:t>总投资</w:t>
                      </w:r>
                      <w:r>
                        <w:rPr>
                          <w:rFonts w:hint="eastAsia" w:ascii="楷体_GB2312" w:eastAsia="楷体_GB2312"/>
                          <w:sz w:val="21"/>
                          <w:szCs w:val="21"/>
                        </w:rPr>
                        <w:t>28亿元</w:t>
                      </w:r>
                      <w:r>
                        <w:rPr>
                          <w:rFonts w:ascii="楷体_GB2312" w:eastAsia="楷体_GB2312"/>
                          <w:sz w:val="21"/>
                          <w:szCs w:val="21"/>
                        </w:rPr>
                        <w:t>；</w:t>
                      </w:r>
                      <w:r>
                        <w:rPr>
                          <w:rFonts w:hint="eastAsia" w:ascii="楷体_GB2312" w:eastAsia="楷体_GB2312"/>
                          <w:sz w:val="21"/>
                          <w:szCs w:val="21"/>
                        </w:rPr>
                        <w:t>8.国家汽车质量监督检验中心项目，总投资20亿元。</w:t>
                      </w:r>
                      <w:r>
                        <w:rPr>
                          <w:rFonts w:hint="eastAsia" w:ascii="楷体_GB2312" w:eastAsia="楷体_GB2312"/>
                          <w:b/>
                          <w:sz w:val="21"/>
                          <w:szCs w:val="21"/>
                        </w:rPr>
                        <w:t>（二）钛及钛合金（4个）</w:t>
                      </w:r>
                      <w:r>
                        <w:rPr>
                          <w:rFonts w:hint="eastAsia" w:ascii="楷体_GB2312" w:eastAsia="楷体_GB2312"/>
                          <w:sz w:val="21"/>
                          <w:szCs w:val="21"/>
                        </w:rPr>
                        <w:t>1.中国钛谷应用产业园项目，总投资30亿元；2.钛科新城产业开发项目，总投资20亿元；3.民营钛产业园建设项目，总投资20亿元；4.中国钛谷东区建设项目，总投资20亿元。</w:t>
                      </w:r>
                      <w:r>
                        <w:rPr>
                          <w:rFonts w:hint="eastAsia" w:ascii="楷体_GB2312" w:eastAsia="楷体_GB2312"/>
                          <w:b/>
                          <w:sz w:val="21"/>
                          <w:szCs w:val="21"/>
                        </w:rPr>
                        <w:t>（三）能源化工（</w:t>
                      </w:r>
                      <w:r>
                        <w:rPr>
                          <w:rFonts w:ascii="楷体_GB2312" w:eastAsia="楷体_GB2312"/>
                          <w:b/>
                          <w:sz w:val="21"/>
                          <w:szCs w:val="21"/>
                        </w:rPr>
                        <w:t>25</w:t>
                      </w:r>
                      <w:r>
                        <w:rPr>
                          <w:rFonts w:hint="eastAsia" w:ascii="楷体_GB2312" w:eastAsia="楷体_GB2312"/>
                          <w:b/>
                          <w:sz w:val="21"/>
                          <w:szCs w:val="21"/>
                        </w:rPr>
                        <w:t>个）</w:t>
                      </w:r>
                      <w:r>
                        <w:rPr>
                          <w:rFonts w:ascii="楷体_GB2312" w:eastAsia="楷体_GB2312"/>
                          <w:sz w:val="21"/>
                          <w:szCs w:val="21"/>
                        </w:rPr>
                        <w:t>1</w:t>
                      </w:r>
                      <w:r>
                        <w:rPr>
                          <w:rFonts w:hint="eastAsia" w:ascii="楷体_GB2312" w:eastAsia="楷体_GB2312"/>
                          <w:sz w:val="21"/>
                          <w:szCs w:val="21"/>
                        </w:rPr>
                        <w:t>.新能源</w:t>
                      </w:r>
                      <w:r>
                        <w:rPr>
                          <w:rFonts w:ascii="楷体_GB2312" w:eastAsia="楷体_GB2312"/>
                          <w:sz w:val="21"/>
                          <w:szCs w:val="21"/>
                        </w:rPr>
                        <w:t>产业园项目，总投资</w:t>
                      </w:r>
                      <w:r>
                        <w:rPr>
                          <w:rFonts w:hint="eastAsia" w:ascii="楷体_GB2312" w:eastAsia="楷体_GB2312"/>
                          <w:sz w:val="21"/>
                          <w:szCs w:val="21"/>
                        </w:rPr>
                        <w:t>200亿元</w:t>
                      </w:r>
                      <w:r>
                        <w:rPr>
                          <w:rFonts w:ascii="楷体_GB2312" w:eastAsia="楷体_GB2312"/>
                          <w:sz w:val="21"/>
                          <w:szCs w:val="21"/>
                        </w:rPr>
                        <w:t>；2</w:t>
                      </w:r>
                      <w:r>
                        <w:rPr>
                          <w:rFonts w:hint="eastAsia" w:ascii="楷体_GB2312" w:eastAsia="楷体_GB2312"/>
                          <w:sz w:val="21"/>
                          <w:szCs w:val="21"/>
                        </w:rPr>
                        <w:t>.凤县20万千瓦风电开发项目，总投资20亿元；</w:t>
                      </w:r>
                      <w:r>
                        <w:rPr>
                          <w:rFonts w:ascii="楷体_GB2312" w:eastAsia="楷体_GB2312"/>
                          <w:sz w:val="21"/>
                          <w:szCs w:val="21"/>
                        </w:rPr>
                        <w:t>3</w:t>
                      </w:r>
                      <w:r>
                        <w:rPr>
                          <w:rFonts w:hint="eastAsia" w:ascii="楷体_GB2312" w:eastAsia="楷体_GB2312"/>
                          <w:sz w:val="21"/>
                          <w:szCs w:val="21"/>
                        </w:rPr>
                        <w:t>.中民光伏发电项目，总投资25亿元；</w:t>
                      </w:r>
                      <w:r>
                        <w:rPr>
                          <w:rFonts w:ascii="楷体_GB2312" w:eastAsia="楷体_GB2312"/>
                          <w:sz w:val="21"/>
                          <w:szCs w:val="21"/>
                        </w:rPr>
                        <w:t>4</w:t>
                      </w:r>
                      <w:r>
                        <w:rPr>
                          <w:rFonts w:hint="eastAsia" w:ascii="楷体_GB2312" w:eastAsia="楷体_GB2312"/>
                          <w:sz w:val="21"/>
                          <w:szCs w:val="21"/>
                        </w:rPr>
                        <w:t>.海润太阳能光伏发电项目，总投资20亿元；</w:t>
                      </w:r>
                      <w:r>
                        <w:rPr>
                          <w:rFonts w:ascii="楷体_GB2312" w:eastAsia="楷体_GB2312"/>
                          <w:sz w:val="21"/>
                          <w:szCs w:val="21"/>
                        </w:rPr>
                        <w:t>5</w:t>
                      </w:r>
                      <w:r>
                        <w:rPr>
                          <w:rFonts w:hint="eastAsia" w:ascii="楷体_GB2312" w:eastAsia="楷体_GB2312"/>
                          <w:sz w:val="21"/>
                          <w:szCs w:val="21"/>
                        </w:rPr>
                        <w:t>.年产60万吨烯烃项目，总投资80亿元；</w:t>
                      </w:r>
                      <w:r>
                        <w:rPr>
                          <w:rFonts w:ascii="楷体_GB2312" w:eastAsia="楷体_GB2312"/>
                          <w:sz w:val="21"/>
                          <w:szCs w:val="21"/>
                        </w:rPr>
                        <w:t>6</w:t>
                      </w:r>
                      <w:r>
                        <w:rPr>
                          <w:rFonts w:hint="eastAsia" w:ascii="楷体_GB2312" w:eastAsia="楷体_GB2312"/>
                          <w:sz w:val="21"/>
                          <w:szCs w:val="21"/>
                        </w:rPr>
                        <w:t>.甲醇下游产品开发项目，总投资41亿元；</w:t>
                      </w:r>
                      <w:r>
                        <w:rPr>
                          <w:rFonts w:ascii="楷体_GB2312" w:eastAsia="楷体_GB2312"/>
                          <w:sz w:val="21"/>
                          <w:szCs w:val="21"/>
                        </w:rPr>
                        <w:t>7</w:t>
                      </w:r>
                      <w:r>
                        <w:rPr>
                          <w:rFonts w:hint="eastAsia" w:ascii="楷体_GB2312" w:eastAsia="楷体_GB2312"/>
                          <w:sz w:val="21"/>
                          <w:szCs w:val="21"/>
                        </w:rPr>
                        <w:t>.聚甲氧基二甲醚项目，总投资20亿元；</w:t>
                      </w:r>
                      <w:r>
                        <w:rPr>
                          <w:rFonts w:ascii="楷体_GB2312" w:eastAsia="楷体_GB2312"/>
                          <w:sz w:val="21"/>
                          <w:szCs w:val="21"/>
                        </w:rPr>
                        <w:t>8</w:t>
                      </w:r>
                      <w:r>
                        <w:rPr>
                          <w:rFonts w:hint="eastAsia" w:ascii="楷体_GB2312" w:eastAsia="楷体_GB2312"/>
                          <w:sz w:val="21"/>
                          <w:szCs w:val="21"/>
                        </w:rPr>
                        <w:t>.西北成品油库项目，总投资64亿元；</w:t>
                      </w:r>
                      <w:r>
                        <w:rPr>
                          <w:rFonts w:ascii="楷体_GB2312" w:eastAsia="楷体_GB2312"/>
                          <w:sz w:val="21"/>
                          <w:szCs w:val="21"/>
                        </w:rPr>
                        <w:t>9</w:t>
                      </w:r>
                      <w:r>
                        <w:rPr>
                          <w:rFonts w:hint="eastAsia" w:ascii="楷体_GB2312" w:eastAsia="楷体_GB2312"/>
                          <w:sz w:val="21"/>
                          <w:szCs w:val="21"/>
                        </w:rPr>
                        <w:t>.年产</w:t>
                      </w:r>
                      <w:r>
                        <w:rPr>
                          <w:rFonts w:ascii="楷体_GB2312" w:eastAsia="楷体_GB2312"/>
                          <w:sz w:val="21"/>
                          <w:szCs w:val="21"/>
                        </w:rPr>
                        <w:t>100</w:t>
                      </w:r>
                      <w:r>
                        <w:rPr>
                          <w:rFonts w:hint="eastAsia" w:ascii="楷体_GB2312" w:eastAsia="楷体_GB2312"/>
                          <w:sz w:val="21"/>
                          <w:szCs w:val="21"/>
                        </w:rPr>
                        <w:t>万吨甲醇项目，总投资60亿元；</w:t>
                      </w:r>
                      <w:r>
                        <w:rPr>
                          <w:rFonts w:ascii="楷体_GB2312" w:eastAsia="楷体_GB2312"/>
                          <w:sz w:val="21"/>
                          <w:szCs w:val="21"/>
                        </w:rPr>
                        <w:t>10</w:t>
                      </w:r>
                      <w:r>
                        <w:rPr>
                          <w:rFonts w:hint="eastAsia" w:ascii="楷体_GB2312" w:eastAsia="楷体_GB2312"/>
                          <w:sz w:val="21"/>
                          <w:szCs w:val="21"/>
                        </w:rPr>
                        <w:t>.麟游县煤变油建设项目，总投资207亿元；1</w:t>
                      </w:r>
                      <w:r>
                        <w:rPr>
                          <w:rFonts w:ascii="楷体_GB2312" w:eastAsia="楷体_GB2312"/>
                          <w:sz w:val="21"/>
                          <w:szCs w:val="21"/>
                        </w:rPr>
                        <w:t>1</w:t>
                      </w:r>
                      <w:r>
                        <w:rPr>
                          <w:rFonts w:hint="eastAsia" w:ascii="楷体_GB2312" w:eastAsia="楷体_GB2312"/>
                          <w:sz w:val="21"/>
                          <w:szCs w:val="21"/>
                        </w:rPr>
                        <w:t>.10万吨焦炉煤气制合成氨项目，总投资50亿元；1</w:t>
                      </w:r>
                      <w:r>
                        <w:rPr>
                          <w:rFonts w:ascii="楷体_GB2312" w:eastAsia="楷体_GB2312"/>
                          <w:sz w:val="21"/>
                          <w:szCs w:val="21"/>
                        </w:rPr>
                        <w:t>2</w:t>
                      </w:r>
                      <w:r>
                        <w:rPr>
                          <w:rFonts w:hint="eastAsia" w:ascii="楷体_GB2312" w:eastAsia="楷体_GB2312"/>
                          <w:sz w:val="21"/>
                          <w:szCs w:val="21"/>
                        </w:rPr>
                        <w:t>.20万吨煤焦油深加工项目，总投资35亿元；1</w:t>
                      </w:r>
                      <w:r>
                        <w:rPr>
                          <w:rFonts w:ascii="楷体_GB2312" w:eastAsia="楷体_GB2312"/>
                          <w:sz w:val="21"/>
                          <w:szCs w:val="21"/>
                        </w:rPr>
                        <w:t>3</w:t>
                      </w:r>
                      <w:r>
                        <w:rPr>
                          <w:rFonts w:hint="eastAsia" w:ascii="楷体_GB2312" w:eastAsia="楷体_GB2312"/>
                          <w:sz w:val="21"/>
                          <w:szCs w:val="21"/>
                        </w:rPr>
                        <w:t>.丈八煤矿建设项目，总投资34亿元；1</w:t>
                      </w:r>
                      <w:r>
                        <w:rPr>
                          <w:rFonts w:ascii="楷体_GB2312" w:eastAsia="楷体_GB2312"/>
                          <w:sz w:val="21"/>
                          <w:szCs w:val="21"/>
                        </w:rPr>
                        <w:t>4</w:t>
                      </w:r>
                      <w:r>
                        <w:rPr>
                          <w:rFonts w:hint="eastAsia" w:ascii="楷体_GB2312" w:eastAsia="楷体_GB2312"/>
                          <w:sz w:val="21"/>
                          <w:szCs w:val="21"/>
                        </w:rPr>
                        <w:t>.30万吨烯烃生产线项目，总投资32亿元；1</w:t>
                      </w:r>
                      <w:r>
                        <w:rPr>
                          <w:rFonts w:ascii="楷体_GB2312" w:eastAsia="楷体_GB2312"/>
                          <w:sz w:val="21"/>
                          <w:szCs w:val="21"/>
                        </w:rPr>
                        <w:t>5</w:t>
                      </w:r>
                      <w:r>
                        <w:rPr>
                          <w:rFonts w:hint="eastAsia" w:ascii="楷体_GB2312" w:eastAsia="楷体_GB2312"/>
                          <w:sz w:val="21"/>
                          <w:szCs w:val="21"/>
                        </w:rPr>
                        <w:t>.招贤煤矿建设项目，总投资30亿元；1</w:t>
                      </w:r>
                      <w:r>
                        <w:rPr>
                          <w:rFonts w:ascii="楷体_GB2312" w:eastAsia="楷体_GB2312"/>
                          <w:sz w:val="21"/>
                          <w:szCs w:val="21"/>
                        </w:rPr>
                        <w:t>6</w:t>
                      </w:r>
                      <w:r>
                        <w:rPr>
                          <w:rFonts w:hint="eastAsia" w:ascii="楷体_GB2312" w:eastAsia="楷体_GB2312"/>
                          <w:sz w:val="21"/>
                          <w:szCs w:val="21"/>
                        </w:rPr>
                        <w:t>.20万吨乙二醇项目，总投资30亿元；1</w:t>
                      </w:r>
                      <w:r>
                        <w:rPr>
                          <w:rFonts w:ascii="楷体_GB2312" w:eastAsia="楷体_GB2312"/>
                          <w:sz w:val="21"/>
                          <w:szCs w:val="21"/>
                        </w:rPr>
                        <w:t>7</w:t>
                      </w:r>
                      <w:r>
                        <w:rPr>
                          <w:rFonts w:hint="eastAsia" w:ascii="楷体_GB2312" w:eastAsia="楷体_GB2312"/>
                          <w:sz w:val="21"/>
                          <w:szCs w:val="21"/>
                        </w:rPr>
                        <w:t>.陇县李家河煤矿开发项目，总投资38亿元；1</w:t>
                      </w:r>
                      <w:r>
                        <w:rPr>
                          <w:rFonts w:ascii="楷体_GB2312" w:eastAsia="楷体_GB2312"/>
                          <w:sz w:val="21"/>
                          <w:szCs w:val="21"/>
                        </w:rPr>
                        <w:t>8</w:t>
                      </w:r>
                      <w:r>
                        <w:rPr>
                          <w:rFonts w:hint="eastAsia" w:ascii="楷体_GB2312" w:eastAsia="楷体_GB2312"/>
                          <w:sz w:val="21"/>
                          <w:szCs w:val="21"/>
                        </w:rPr>
                        <w:t>.千阳县风力发电建设项目，总投资30亿元；1</w:t>
                      </w:r>
                      <w:r>
                        <w:rPr>
                          <w:rFonts w:ascii="楷体_GB2312" w:eastAsia="楷体_GB2312"/>
                          <w:sz w:val="21"/>
                          <w:szCs w:val="21"/>
                        </w:rPr>
                        <w:t>9</w:t>
                      </w:r>
                      <w:r>
                        <w:rPr>
                          <w:rFonts w:hint="eastAsia" w:ascii="楷体_GB2312" w:eastAsia="楷体_GB2312"/>
                          <w:sz w:val="21"/>
                          <w:szCs w:val="21"/>
                        </w:rPr>
                        <w:t>.园子沟煤矿项目，总投资54亿元；20.2×35万千瓦煤矸</w:t>
                      </w:r>
                      <w:r>
                        <w:rPr>
                          <w:rFonts w:ascii="楷体_GB2312" w:eastAsia="楷体_GB2312"/>
                          <w:sz w:val="21"/>
                          <w:szCs w:val="21"/>
                        </w:rPr>
                        <w:t>石发电项目</w:t>
                      </w:r>
                      <w:r>
                        <w:rPr>
                          <w:rFonts w:hint="eastAsia" w:ascii="楷体_GB2312" w:eastAsia="楷体_GB2312"/>
                          <w:sz w:val="21"/>
                          <w:szCs w:val="21"/>
                        </w:rPr>
                        <w:t>，总投资32亿元；2</w:t>
                      </w:r>
                      <w:r>
                        <w:rPr>
                          <w:rFonts w:ascii="楷体_GB2312" w:eastAsia="楷体_GB2312"/>
                          <w:sz w:val="21"/>
                          <w:szCs w:val="21"/>
                        </w:rPr>
                        <w:t>1</w:t>
                      </w:r>
                      <w:r>
                        <w:rPr>
                          <w:rFonts w:hint="eastAsia" w:ascii="楷体_GB2312" w:eastAsia="楷体_GB2312"/>
                          <w:sz w:val="21"/>
                          <w:szCs w:val="21"/>
                        </w:rPr>
                        <w:t>.大唐热电二期</w:t>
                      </w:r>
                      <w:r>
                        <w:rPr>
                          <w:rFonts w:ascii="楷体_GB2312" w:eastAsia="楷体_GB2312"/>
                          <w:sz w:val="21"/>
                          <w:szCs w:val="21"/>
                        </w:rPr>
                        <w:t>项目，总投资</w:t>
                      </w:r>
                      <w:r>
                        <w:rPr>
                          <w:rFonts w:hint="eastAsia" w:ascii="楷体_GB2312" w:eastAsia="楷体_GB2312"/>
                          <w:sz w:val="21"/>
                          <w:szCs w:val="21"/>
                        </w:rPr>
                        <w:t>32亿元</w:t>
                      </w:r>
                      <w:r>
                        <w:rPr>
                          <w:rFonts w:ascii="楷体_GB2312" w:eastAsia="楷体_GB2312"/>
                          <w:sz w:val="21"/>
                          <w:szCs w:val="21"/>
                        </w:rPr>
                        <w:t>；</w:t>
                      </w:r>
                      <w:r>
                        <w:rPr>
                          <w:rFonts w:hint="eastAsia" w:ascii="楷体_GB2312" w:eastAsia="楷体_GB2312"/>
                          <w:sz w:val="21"/>
                          <w:szCs w:val="21"/>
                        </w:rPr>
                        <w:t>22宝鸡热电“上大压小”2×350MW改扩建项目，总投资29亿元；2</w:t>
                      </w:r>
                      <w:r>
                        <w:rPr>
                          <w:rFonts w:ascii="楷体_GB2312" w:eastAsia="楷体_GB2312"/>
                          <w:sz w:val="21"/>
                          <w:szCs w:val="21"/>
                        </w:rPr>
                        <w:t>3</w:t>
                      </w:r>
                      <w:r>
                        <w:rPr>
                          <w:rFonts w:hint="eastAsia" w:ascii="楷体_GB2312" w:eastAsia="楷体_GB2312"/>
                          <w:sz w:val="21"/>
                          <w:szCs w:val="21"/>
                        </w:rPr>
                        <w:t>.陇县风力发电建设项目, 总投资</w:t>
                      </w:r>
                      <w:r>
                        <w:rPr>
                          <w:rFonts w:ascii="楷体_GB2312" w:eastAsia="楷体_GB2312"/>
                          <w:sz w:val="21"/>
                          <w:szCs w:val="21"/>
                        </w:rPr>
                        <w:t>23</w:t>
                      </w:r>
                      <w:r>
                        <w:rPr>
                          <w:rFonts w:hint="eastAsia" w:ascii="楷体_GB2312" w:eastAsia="楷体_GB2312"/>
                          <w:sz w:val="21"/>
                          <w:szCs w:val="21"/>
                        </w:rPr>
                        <w:t>亿元；2</w:t>
                      </w:r>
                      <w:r>
                        <w:rPr>
                          <w:rFonts w:ascii="楷体_GB2312" w:eastAsia="楷体_GB2312"/>
                          <w:sz w:val="21"/>
                          <w:szCs w:val="21"/>
                        </w:rPr>
                        <w:t>4</w:t>
                      </w:r>
                      <w:r>
                        <w:rPr>
                          <w:rFonts w:hint="eastAsia" w:ascii="楷体_GB2312" w:eastAsia="楷体_GB2312"/>
                          <w:sz w:val="21"/>
                          <w:szCs w:val="21"/>
                        </w:rPr>
                        <w:t>.太白县风电建设项目, 总投资35亿元；2</w:t>
                      </w:r>
                      <w:r>
                        <w:rPr>
                          <w:rFonts w:ascii="楷体_GB2312" w:eastAsia="楷体_GB2312"/>
                          <w:sz w:val="21"/>
                          <w:szCs w:val="21"/>
                        </w:rPr>
                        <w:t>5</w:t>
                      </w:r>
                      <w:r>
                        <w:rPr>
                          <w:rFonts w:hint="eastAsia" w:ascii="楷体_GB2312" w:eastAsia="楷体_GB2312"/>
                          <w:sz w:val="21"/>
                          <w:szCs w:val="21"/>
                        </w:rPr>
                        <w:t>.太白县光伏发电项目, 总投资15亿元。</w:t>
                      </w:r>
                      <w:r>
                        <w:rPr>
                          <w:rFonts w:hint="eastAsia" w:ascii="楷体_GB2312" w:hAnsi="仿宋" w:eastAsia="楷体_GB2312"/>
                          <w:b/>
                          <w:sz w:val="21"/>
                          <w:szCs w:val="21"/>
                        </w:rPr>
                        <w:t>（四）装备制造（</w:t>
                      </w:r>
                      <w:r>
                        <w:rPr>
                          <w:rFonts w:ascii="楷体_GB2312" w:hAnsi="仿宋" w:eastAsia="楷体_GB2312"/>
                          <w:b/>
                          <w:sz w:val="21"/>
                          <w:szCs w:val="21"/>
                        </w:rPr>
                        <w:t>4</w:t>
                      </w:r>
                      <w:r>
                        <w:rPr>
                          <w:rFonts w:hint="eastAsia" w:ascii="楷体_GB2312" w:hAnsi="仿宋" w:eastAsia="楷体_GB2312"/>
                          <w:b/>
                          <w:sz w:val="21"/>
                          <w:szCs w:val="21"/>
                        </w:rPr>
                        <w:t>个）</w:t>
                      </w:r>
                      <w:r>
                        <w:rPr>
                          <w:rFonts w:hint="eastAsia" w:ascii="楷体_GB2312" w:hAnsi="仿宋" w:eastAsia="楷体_GB2312"/>
                          <w:sz w:val="21"/>
                          <w:szCs w:val="21"/>
                        </w:rPr>
                        <w:t>1. 智能装备</w:t>
                      </w:r>
                      <w:r>
                        <w:rPr>
                          <w:rFonts w:ascii="楷体_GB2312" w:hAnsi="仿宋" w:eastAsia="楷体_GB2312"/>
                          <w:sz w:val="21"/>
                          <w:szCs w:val="21"/>
                        </w:rPr>
                        <w:t>制造产业园建设项目，总投资</w:t>
                      </w:r>
                      <w:r>
                        <w:rPr>
                          <w:rFonts w:hint="eastAsia" w:ascii="楷体_GB2312" w:hAnsi="仿宋" w:eastAsia="楷体_GB2312"/>
                          <w:sz w:val="21"/>
                          <w:szCs w:val="21"/>
                        </w:rPr>
                        <w:t>100亿元</w:t>
                      </w:r>
                      <w:r>
                        <w:rPr>
                          <w:rFonts w:ascii="楷体_GB2312" w:hAnsi="仿宋" w:eastAsia="楷体_GB2312"/>
                          <w:sz w:val="21"/>
                          <w:szCs w:val="21"/>
                        </w:rPr>
                        <w:t>；2</w:t>
                      </w:r>
                      <w:r>
                        <w:rPr>
                          <w:rFonts w:hint="eastAsia" w:ascii="楷体_GB2312" w:hAnsi="仿宋" w:eastAsia="楷体_GB2312"/>
                          <w:sz w:val="21"/>
                          <w:szCs w:val="21"/>
                        </w:rPr>
                        <w:t>.石油钻采高端装备产业园项目，总投资28亿元；</w:t>
                      </w:r>
                      <w:r>
                        <w:rPr>
                          <w:rFonts w:ascii="楷体_GB2312" w:hAnsi="仿宋" w:eastAsia="楷体_GB2312"/>
                          <w:sz w:val="21"/>
                          <w:szCs w:val="21"/>
                        </w:rPr>
                        <w:t>3</w:t>
                      </w:r>
                      <w:r>
                        <w:rPr>
                          <w:rFonts w:hint="eastAsia" w:ascii="楷体_GB2312" w:hAnsi="仿宋" w:eastAsia="楷体_GB2312"/>
                          <w:sz w:val="21"/>
                          <w:szCs w:val="21"/>
                        </w:rPr>
                        <w:t>.年产20万吨铝制品生产基地项目，总投资20亿元；</w:t>
                      </w:r>
                      <w:r>
                        <w:rPr>
                          <w:rFonts w:ascii="楷体_GB2312" w:hAnsi="仿宋" w:eastAsia="楷体_GB2312"/>
                          <w:sz w:val="21"/>
                          <w:szCs w:val="21"/>
                        </w:rPr>
                        <w:t>4</w:t>
                      </w:r>
                      <w:r>
                        <w:rPr>
                          <w:rFonts w:hint="eastAsia" w:ascii="楷体_GB2312" w:hAnsi="仿宋" w:eastAsia="楷体_GB2312"/>
                          <w:sz w:val="21"/>
                          <w:szCs w:val="21"/>
                        </w:rPr>
                        <w:t>.千阳县机械加工及配件产业基地项目，总投资35亿元。（</w:t>
                      </w:r>
                      <w:r>
                        <w:rPr>
                          <w:rFonts w:hint="eastAsia" w:ascii="楷体_GB2312" w:hAnsi="仿宋" w:eastAsia="楷体_GB2312"/>
                          <w:b/>
                          <w:sz w:val="21"/>
                          <w:szCs w:val="21"/>
                        </w:rPr>
                        <w:t>五）烟酒食品（1个）</w:t>
                      </w:r>
                      <w:r>
                        <w:rPr>
                          <w:rFonts w:hint="eastAsia" w:ascii="楷体_GB2312" w:hAnsi="仿宋" w:eastAsia="楷体_GB2312"/>
                          <w:sz w:val="21"/>
                          <w:szCs w:val="21"/>
                        </w:rPr>
                        <w:t>中国西凤酒城建设项目，总投资150亿元。</w:t>
                      </w:r>
                      <w:r>
                        <w:rPr>
                          <w:rFonts w:hint="eastAsia" w:ascii="楷体_GB2312" w:hAnsi="仿宋" w:eastAsia="楷体_GB2312"/>
                          <w:b/>
                          <w:sz w:val="21"/>
                          <w:szCs w:val="21"/>
                        </w:rPr>
                        <w:t>（六）电子信息（</w:t>
                      </w:r>
                      <w:r>
                        <w:rPr>
                          <w:rFonts w:ascii="楷体_GB2312" w:hAnsi="仿宋" w:eastAsia="楷体_GB2312"/>
                          <w:b/>
                          <w:sz w:val="21"/>
                          <w:szCs w:val="21"/>
                        </w:rPr>
                        <w:t>5</w:t>
                      </w:r>
                      <w:r>
                        <w:rPr>
                          <w:rFonts w:hint="eastAsia" w:ascii="楷体_GB2312" w:hAnsi="仿宋" w:eastAsia="楷体_GB2312"/>
                          <w:b/>
                          <w:sz w:val="21"/>
                          <w:szCs w:val="21"/>
                        </w:rPr>
                        <w:t>个）</w:t>
                      </w:r>
                      <w:r>
                        <w:rPr>
                          <w:rFonts w:hint="eastAsia" w:ascii="楷体_GB2312" w:hAnsi="仿宋" w:eastAsia="楷体_GB2312"/>
                          <w:sz w:val="21"/>
                          <w:szCs w:val="21"/>
                        </w:rPr>
                        <w:t>1.新一代</w:t>
                      </w:r>
                      <w:r>
                        <w:rPr>
                          <w:rFonts w:ascii="楷体_GB2312" w:hAnsi="仿宋" w:eastAsia="楷体_GB2312"/>
                          <w:sz w:val="21"/>
                          <w:szCs w:val="21"/>
                        </w:rPr>
                        <w:t>信息技术产业园，总投资</w:t>
                      </w:r>
                      <w:r>
                        <w:rPr>
                          <w:rFonts w:hint="eastAsia" w:ascii="楷体_GB2312" w:hAnsi="仿宋" w:eastAsia="楷体_GB2312"/>
                          <w:sz w:val="21"/>
                          <w:szCs w:val="21"/>
                        </w:rPr>
                        <w:t>100亿元</w:t>
                      </w:r>
                      <w:r>
                        <w:rPr>
                          <w:rFonts w:ascii="楷体_GB2312" w:hAnsi="仿宋" w:eastAsia="楷体_GB2312"/>
                          <w:sz w:val="21"/>
                          <w:szCs w:val="21"/>
                        </w:rPr>
                        <w:t>；</w:t>
                      </w:r>
                      <w:r>
                        <w:rPr>
                          <w:rFonts w:hint="eastAsia" w:ascii="楷体_GB2312" w:hAnsi="仿宋" w:eastAsia="楷体_GB2312"/>
                          <w:sz w:val="21"/>
                          <w:szCs w:val="21"/>
                        </w:rPr>
                        <w:t xml:space="preserve"> </w:t>
                      </w:r>
                      <w:r>
                        <w:rPr>
                          <w:rFonts w:ascii="楷体_GB2312" w:hAnsi="仿宋" w:eastAsia="楷体_GB2312"/>
                          <w:sz w:val="21"/>
                          <w:szCs w:val="21"/>
                        </w:rPr>
                        <w:t>2</w:t>
                      </w:r>
                      <w:r>
                        <w:rPr>
                          <w:rFonts w:hint="eastAsia" w:ascii="楷体_GB2312" w:hAnsi="仿宋" w:eastAsia="楷体_GB2312"/>
                          <w:sz w:val="21"/>
                          <w:szCs w:val="21"/>
                        </w:rPr>
                        <w:t>宝鸡高新区电子信息装备产业园，总投资30亿元；</w:t>
                      </w:r>
                      <w:r>
                        <w:rPr>
                          <w:rFonts w:ascii="楷体_GB2312" w:hAnsi="仿宋" w:eastAsia="楷体_GB2312"/>
                          <w:sz w:val="21"/>
                          <w:szCs w:val="21"/>
                        </w:rPr>
                        <w:t>3</w:t>
                      </w:r>
                      <w:r>
                        <w:rPr>
                          <w:rFonts w:hint="eastAsia" w:ascii="楷体_GB2312" w:hAnsi="仿宋" w:eastAsia="楷体_GB2312"/>
                          <w:sz w:val="21"/>
                          <w:szCs w:val="21"/>
                        </w:rPr>
                        <w:t>.宝鸡高新区智慧园区建设，总投资30亿元；</w:t>
                      </w:r>
                      <w:r>
                        <w:rPr>
                          <w:rFonts w:ascii="楷体_GB2312" w:hAnsi="仿宋" w:eastAsia="楷体_GB2312"/>
                          <w:sz w:val="21"/>
                          <w:szCs w:val="21"/>
                        </w:rPr>
                        <w:t>4</w:t>
                      </w:r>
                      <w:r>
                        <w:rPr>
                          <w:rFonts w:hint="eastAsia" w:ascii="楷体_GB2312" w:hAnsi="仿宋" w:eastAsia="楷体_GB2312"/>
                          <w:sz w:val="21"/>
                          <w:szCs w:val="21"/>
                        </w:rPr>
                        <w:t>.千阳县电子科技产业园项目，总投资20.8亿元；</w:t>
                      </w:r>
                      <w:r>
                        <w:rPr>
                          <w:rFonts w:ascii="楷体_GB2312" w:hAnsi="仿宋" w:eastAsia="楷体_GB2312"/>
                          <w:sz w:val="21"/>
                          <w:szCs w:val="21"/>
                        </w:rPr>
                        <w:t>5</w:t>
                      </w:r>
                      <w:r>
                        <w:rPr>
                          <w:rFonts w:hint="eastAsia" w:ascii="楷体_GB2312" w:hAnsi="仿宋" w:eastAsia="楷体_GB2312"/>
                          <w:sz w:val="21"/>
                          <w:szCs w:val="21"/>
                        </w:rPr>
                        <w:t>.西部光谷光通信产业园建设项目，总投资40亿元。</w:t>
                      </w:r>
                      <w:r>
                        <w:rPr>
                          <w:rFonts w:hint="eastAsia" w:ascii="楷体_GB2312" w:hAnsi="仿宋" w:eastAsia="楷体_GB2312"/>
                          <w:b/>
                          <w:sz w:val="21"/>
                          <w:szCs w:val="21"/>
                        </w:rPr>
                        <w:t>（七）新兴产业（</w:t>
                      </w:r>
                      <w:r>
                        <w:rPr>
                          <w:rFonts w:ascii="楷体_GB2312" w:hAnsi="仿宋" w:eastAsia="楷体_GB2312"/>
                          <w:b/>
                          <w:sz w:val="21"/>
                          <w:szCs w:val="21"/>
                        </w:rPr>
                        <w:t>4</w:t>
                      </w:r>
                      <w:r>
                        <w:rPr>
                          <w:rFonts w:hint="eastAsia" w:ascii="楷体_GB2312" w:hAnsi="仿宋" w:eastAsia="楷体_GB2312"/>
                          <w:b/>
                          <w:sz w:val="21"/>
                          <w:szCs w:val="21"/>
                        </w:rPr>
                        <w:t>个）</w:t>
                      </w:r>
                      <w:r>
                        <w:rPr>
                          <w:rFonts w:hint="eastAsia" w:ascii="楷体_GB2312" w:hAnsi="仿宋" w:eastAsia="楷体_GB2312"/>
                          <w:sz w:val="21"/>
                          <w:szCs w:val="21"/>
                        </w:rPr>
                        <w:t>1.生物制品产业园建设项目，总投资100亿元；2.应急产业示范园，总投资100亿元；3.清华紫光生物医药产业园，总投资50亿元；4.中国•岐山普宁国际服装产业园，总投资20亿元。</w:t>
                      </w:r>
                    </w:p>
                    <w:p>
                      <w:pPr>
                        <w:spacing w:after="0" w:line="300" w:lineRule="exact"/>
                        <w:ind w:firstLine="527" w:firstLineChars="250"/>
                        <w:jc w:val="both"/>
                        <w:textAlignment w:val="baseline"/>
                        <w:rPr>
                          <w:rFonts w:ascii="楷体_GB2312" w:hAnsi="仿宋" w:eastAsia="楷体_GB2312"/>
                          <w:sz w:val="21"/>
                          <w:szCs w:val="21"/>
                        </w:rPr>
                      </w:pPr>
                      <w:r>
                        <w:rPr>
                          <w:rFonts w:hint="eastAsia" w:ascii="黑体" w:hAnsi="黑体" w:eastAsia="黑体"/>
                          <w:b/>
                          <w:sz w:val="21"/>
                          <w:szCs w:val="21"/>
                        </w:rPr>
                        <w:t>二、现代农业发展工程：</w:t>
                      </w:r>
                      <w:r>
                        <w:rPr>
                          <w:rFonts w:hint="eastAsia" w:ascii="楷体_GB2312" w:hAnsi="仿宋" w:eastAsia="楷体_GB2312"/>
                          <w:b/>
                          <w:sz w:val="21"/>
                          <w:szCs w:val="21"/>
                        </w:rPr>
                        <w:t>（一）特色农业建设工程（</w:t>
                      </w:r>
                      <w:r>
                        <w:rPr>
                          <w:rFonts w:ascii="楷体_GB2312" w:hAnsi="仿宋" w:eastAsia="楷体_GB2312"/>
                          <w:b/>
                          <w:sz w:val="21"/>
                          <w:szCs w:val="21"/>
                        </w:rPr>
                        <w:t>3</w:t>
                      </w:r>
                      <w:r>
                        <w:rPr>
                          <w:rFonts w:hint="eastAsia" w:ascii="楷体_GB2312" w:hAnsi="仿宋" w:eastAsia="楷体_GB2312"/>
                          <w:b/>
                          <w:sz w:val="21"/>
                          <w:szCs w:val="21"/>
                        </w:rPr>
                        <w:t>个）</w:t>
                      </w:r>
                      <w:r>
                        <w:rPr>
                          <w:rFonts w:hint="eastAsia" w:ascii="楷体_GB2312" w:hAnsi="仿宋" w:eastAsia="楷体_GB2312"/>
                          <w:sz w:val="21"/>
                          <w:szCs w:val="21"/>
                        </w:rPr>
                        <w:t>1.千阳果都建设项目, 总投资2</w:t>
                      </w:r>
                      <w:r>
                        <w:rPr>
                          <w:rFonts w:ascii="楷体_GB2312" w:hAnsi="仿宋" w:eastAsia="楷体_GB2312"/>
                          <w:sz w:val="21"/>
                          <w:szCs w:val="21"/>
                        </w:rPr>
                        <w:t>7</w:t>
                      </w:r>
                      <w:r>
                        <w:rPr>
                          <w:rFonts w:hint="eastAsia" w:ascii="楷体_GB2312" w:hAnsi="仿宋" w:eastAsia="楷体_GB2312"/>
                          <w:sz w:val="21"/>
                          <w:szCs w:val="21"/>
                        </w:rPr>
                        <w:t>亿元；2.星辉现代生态农业科技观光旅游园建设项目, 总投资30亿元；</w:t>
                      </w:r>
                      <w:r>
                        <w:rPr>
                          <w:rFonts w:ascii="楷体_GB2312" w:hAnsi="仿宋" w:eastAsia="楷体_GB2312"/>
                          <w:sz w:val="21"/>
                          <w:szCs w:val="21"/>
                        </w:rPr>
                        <w:t>3</w:t>
                      </w:r>
                      <w:r>
                        <w:rPr>
                          <w:rFonts w:hint="eastAsia" w:ascii="楷体_GB2312" w:hAnsi="仿宋" w:eastAsia="楷体_GB2312"/>
                          <w:sz w:val="21"/>
                          <w:szCs w:val="21"/>
                        </w:rPr>
                        <w:t>.陇县西部乳都</w:t>
                      </w:r>
                      <w:r>
                        <w:rPr>
                          <w:rFonts w:ascii="楷体_GB2312" w:hAnsi="仿宋" w:eastAsia="楷体_GB2312"/>
                          <w:sz w:val="21"/>
                          <w:szCs w:val="21"/>
                        </w:rPr>
                        <w:t>建设项目，总投资30</w:t>
                      </w:r>
                      <w:r>
                        <w:rPr>
                          <w:rFonts w:hint="eastAsia" w:ascii="楷体_GB2312" w:hAnsi="仿宋" w:eastAsia="楷体_GB2312"/>
                          <w:sz w:val="21"/>
                          <w:szCs w:val="21"/>
                        </w:rPr>
                        <w:t>亿元。</w:t>
                      </w:r>
                      <w:r>
                        <w:rPr>
                          <w:rFonts w:hint="eastAsia" w:ascii="楷体_GB2312" w:hAnsi="仿宋" w:eastAsia="楷体_GB2312"/>
                          <w:b/>
                          <w:sz w:val="21"/>
                          <w:szCs w:val="21"/>
                        </w:rPr>
                        <w:t>（二）农业园区发展项目（3个）</w:t>
                      </w:r>
                      <w:r>
                        <w:rPr>
                          <w:rFonts w:hint="eastAsia" w:ascii="楷体_GB2312" w:hAnsi="仿宋" w:eastAsia="楷体_GB2312"/>
                          <w:sz w:val="21"/>
                          <w:szCs w:val="21"/>
                        </w:rPr>
                        <w:t>1.现代农业示范千园推进项目, 总投资175亿元；2.金台区葡萄产业科技园区项目, 总投资25亿元；3.金台城郊现代农业产业示范园项目，总投资20亿元。</w:t>
                      </w:r>
                    </w:p>
                    <w:p>
                      <w:pPr>
                        <w:spacing w:after="0" w:line="300" w:lineRule="exact"/>
                        <w:ind w:firstLine="422" w:firstLineChars="200"/>
                        <w:jc w:val="both"/>
                        <w:textAlignment w:val="baseline"/>
                        <w:rPr>
                          <w:rFonts w:hint="eastAsia" w:ascii="黑体" w:hAnsi="黑体" w:eastAsia="黑体"/>
                          <w:b/>
                          <w:sz w:val="21"/>
                          <w:szCs w:val="21"/>
                        </w:rPr>
                      </w:pPr>
                      <w:r>
                        <w:rPr>
                          <w:rFonts w:hint="eastAsia" w:ascii="黑体" w:hAnsi="黑体" w:eastAsia="黑体"/>
                          <w:b/>
                          <w:sz w:val="21"/>
                          <w:szCs w:val="21"/>
                        </w:rPr>
                        <w:t>三、丝路商贸物流工程：</w:t>
                      </w:r>
                      <w:r>
                        <w:rPr>
                          <w:rFonts w:hint="eastAsia" w:ascii="楷体_GB2312" w:hAnsi="仿宋" w:eastAsia="楷体_GB2312"/>
                          <w:b/>
                          <w:sz w:val="21"/>
                          <w:szCs w:val="21"/>
                        </w:rPr>
                        <w:t>（一）物流业（8个）</w:t>
                      </w:r>
                      <w:r>
                        <w:rPr>
                          <w:rFonts w:hint="eastAsia" w:ascii="楷体_GB2312" w:hAnsi="仿宋" w:eastAsia="楷体_GB2312"/>
                          <w:sz w:val="21"/>
                          <w:szCs w:val="21"/>
                        </w:rPr>
                        <w:t>1.宝鸡陆港新区建设项目, 总投资100亿元；2.宝鸡高新综合保税区, 总投资30亿元；3.宝鸡空港物流园, 总投资20亿元；4.国家级眉县猕猴桃批发市场, 总投资30亿元；5.陕甘宁国际农产品物流中心项目, 总投资20亿元；6.凤酒城物流建设项目, 总投资100亿元；7.中国西部（凤翔）国际商贸城, 总投资35亿元；8.宝鸡铁路枢纽货运设施阳平物流中心建设项目， 总投资35亿元。</w:t>
                      </w:r>
                      <w:r>
                        <w:rPr>
                          <w:rFonts w:hint="eastAsia" w:ascii="楷体_GB2312" w:hAnsi="仿宋" w:eastAsia="楷体_GB2312"/>
                          <w:b/>
                          <w:sz w:val="21"/>
                          <w:szCs w:val="21"/>
                        </w:rPr>
                        <w:t>（二）商贸（7个）</w:t>
                      </w:r>
                      <w:r>
                        <w:rPr>
                          <w:rFonts w:hint="eastAsia" w:ascii="楷体_GB2312" w:hAnsi="仿宋" w:eastAsia="楷体_GB2312"/>
                          <w:sz w:val="21"/>
                          <w:szCs w:val="21"/>
                        </w:rPr>
                        <w:t>1.眉县综合市场项目, 总投资30.5亿元；2.陈仓区城市商业综合体项目, 总投资108亿元；3五洲中央公园, 总投资25亿元；4.渭滨区商贸改造提升项目, 总投资23亿元；5.岐山县城市综合体建设项目，总投资30亿元；6.旧城商业改造提升项目，总投资26.5亿元；7.宝鸡中央金融文化商务区，总投资40亿元。</w:t>
                      </w:r>
                    </w:p>
                  </w:txbxContent>
                </v:textbox>
                <w10:wrap type="square"/>
              </v:shape>
            </w:pict>
          </mc:Fallback>
        </mc:AlternateContent>
      </w:r>
    </w:p>
    <w:p>
      <w:pPr>
        <w:spacing w:after="0" w:line="560" w:lineRule="exact"/>
        <w:ind w:firstLine="431" w:firstLineChars="196"/>
        <w:jc w:val="both"/>
        <w:sectPr>
          <w:pgSz w:w="11906" w:h="16838"/>
          <w:pgMar w:top="1418" w:right="1588" w:bottom="1418" w:left="1588" w:header="851" w:footer="397" w:gutter="0"/>
          <w:cols w:space="425" w:num="1"/>
          <w:docGrid w:type="lines" w:linePitch="312" w:charSpace="0"/>
        </w:sectPr>
      </w:pPr>
    </w:p>
    <w:p>
      <w:pPr>
        <w:spacing w:after="0" w:line="560" w:lineRule="exact"/>
        <w:ind w:firstLine="431" w:firstLineChars="196"/>
        <w:jc w:val="both"/>
      </w:pPr>
      <w:r>
        <w:rPr>
          <w:lang/>
        </w:rPr>
        <mc:AlternateContent>
          <mc:Choice Requires="wps">
            <w:drawing>
              <wp:anchor distT="45720" distB="45720" distL="114300" distR="114300" simplePos="0" relativeHeight="251694080" behindDoc="0" locked="0" layoutInCell="1" allowOverlap="1">
                <wp:simplePos x="0" y="0"/>
                <wp:positionH relativeFrom="margin">
                  <wp:posOffset>-20320</wp:posOffset>
                </wp:positionH>
                <wp:positionV relativeFrom="margin">
                  <wp:posOffset>12700</wp:posOffset>
                </wp:positionV>
                <wp:extent cx="5526405" cy="7786370"/>
                <wp:effectExtent l="4445" t="4445" r="12700" b="19685"/>
                <wp:wrapSquare wrapText="bothSides"/>
                <wp:docPr id="35" name="文本框 2"/>
                <wp:cNvGraphicFramePr/>
                <a:graphic xmlns:a="http://schemas.openxmlformats.org/drawingml/2006/main">
                  <a:graphicData uri="http://schemas.microsoft.com/office/word/2010/wordprocessingShape">
                    <wps:wsp>
                      <wps:cNvSpPr txBox="1"/>
                      <wps:spPr>
                        <a:xfrm>
                          <a:off x="0" y="0"/>
                          <a:ext cx="5526405" cy="77863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20" w:lineRule="exact"/>
                              <w:textAlignment w:val="baseline"/>
                              <w:rPr>
                                <w:rFonts w:hint="eastAsia" w:ascii="黑体" w:hAnsi="黑体" w:eastAsia="黑体"/>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9</w:t>
                            </w:r>
                          </w:p>
                          <w:p>
                            <w:pPr>
                              <w:spacing w:after="0" w:line="320" w:lineRule="exact"/>
                              <w:jc w:val="center"/>
                              <w:textAlignment w:val="baseline"/>
                              <w:rPr>
                                <w:rFonts w:ascii="黑体" w:hAnsi="黑体" w:eastAsia="黑体"/>
                                <w:b/>
                                <w:sz w:val="21"/>
                                <w:szCs w:val="21"/>
                              </w:rPr>
                            </w:pPr>
                            <w:r>
                              <w:rPr>
                                <w:rFonts w:hint="eastAsia" w:ascii="黑体" w:hAnsi="黑体" w:eastAsia="黑体"/>
                                <w:b/>
                                <w:sz w:val="21"/>
                                <w:szCs w:val="21"/>
                              </w:rPr>
                              <w:t>“十三五”20亿元以上重大建设项目（</w:t>
                            </w:r>
                            <w:r>
                              <w:rPr>
                                <w:rFonts w:ascii="黑体" w:hAnsi="黑体" w:eastAsia="黑体"/>
                                <w:b/>
                                <w:sz w:val="21"/>
                                <w:szCs w:val="21"/>
                              </w:rPr>
                              <w:t>2</w:t>
                            </w:r>
                            <w:r>
                              <w:rPr>
                                <w:rFonts w:hint="eastAsia" w:ascii="黑体" w:hAnsi="黑体" w:eastAsia="黑体"/>
                                <w:b/>
                                <w:sz w:val="21"/>
                                <w:szCs w:val="21"/>
                              </w:rPr>
                              <w:t>）（共</w:t>
                            </w:r>
                            <w:r>
                              <w:rPr>
                                <w:rFonts w:ascii="黑体" w:hAnsi="黑体" w:eastAsia="黑体"/>
                                <w:b/>
                                <w:sz w:val="21"/>
                                <w:szCs w:val="21"/>
                              </w:rPr>
                              <w:t>128</w:t>
                            </w:r>
                            <w:r>
                              <w:rPr>
                                <w:rFonts w:hint="eastAsia" w:ascii="黑体" w:hAnsi="黑体" w:eastAsia="黑体"/>
                                <w:b/>
                                <w:sz w:val="21"/>
                                <w:szCs w:val="21"/>
                              </w:rPr>
                              <w:t>个）</w:t>
                            </w:r>
                          </w:p>
                          <w:p>
                            <w:pPr>
                              <w:spacing w:after="0" w:line="320" w:lineRule="exact"/>
                              <w:ind w:firstLine="422" w:firstLineChars="200"/>
                              <w:jc w:val="both"/>
                              <w:textAlignment w:val="baseline"/>
                              <w:rPr>
                                <w:rFonts w:hint="eastAsia" w:ascii="楷体_GB2312" w:hAnsi="仿宋" w:eastAsia="楷体_GB2312"/>
                                <w:sz w:val="21"/>
                                <w:szCs w:val="21"/>
                              </w:rPr>
                            </w:pPr>
                            <w:r>
                              <w:rPr>
                                <w:rFonts w:hint="eastAsia" w:ascii="黑体" w:hAnsi="黑体" w:eastAsia="黑体"/>
                                <w:b/>
                                <w:sz w:val="21"/>
                                <w:szCs w:val="21"/>
                              </w:rPr>
                              <w:t>四、文化旅游精品工程</w:t>
                            </w:r>
                            <w:r>
                              <w:rPr>
                                <w:rFonts w:hint="eastAsia" w:ascii="黑体" w:hAnsi="黑体" w:eastAsia="黑体"/>
                              </w:rPr>
                              <w:t>：</w:t>
                            </w:r>
                            <w:r>
                              <w:rPr>
                                <w:rFonts w:hint="eastAsia" w:ascii="楷体_GB2312" w:hAnsi="仿宋" w:eastAsia="楷体_GB2312"/>
                                <w:b/>
                                <w:sz w:val="21"/>
                                <w:szCs w:val="21"/>
                              </w:rPr>
                              <w:t>（一）都市休闲旅游项目（4个）</w:t>
                            </w:r>
                            <w:r>
                              <w:rPr>
                                <w:rFonts w:hint="eastAsia" w:ascii="楷体_GB2312" w:hAnsi="仿宋" w:eastAsia="楷体_GB2312"/>
                                <w:sz w:val="21"/>
                                <w:szCs w:val="21"/>
                              </w:rPr>
                              <w:t>1.茵香河文化旅游区项目, 总投资58.7亿元；2.北坡公园文化休闲配套项目, 总投资20亿元；3.大水川灵宝峡景区开发建设项目，总投资27.6亿元；4.天台山旅游综合开发项目，总投资20亿元。</w:t>
                            </w:r>
                            <w:r>
                              <w:rPr>
                                <w:rFonts w:hint="eastAsia" w:ascii="楷体_GB2312" w:hAnsi="仿宋" w:eastAsia="楷体_GB2312"/>
                                <w:b/>
                                <w:sz w:val="21"/>
                                <w:szCs w:val="21"/>
                              </w:rPr>
                              <w:t>（二）渭河沿岸人文休闲项目（7个）</w:t>
                            </w:r>
                            <w:r>
                              <w:rPr>
                                <w:rFonts w:hint="eastAsia" w:ascii="楷体_GB2312" w:hAnsi="仿宋" w:eastAsia="楷体_GB2312"/>
                                <w:sz w:val="21"/>
                                <w:szCs w:val="21"/>
                              </w:rPr>
                              <w:t>1.法门寺佛文化景区提升项目, 总投资80亿元；2.大美佛汤城建设项目，总投资56亿元；3.扶风文化旅游产业示范园建设项目，总投资50亿元；4.七星河湿地公园旅游综合开发建设项目, 总投资26亿元； 5.红河谷景区综合开发项目, 总投资20.5亿元；6.太白山旅游区开发项目, 总投资20.5亿元；7.中华周城项目, 总投资20亿元。</w:t>
                            </w:r>
                            <w:r>
                              <w:rPr>
                                <w:rFonts w:hint="eastAsia" w:ascii="楷体_GB2312" w:hAnsi="仿宋" w:eastAsia="楷体_GB2312"/>
                                <w:b/>
                                <w:sz w:val="21"/>
                                <w:szCs w:val="21"/>
                              </w:rPr>
                              <w:t>（三）特色县区旅游项目（</w:t>
                            </w:r>
                            <w:r>
                              <w:rPr>
                                <w:rFonts w:ascii="楷体_GB2312" w:hAnsi="仿宋" w:eastAsia="楷体_GB2312"/>
                                <w:b/>
                                <w:sz w:val="21"/>
                                <w:szCs w:val="21"/>
                              </w:rPr>
                              <w:t>6</w:t>
                            </w:r>
                            <w:r>
                              <w:rPr>
                                <w:rFonts w:hint="eastAsia" w:ascii="楷体_GB2312" w:hAnsi="仿宋" w:eastAsia="楷体_GB2312"/>
                                <w:b/>
                                <w:sz w:val="21"/>
                                <w:szCs w:val="21"/>
                              </w:rPr>
                              <w:t>个）</w:t>
                            </w:r>
                            <w:r>
                              <w:rPr>
                                <w:rFonts w:hint="eastAsia" w:ascii="楷体_GB2312" w:hAnsi="仿宋" w:eastAsia="楷体_GB2312"/>
                                <w:sz w:val="21"/>
                                <w:szCs w:val="21"/>
                              </w:rPr>
                              <w:t>1.太白县黄柏塬</w:t>
                            </w:r>
                            <w:r>
                              <w:rPr>
                                <w:rFonts w:ascii="楷体_GB2312" w:hAnsi="仿宋" w:eastAsia="楷体_GB2312"/>
                                <w:sz w:val="21"/>
                                <w:szCs w:val="21"/>
                              </w:rPr>
                              <w:t>景区</w:t>
                            </w:r>
                            <w:r>
                              <w:rPr>
                                <w:rFonts w:hint="eastAsia" w:ascii="楷体_GB2312" w:hAnsi="仿宋" w:eastAsia="楷体_GB2312"/>
                                <w:sz w:val="21"/>
                                <w:szCs w:val="21"/>
                              </w:rPr>
                              <w:t>开发，总投资20亿元；2.太白县城区5A级景区建设项目, 总投资20亿元；3.太白国际健康城项目, 总投资20亿元；4.龙门洞道文化产业园建设项目, 总投资20亿元；5.隋唐九成宫文化旅游园区建设项目, 总投资22亿元；6.关山5A级</w:t>
                            </w:r>
                            <w:r>
                              <w:rPr>
                                <w:rFonts w:ascii="楷体_GB2312" w:hAnsi="仿宋" w:eastAsia="楷体_GB2312"/>
                                <w:sz w:val="21"/>
                                <w:szCs w:val="21"/>
                              </w:rPr>
                              <w:t>景区建设项目，总投资</w:t>
                            </w:r>
                            <w:r>
                              <w:rPr>
                                <w:rFonts w:hint="eastAsia" w:ascii="楷体_GB2312" w:hAnsi="仿宋" w:eastAsia="楷体_GB2312"/>
                                <w:sz w:val="21"/>
                                <w:szCs w:val="21"/>
                              </w:rPr>
                              <w:t>21.7亿元。</w:t>
                            </w:r>
                          </w:p>
                          <w:p>
                            <w:pPr>
                              <w:spacing w:after="0" w:line="320" w:lineRule="exact"/>
                              <w:ind w:firstLine="422" w:firstLineChars="200"/>
                              <w:jc w:val="both"/>
                              <w:textAlignment w:val="baseline"/>
                              <w:rPr>
                                <w:rFonts w:ascii="黑体" w:hAnsi="黑体" w:eastAsia="黑体"/>
                                <w:b/>
                                <w:sz w:val="21"/>
                                <w:szCs w:val="21"/>
                              </w:rPr>
                            </w:pPr>
                            <w:r>
                              <w:rPr>
                                <w:rFonts w:hint="eastAsia" w:ascii="黑体" w:hAnsi="黑体" w:eastAsia="黑体"/>
                                <w:b/>
                                <w:sz w:val="21"/>
                                <w:szCs w:val="21"/>
                              </w:rPr>
                              <w:t>五、交通枢纽提升工程</w:t>
                            </w:r>
                            <w:r>
                              <w:rPr>
                                <w:rFonts w:hint="eastAsia" w:ascii="黑体" w:hAnsi="黑体" w:eastAsia="黑体"/>
                              </w:rPr>
                              <w:t>：</w:t>
                            </w:r>
                            <w:r>
                              <w:rPr>
                                <w:rFonts w:hint="eastAsia" w:ascii="楷体_GB2312" w:hAnsi="仿宋" w:eastAsia="楷体_GB2312"/>
                                <w:b/>
                                <w:sz w:val="21"/>
                                <w:szCs w:val="21"/>
                              </w:rPr>
                              <w:t>（一）公路建设（</w:t>
                            </w:r>
                            <w:r>
                              <w:rPr>
                                <w:rFonts w:ascii="楷体_GB2312" w:hAnsi="仿宋" w:eastAsia="楷体_GB2312"/>
                                <w:b/>
                                <w:sz w:val="21"/>
                                <w:szCs w:val="21"/>
                              </w:rPr>
                              <w:t>10</w:t>
                            </w:r>
                            <w:r>
                              <w:rPr>
                                <w:rFonts w:hint="eastAsia" w:ascii="楷体_GB2312" w:hAnsi="仿宋" w:eastAsia="楷体_GB2312"/>
                                <w:b/>
                                <w:sz w:val="21"/>
                                <w:szCs w:val="21"/>
                              </w:rPr>
                              <w:t>个）</w:t>
                            </w:r>
                            <w:r>
                              <w:rPr>
                                <w:rFonts w:hint="eastAsia" w:ascii="楷体_GB2312" w:hAnsi="仿宋" w:eastAsia="楷体_GB2312"/>
                                <w:sz w:val="21"/>
                                <w:szCs w:val="21"/>
                              </w:rPr>
                              <w:t>1.宝汉高速， 总投资163亿元；2.宝鸡市城市轻轨项目，总投资120亿元；3.关中城际铁路宝鸡段，总投资120亿元；4.合凤高速（凤翔至旬邑段），总投资67亿元；5.京昆</w:t>
                            </w:r>
                            <w:r>
                              <w:rPr>
                                <w:rFonts w:ascii="楷体_GB2312" w:hAnsi="仿宋" w:eastAsia="楷体_GB2312"/>
                                <w:sz w:val="21"/>
                                <w:szCs w:val="21"/>
                              </w:rPr>
                              <w:t>高速秦岭复线建设项目，总投资</w:t>
                            </w:r>
                            <w:r>
                              <w:rPr>
                                <w:rFonts w:hint="eastAsia" w:ascii="楷体_GB2312" w:hAnsi="仿宋" w:eastAsia="楷体_GB2312"/>
                                <w:sz w:val="21"/>
                                <w:szCs w:val="21"/>
                              </w:rPr>
                              <w:t>80亿元</w:t>
                            </w:r>
                            <w:r>
                              <w:rPr>
                                <w:rFonts w:ascii="楷体_GB2312" w:hAnsi="仿宋" w:eastAsia="楷体_GB2312"/>
                                <w:sz w:val="21"/>
                                <w:szCs w:val="21"/>
                              </w:rPr>
                              <w:t>；</w:t>
                            </w:r>
                            <w:r>
                              <w:rPr>
                                <w:rFonts w:hint="eastAsia" w:ascii="楷体_GB2312" w:hAnsi="仿宋" w:eastAsia="楷体_GB2312"/>
                                <w:sz w:val="21"/>
                                <w:szCs w:val="21"/>
                              </w:rPr>
                              <w:t>6北绕城高速公路项目，总投资50亿元；</w:t>
                            </w:r>
                            <w:r>
                              <w:rPr>
                                <w:rFonts w:ascii="楷体_GB2312" w:hAnsi="仿宋" w:eastAsia="楷体_GB2312"/>
                                <w:sz w:val="21"/>
                                <w:szCs w:val="21"/>
                              </w:rPr>
                              <w:t>7</w:t>
                            </w:r>
                            <w:r>
                              <w:rPr>
                                <w:rFonts w:hint="eastAsia" w:ascii="楷体_GB2312" w:hAnsi="仿宋" w:eastAsia="楷体_GB2312"/>
                                <w:sz w:val="21"/>
                                <w:szCs w:val="21"/>
                              </w:rPr>
                              <w:t>.连霍高速宝鸡市区过境线，总投资50亿元；</w:t>
                            </w:r>
                            <w:r>
                              <w:rPr>
                                <w:rFonts w:ascii="楷体_GB2312" w:hAnsi="仿宋" w:eastAsia="楷体_GB2312"/>
                                <w:sz w:val="21"/>
                                <w:szCs w:val="21"/>
                              </w:rPr>
                              <w:t>8</w:t>
                            </w:r>
                            <w:r>
                              <w:rPr>
                                <w:rFonts w:hint="eastAsia" w:ascii="楷体_GB2312" w:hAnsi="仿宋" w:eastAsia="楷体_GB2312"/>
                                <w:sz w:val="21"/>
                                <w:szCs w:val="21"/>
                              </w:rPr>
                              <w:t>.机场高速，总投资22亿元；</w:t>
                            </w:r>
                            <w:r>
                              <w:rPr>
                                <w:rFonts w:ascii="楷体_GB2312" w:hAnsi="仿宋" w:eastAsia="楷体_GB2312"/>
                                <w:sz w:val="21"/>
                                <w:szCs w:val="21"/>
                              </w:rPr>
                              <w:t>9</w:t>
                            </w:r>
                            <w:r>
                              <w:rPr>
                                <w:rFonts w:hint="eastAsia" w:ascii="楷体_GB2312" w:hAnsi="仿宋" w:eastAsia="楷体_GB2312"/>
                                <w:sz w:val="21"/>
                                <w:szCs w:val="21"/>
                              </w:rPr>
                              <w:t>.宝鸡至西峰高速公路千阳段，总投资60亿元；</w:t>
                            </w:r>
                            <w:r>
                              <w:rPr>
                                <w:rFonts w:ascii="楷体_GB2312" w:hAnsi="仿宋" w:eastAsia="楷体_GB2312"/>
                                <w:sz w:val="21"/>
                                <w:szCs w:val="21"/>
                              </w:rPr>
                              <w:t>10</w:t>
                            </w:r>
                            <w:r>
                              <w:rPr>
                                <w:rFonts w:hint="eastAsia" w:ascii="楷体_GB2312" w:hAnsi="仿宋" w:eastAsia="楷体_GB2312"/>
                                <w:sz w:val="21"/>
                                <w:szCs w:val="21"/>
                              </w:rPr>
                              <w:t>.麟游县</w:t>
                            </w:r>
                            <w:r>
                              <w:rPr>
                                <w:rFonts w:ascii="楷体_GB2312" w:hAnsi="仿宋" w:eastAsia="楷体_GB2312"/>
                                <w:sz w:val="21"/>
                                <w:szCs w:val="21"/>
                              </w:rPr>
                              <w:t>旅游轨道交通建设项目，总投资</w:t>
                            </w:r>
                            <w:r>
                              <w:rPr>
                                <w:rFonts w:hint="eastAsia" w:ascii="楷体_GB2312" w:hAnsi="仿宋" w:eastAsia="楷体_GB2312"/>
                                <w:sz w:val="21"/>
                                <w:szCs w:val="21"/>
                              </w:rPr>
                              <w:t>20亿元。</w:t>
                            </w:r>
                            <w:r>
                              <w:rPr>
                                <w:rFonts w:hint="eastAsia" w:ascii="楷体_GB2312" w:hAnsi="仿宋" w:eastAsia="楷体_GB2312"/>
                                <w:b/>
                                <w:sz w:val="21"/>
                                <w:szCs w:val="21"/>
                              </w:rPr>
                              <w:t>（二）铁路建设（4个）</w:t>
                            </w:r>
                            <w:r>
                              <w:rPr>
                                <w:rFonts w:hint="eastAsia" w:ascii="楷体_GB2312" w:hAnsi="仿宋" w:eastAsia="楷体_GB2312"/>
                                <w:sz w:val="21"/>
                                <w:szCs w:val="21"/>
                              </w:rPr>
                              <w:t>1.宝中铁路复线，总投资191.3亿元；2.宝鸡-汉中-巴中-南充铁路，总投资160亿元；3.宝麟铁路延伸连接西平线，总投资50.4亿元；4.宝兰客运专线，总投资43.8亿元。</w:t>
                            </w:r>
                          </w:p>
                          <w:p>
                            <w:pPr>
                              <w:spacing w:after="0" w:line="320" w:lineRule="exact"/>
                              <w:ind w:firstLine="422" w:firstLineChars="200"/>
                              <w:jc w:val="both"/>
                              <w:textAlignment w:val="baseline"/>
                              <w:rPr>
                                <w:rFonts w:ascii="黑体" w:hAnsi="黑体" w:eastAsia="黑体"/>
                                <w:b/>
                                <w:sz w:val="21"/>
                                <w:szCs w:val="21"/>
                              </w:rPr>
                            </w:pPr>
                            <w:r>
                              <w:rPr>
                                <w:rFonts w:hint="eastAsia" w:ascii="黑体" w:hAnsi="黑体" w:eastAsia="黑体"/>
                                <w:b/>
                                <w:sz w:val="21"/>
                                <w:szCs w:val="21"/>
                              </w:rPr>
                              <w:t>六、基础设施建设工程：</w:t>
                            </w:r>
                            <w:r>
                              <w:rPr>
                                <w:rFonts w:hint="eastAsia" w:ascii="楷体_GB2312" w:hAnsi="仿宋" w:eastAsia="楷体_GB2312"/>
                                <w:b/>
                                <w:sz w:val="21"/>
                                <w:szCs w:val="21"/>
                              </w:rPr>
                              <w:t>（一）市政公共设施建设项目（6个）</w:t>
                            </w:r>
                            <w:r>
                              <w:rPr>
                                <w:rFonts w:hint="eastAsia" w:ascii="楷体_GB2312" w:hAnsi="仿宋" w:eastAsia="楷体_GB2312"/>
                                <w:sz w:val="21"/>
                                <w:szCs w:val="21"/>
                              </w:rPr>
                              <w:t>1.宝鸡市雨水排水设施建设项目，总投资48.6亿元；2.城市防涝排水项目，总投资24.4亿元；3.蟠龙新区“海绵城市”试点建设项目，总投资20亿元；4.智慧城市信息化建设项目，总投资20亿元；5.城市综合管廊建设项目，总投资20亿元；6.快速公交线及停车场建设，总投资25亿元。</w:t>
                            </w:r>
                            <w:r>
                              <w:rPr>
                                <w:rFonts w:hint="eastAsia" w:ascii="楷体_GB2312" w:hAnsi="仿宋" w:eastAsia="楷体_GB2312"/>
                                <w:b/>
                                <w:sz w:val="21"/>
                                <w:szCs w:val="21"/>
                              </w:rPr>
                              <w:t>（二）城镇化建设（13个）</w:t>
                            </w:r>
                            <w:r>
                              <w:rPr>
                                <w:rFonts w:hint="eastAsia" w:ascii="楷体_GB2312" w:hAnsi="仿宋" w:eastAsia="楷体_GB2312"/>
                                <w:sz w:val="21"/>
                                <w:szCs w:val="21"/>
                              </w:rPr>
                              <w:t>1.蟠龙新区整片区开发建设项目，总投资300亿元；2.金台区棚户区改造项目，总投资31.3亿元；3.金台区城市综合体项目，总投资25亿元；4.金台区旧城改造项目，总投资42.5亿元；5.渭滨区住房建设项目，总投资60.3亿元；6.渭滨工业园住房项目，总投资40亿元；7.高新区住房建设项目，总投资39.4亿元；8.宝鸡市火车南站片区开发项目，总投资38.1亿元；9.新东岭城市综合体项目，总投资230亿元；10.金台区城中村改造项目，总投资154亿元；11.西府MOCA项目，总投资37.5亿元；12.高新五路东侧商业地产项目，总投资23亿元；13.渭滨区城中村改造项目，总投资38.5亿元。</w:t>
                            </w:r>
                          </w:p>
                          <w:p>
                            <w:pPr>
                              <w:spacing w:after="0" w:line="320" w:lineRule="exact"/>
                              <w:ind w:firstLine="422" w:firstLineChars="200"/>
                              <w:jc w:val="both"/>
                              <w:textAlignment w:val="baseline"/>
                              <w:rPr>
                                <w:rFonts w:hint="eastAsia" w:ascii="楷体_GB2312" w:hAnsi="仿宋" w:eastAsia="楷体_GB2312"/>
                                <w:sz w:val="21"/>
                                <w:szCs w:val="21"/>
                              </w:rPr>
                            </w:pPr>
                            <w:r>
                              <w:rPr>
                                <w:rFonts w:hint="eastAsia" w:ascii="黑体" w:hAnsi="黑体" w:eastAsia="黑体"/>
                                <w:b/>
                                <w:sz w:val="21"/>
                                <w:szCs w:val="21"/>
                              </w:rPr>
                              <w:t>七、生态文明工程：</w:t>
                            </w:r>
                            <w:r>
                              <w:rPr>
                                <w:rFonts w:hint="eastAsia" w:ascii="楷体_GB2312" w:hAnsi="仿宋" w:eastAsia="楷体_GB2312"/>
                                <w:sz w:val="21"/>
                                <w:szCs w:val="21"/>
                              </w:rPr>
                              <w:t>1.宝鸡重点水源工程，总投资94.9亿元；2.段家峡水库加坝扩容工程，总投资20.5亿元；3.水生态治理工程，20亿元；4.宝鸡市沿渭28条河流支流生态治理工程，总投资20亿元。</w:t>
                            </w:r>
                          </w:p>
                          <w:p>
                            <w:pPr>
                              <w:spacing w:after="0" w:line="320" w:lineRule="exact"/>
                              <w:ind w:firstLine="527" w:firstLineChars="250"/>
                              <w:jc w:val="both"/>
                              <w:textAlignment w:val="baseline"/>
                            </w:pPr>
                            <w:r>
                              <w:rPr>
                                <w:rFonts w:hint="eastAsia" w:ascii="黑体" w:hAnsi="黑体" w:eastAsia="黑体"/>
                                <w:b/>
                                <w:sz w:val="21"/>
                                <w:szCs w:val="21"/>
                              </w:rPr>
                              <w:t>八、社会民生保障工程：</w:t>
                            </w:r>
                            <w:r>
                              <w:rPr>
                                <w:rFonts w:hint="eastAsia" w:ascii="楷体_GB2312" w:hAnsi="仿宋" w:eastAsia="楷体_GB2312"/>
                                <w:sz w:val="21"/>
                                <w:szCs w:val="21"/>
                              </w:rPr>
                              <w:t>1.“十三五”棚户区改造建设项目，总投资120亿元；2.“十三五”公租房住房建设项目，总投资45亿元。</w:t>
                            </w:r>
                          </w:p>
                        </w:txbxContent>
                      </wps:txbx>
                      <wps:bodyPr wrap="square" upright="1"/>
                    </wps:wsp>
                  </a:graphicData>
                </a:graphic>
              </wp:anchor>
            </w:drawing>
          </mc:Choice>
          <mc:Fallback>
            <w:pict>
              <v:shape id="文本框 2" o:spid="_x0000_s1026" o:spt="202" type="#_x0000_t202" style="position:absolute;left:0pt;margin-left:-1.6pt;margin-top:1pt;height:613.1pt;width:435.15pt;mso-position-horizontal-relative:margin;mso-position-vertical-relative:margin;mso-wrap-distance-bottom:3.6pt;mso-wrap-distance-left:9pt;mso-wrap-distance-right:9pt;mso-wrap-distance-top:3.6pt;z-index:251694080;mso-width-relative:margin;mso-height-relative:margin;" fillcolor="#FFFFFF" filled="t" stroked="t" coordsize="21600,21600" o:gfxdata="UEsDBAoAAAAAAIdO4kAAAAAAAAAAAAAAAAAEAAAAZHJzL1BLAwQUAAAACACHTuJAhKJjU9gAAAAJ&#10;AQAADwAAAGRycy9kb3ducmV2LnhtbE2PwU7DMBBE70j8g7VIXFDrxEVpCHF6QALBDQqCqxtvk4h4&#10;HWw3LX/PcoLjap5m39SbkxvFjCEOnjTkywwEUuvtQJ2Gt9f7RQkiJkPWjJ5QwzdG2DTnZ7WprD/S&#10;C87b1AkuoVgZDX1KUyVlbHt0Ji79hMTZ3gdnEp+hkzaYI5e7UaosK6QzA/GH3kx412P7uT04DeX1&#10;4/wRn1bP722xH2/S1Xp++ApaX17k2S2IhKf0B8OvPqtDw047fyAbxahhsVJMalC8iOOyWOcgdswp&#10;VSqQTS3/L2h+AFBLAwQUAAAACACHTuJAcMd+nBgCAABGBAAADgAAAGRycy9lMm9Eb2MueG1srVNL&#10;jhMxEN0jcQfLe9I9GZIMrXRGghA2CJAGDuDY7m5L/uFy0p0LwA1YsWHPuXIOyk4m811kQS/cZbv8&#10;qt6rqvn1YDTZygDK2ZpejEpKpOVOKNvW9NvX1asrSiAyK5h2VtZ0J4FeL16+mPe+kmPXOS1kIAhi&#10;oep9TbsYfVUUwDtpGIyclxYvGxcMi7gNbSEC6xHd6GJcltOid0H44LgEwNPl4ZIeEcM5gK5pFJdL&#10;xzdG2nhADVKziJSgUx7oImfbNJLHz00DMhJdU2Qa84pB0F6ntVjMWdUG5jvFjymwc1J4xMkwZTHo&#10;CWrJIiOboJ5AGcWDA9fEEXemOBDJiiCLi/KRNjcd8zJzQanBn0SH/wfLP22/BKJETS8nlFhmsOL7&#10;Xz/3v//u//wg46RP76FCtxuPjnF46wbsmttzwMNEe2iCSX8kRPAe1d2d1JVDJBwPJ5Px9HWJUTje&#10;zWZX08tZ1r+4e+4DxA/SGZKMmgYsX1aVbT9CxFTQ9dYlRQOnlVgprfMmtOt3OpAtw1Kv8peyxCcP&#10;3LQlfU3fTMYpEYb922DfoGk8agC2zfEevID7wGX+ngNOiS0ZdIcEMkJyY5VRUYZsdZKJ91aQuPMo&#10;s8XxoikZIwUlWuI0Jit7Rqb0OZ7ITlskmWp0qEWy4rAeECaZayd2WLceOxzpfd+wgDE3Pqi2Q4Fz&#10;HfNjbK+s1XEUUv/e3+cQd+O/+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EomNT2AAAAAkBAAAP&#10;AAAAAAAAAAEAIAAAACIAAABkcnMvZG93bnJldi54bWxQSwECFAAUAAAACACHTuJAcMd+nBgCAABG&#10;BAAADgAAAAAAAAABACAAAAAnAQAAZHJzL2Uyb0RvYy54bWxQSwUGAAAAAAYABgBZAQAAsQUAAAAA&#10;">
                <v:fill on="t" focussize="0,0"/>
                <v:stroke color="#000000" joinstyle="miter"/>
                <v:imagedata o:title=""/>
                <o:lock v:ext="edit" aspectratio="f"/>
                <v:textbox>
                  <w:txbxContent>
                    <w:p>
                      <w:pPr>
                        <w:spacing w:after="0" w:line="320" w:lineRule="exact"/>
                        <w:textAlignment w:val="baseline"/>
                        <w:rPr>
                          <w:rFonts w:hint="eastAsia" w:ascii="黑体" w:hAnsi="黑体" w:eastAsia="黑体"/>
                          <w:sz w:val="21"/>
                          <w:szCs w:val="21"/>
                        </w:rPr>
                      </w:pPr>
                      <w:r>
                        <w:rPr>
                          <w:rFonts w:hint="eastAsia" w:ascii="楷体_GB2312" w:hAnsi="黑体" w:eastAsia="楷体_GB2312" w:cs="仿宋_GB2312"/>
                          <w:b/>
                          <w:bCs/>
                          <w:sz w:val="21"/>
                          <w:szCs w:val="21"/>
                        </w:rPr>
                        <w:t>专栏3</w:t>
                      </w:r>
                      <w:r>
                        <w:rPr>
                          <w:rFonts w:ascii="楷体_GB2312" w:hAnsi="黑体" w:eastAsia="楷体_GB2312" w:cs="仿宋_GB2312"/>
                          <w:b/>
                          <w:bCs/>
                          <w:sz w:val="21"/>
                          <w:szCs w:val="21"/>
                        </w:rPr>
                        <w:t>9</w:t>
                      </w:r>
                    </w:p>
                    <w:p>
                      <w:pPr>
                        <w:spacing w:after="0" w:line="320" w:lineRule="exact"/>
                        <w:jc w:val="center"/>
                        <w:textAlignment w:val="baseline"/>
                        <w:rPr>
                          <w:rFonts w:ascii="黑体" w:hAnsi="黑体" w:eastAsia="黑体"/>
                          <w:b/>
                          <w:sz w:val="21"/>
                          <w:szCs w:val="21"/>
                        </w:rPr>
                      </w:pPr>
                      <w:r>
                        <w:rPr>
                          <w:rFonts w:hint="eastAsia" w:ascii="黑体" w:hAnsi="黑体" w:eastAsia="黑体"/>
                          <w:b/>
                          <w:sz w:val="21"/>
                          <w:szCs w:val="21"/>
                        </w:rPr>
                        <w:t>“十三五”20亿元以上重大建设项目（</w:t>
                      </w:r>
                      <w:r>
                        <w:rPr>
                          <w:rFonts w:ascii="黑体" w:hAnsi="黑体" w:eastAsia="黑体"/>
                          <w:b/>
                          <w:sz w:val="21"/>
                          <w:szCs w:val="21"/>
                        </w:rPr>
                        <w:t>2</w:t>
                      </w:r>
                      <w:r>
                        <w:rPr>
                          <w:rFonts w:hint="eastAsia" w:ascii="黑体" w:hAnsi="黑体" w:eastAsia="黑体"/>
                          <w:b/>
                          <w:sz w:val="21"/>
                          <w:szCs w:val="21"/>
                        </w:rPr>
                        <w:t>）（共</w:t>
                      </w:r>
                      <w:r>
                        <w:rPr>
                          <w:rFonts w:ascii="黑体" w:hAnsi="黑体" w:eastAsia="黑体"/>
                          <w:b/>
                          <w:sz w:val="21"/>
                          <w:szCs w:val="21"/>
                        </w:rPr>
                        <w:t>128</w:t>
                      </w:r>
                      <w:r>
                        <w:rPr>
                          <w:rFonts w:hint="eastAsia" w:ascii="黑体" w:hAnsi="黑体" w:eastAsia="黑体"/>
                          <w:b/>
                          <w:sz w:val="21"/>
                          <w:szCs w:val="21"/>
                        </w:rPr>
                        <w:t>个）</w:t>
                      </w:r>
                    </w:p>
                    <w:p>
                      <w:pPr>
                        <w:spacing w:after="0" w:line="320" w:lineRule="exact"/>
                        <w:ind w:firstLine="422" w:firstLineChars="200"/>
                        <w:jc w:val="both"/>
                        <w:textAlignment w:val="baseline"/>
                        <w:rPr>
                          <w:rFonts w:hint="eastAsia" w:ascii="楷体_GB2312" w:hAnsi="仿宋" w:eastAsia="楷体_GB2312"/>
                          <w:sz w:val="21"/>
                          <w:szCs w:val="21"/>
                        </w:rPr>
                      </w:pPr>
                      <w:r>
                        <w:rPr>
                          <w:rFonts w:hint="eastAsia" w:ascii="黑体" w:hAnsi="黑体" w:eastAsia="黑体"/>
                          <w:b/>
                          <w:sz w:val="21"/>
                          <w:szCs w:val="21"/>
                        </w:rPr>
                        <w:t>四、文化旅游精品工程</w:t>
                      </w:r>
                      <w:r>
                        <w:rPr>
                          <w:rFonts w:hint="eastAsia" w:ascii="黑体" w:hAnsi="黑体" w:eastAsia="黑体"/>
                        </w:rPr>
                        <w:t>：</w:t>
                      </w:r>
                      <w:r>
                        <w:rPr>
                          <w:rFonts w:hint="eastAsia" w:ascii="楷体_GB2312" w:hAnsi="仿宋" w:eastAsia="楷体_GB2312"/>
                          <w:b/>
                          <w:sz w:val="21"/>
                          <w:szCs w:val="21"/>
                        </w:rPr>
                        <w:t>（一）都市休闲旅游项目（4个）</w:t>
                      </w:r>
                      <w:r>
                        <w:rPr>
                          <w:rFonts w:hint="eastAsia" w:ascii="楷体_GB2312" w:hAnsi="仿宋" w:eastAsia="楷体_GB2312"/>
                          <w:sz w:val="21"/>
                          <w:szCs w:val="21"/>
                        </w:rPr>
                        <w:t>1.茵香河文化旅游区项目, 总投资58.7亿元；2.北坡公园文化休闲配套项目, 总投资20亿元；3.大水川灵宝峡景区开发建设项目，总投资27.6亿元；4.天台山旅游综合开发项目，总投资20亿元。</w:t>
                      </w:r>
                      <w:r>
                        <w:rPr>
                          <w:rFonts w:hint="eastAsia" w:ascii="楷体_GB2312" w:hAnsi="仿宋" w:eastAsia="楷体_GB2312"/>
                          <w:b/>
                          <w:sz w:val="21"/>
                          <w:szCs w:val="21"/>
                        </w:rPr>
                        <w:t>（二）渭河沿岸人文休闲项目（7个）</w:t>
                      </w:r>
                      <w:r>
                        <w:rPr>
                          <w:rFonts w:hint="eastAsia" w:ascii="楷体_GB2312" w:hAnsi="仿宋" w:eastAsia="楷体_GB2312"/>
                          <w:sz w:val="21"/>
                          <w:szCs w:val="21"/>
                        </w:rPr>
                        <w:t>1.法门寺佛文化景区提升项目, 总投资80亿元；2.大美佛汤城建设项目，总投资56亿元；3.扶风文化旅游产业示范园建设项目，总投资50亿元；4.七星河湿地公园旅游综合开发建设项目, 总投资26亿元； 5.红河谷景区综合开发项目, 总投资20.5亿元；6.太白山旅游区开发项目, 总投资20.5亿元；7.中华周城项目, 总投资20亿元。</w:t>
                      </w:r>
                      <w:r>
                        <w:rPr>
                          <w:rFonts w:hint="eastAsia" w:ascii="楷体_GB2312" w:hAnsi="仿宋" w:eastAsia="楷体_GB2312"/>
                          <w:b/>
                          <w:sz w:val="21"/>
                          <w:szCs w:val="21"/>
                        </w:rPr>
                        <w:t>（三）特色县区旅游项目（</w:t>
                      </w:r>
                      <w:r>
                        <w:rPr>
                          <w:rFonts w:ascii="楷体_GB2312" w:hAnsi="仿宋" w:eastAsia="楷体_GB2312"/>
                          <w:b/>
                          <w:sz w:val="21"/>
                          <w:szCs w:val="21"/>
                        </w:rPr>
                        <w:t>6</w:t>
                      </w:r>
                      <w:r>
                        <w:rPr>
                          <w:rFonts w:hint="eastAsia" w:ascii="楷体_GB2312" w:hAnsi="仿宋" w:eastAsia="楷体_GB2312"/>
                          <w:b/>
                          <w:sz w:val="21"/>
                          <w:szCs w:val="21"/>
                        </w:rPr>
                        <w:t>个）</w:t>
                      </w:r>
                      <w:r>
                        <w:rPr>
                          <w:rFonts w:hint="eastAsia" w:ascii="楷体_GB2312" w:hAnsi="仿宋" w:eastAsia="楷体_GB2312"/>
                          <w:sz w:val="21"/>
                          <w:szCs w:val="21"/>
                        </w:rPr>
                        <w:t>1.太白县黄柏塬</w:t>
                      </w:r>
                      <w:r>
                        <w:rPr>
                          <w:rFonts w:ascii="楷体_GB2312" w:hAnsi="仿宋" w:eastAsia="楷体_GB2312"/>
                          <w:sz w:val="21"/>
                          <w:szCs w:val="21"/>
                        </w:rPr>
                        <w:t>景区</w:t>
                      </w:r>
                      <w:r>
                        <w:rPr>
                          <w:rFonts w:hint="eastAsia" w:ascii="楷体_GB2312" w:hAnsi="仿宋" w:eastAsia="楷体_GB2312"/>
                          <w:sz w:val="21"/>
                          <w:szCs w:val="21"/>
                        </w:rPr>
                        <w:t>开发，总投资20亿元；2.太白县城区5A级景区建设项目, 总投资20亿元；3.太白国际健康城项目, 总投资20亿元；4.龙门洞道文化产业园建设项目, 总投资20亿元；5.隋唐九成宫文化旅游园区建设项目, 总投资22亿元；6.关山5A级</w:t>
                      </w:r>
                      <w:r>
                        <w:rPr>
                          <w:rFonts w:ascii="楷体_GB2312" w:hAnsi="仿宋" w:eastAsia="楷体_GB2312"/>
                          <w:sz w:val="21"/>
                          <w:szCs w:val="21"/>
                        </w:rPr>
                        <w:t>景区建设项目，总投资</w:t>
                      </w:r>
                      <w:r>
                        <w:rPr>
                          <w:rFonts w:hint="eastAsia" w:ascii="楷体_GB2312" w:hAnsi="仿宋" w:eastAsia="楷体_GB2312"/>
                          <w:sz w:val="21"/>
                          <w:szCs w:val="21"/>
                        </w:rPr>
                        <w:t>21.7亿元。</w:t>
                      </w:r>
                    </w:p>
                    <w:p>
                      <w:pPr>
                        <w:spacing w:after="0" w:line="320" w:lineRule="exact"/>
                        <w:ind w:firstLine="422" w:firstLineChars="200"/>
                        <w:jc w:val="both"/>
                        <w:textAlignment w:val="baseline"/>
                        <w:rPr>
                          <w:rFonts w:ascii="黑体" w:hAnsi="黑体" w:eastAsia="黑体"/>
                          <w:b/>
                          <w:sz w:val="21"/>
                          <w:szCs w:val="21"/>
                        </w:rPr>
                      </w:pPr>
                      <w:r>
                        <w:rPr>
                          <w:rFonts w:hint="eastAsia" w:ascii="黑体" w:hAnsi="黑体" w:eastAsia="黑体"/>
                          <w:b/>
                          <w:sz w:val="21"/>
                          <w:szCs w:val="21"/>
                        </w:rPr>
                        <w:t>五、交通枢纽提升工程</w:t>
                      </w:r>
                      <w:r>
                        <w:rPr>
                          <w:rFonts w:hint="eastAsia" w:ascii="黑体" w:hAnsi="黑体" w:eastAsia="黑体"/>
                        </w:rPr>
                        <w:t>：</w:t>
                      </w:r>
                      <w:r>
                        <w:rPr>
                          <w:rFonts w:hint="eastAsia" w:ascii="楷体_GB2312" w:hAnsi="仿宋" w:eastAsia="楷体_GB2312"/>
                          <w:b/>
                          <w:sz w:val="21"/>
                          <w:szCs w:val="21"/>
                        </w:rPr>
                        <w:t>（一）公路建设（</w:t>
                      </w:r>
                      <w:r>
                        <w:rPr>
                          <w:rFonts w:ascii="楷体_GB2312" w:hAnsi="仿宋" w:eastAsia="楷体_GB2312"/>
                          <w:b/>
                          <w:sz w:val="21"/>
                          <w:szCs w:val="21"/>
                        </w:rPr>
                        <w:t>10</w:t>
                      </w:r>
                      <w:r>
                        <w:rPr>
                          <w:rFonts w:hint="eastAsia" w:ascii="楷体_GB2312" w:hAnsi="仿宋" w:eastAsia="楷体_GB2312"/>
                          <w:b/>
                          <w:sz w:val="21"/>
                          <w:szCs w:val="21"/>
                        </w:rPr>
                        <w:t>个）</w:t>
                      </w:r>
                      <w:r>
                        <w:rPr>
                          <w:rFonts w:hint="eastAsia" w:ascii="楷体_GB2312" w:hAnsi="仿宋" w:eastAsia="楷体_GB2312"/>
                          <w:sz w:val="21"/>
                          <w:szCs w:val="21"/>
                        </w:rPr>
                        <w:t>1.宝汉高速， 总投资163亿元；2.宝鸡市城市轻轨项目，总投资120亿元；3.关中城际铁路宝鸡段，总投资120亿元；4.合凤高速（凤翔至旬邑段），总投资67亿元；5.京昆</w:t>
                      </w:r>
                      <w:r>
                        <w:rPr>
                          <w:rFonts w:ascii="楷体_GB2312" w:hAnsi="仿宋" w:eastAsia="楷体_GB2312"/>
                          <w:sz w:val="21"/>
                          <w:szCs w:val="21"/>
                        </w:rPr>
                        <w:t>高速秦岭复线建设项目，总投资</w:t>
                      </w:r>
                      <w:r>
                        <w:rPr>
                          <w:rFonts w:hint="eastAsia" w:ascii="楷体_GB2312" w:hAnsi="仿宋" w:eastAsia="楷体_GB2312"/>
                          <w:sz w:val="21"/>
                          <w:szCs w:val="21"/>
                        </w:rPr>
                        <w:t>80亿元</w:t>
                      </w:r>
                      <w:r>
                        <w:rPr>
                          <w:rFonts w:ascii="楷体_GB2312" w:hAnsi="仿宋" w:eastAsia="楷体_GB2312"/>
                          <w:sz w:val="21"/>
                          <w:szCs w:val="21"/>
                        </w:rPr>
                        <w:t>；</w:t>
                      </w:r>
                      <w:r>
                        <w:rPr>
                          <w:rFonts w:hint="eastAsia" w:ascii="楷体_GB2312" w:hAnsi="仿宋" w:eastAsia="楷体_GB2312"/>
                          <w:sz w:val="21"/>
                          <w:szCs w:val="21"/>
                        </w:rPr>
                        <w:t>6北绕城高速公路项目，总投资50亿元；</w:t>
                      </w:r>
                      <w:r>
                        <w:rPr>
                          <w:rFonts w:ascii="楷体_GB2312" w:hAnsi="仿宋" w:eastAsia="楷体_GB2312"/>
                          <w:sz w:val="21"/>
                          <w:szCs w:val="21"/>
                        </w:rPr>
                        <w:t>7</w:t>
                      </w:r>
                      <w:r>
                        <w:rPr>
                          <w:rFonts w:hint="eastAsia" w:ascii="楷体_GB2312" w:hAnsi="仿宋" w:eastAsia="楷体_GB2312"/>
                          <w:sz w:val="21"/>
                          <w:szCs w:val="21"/>
                        </w:rPr>
                        <w:t>.连霍高速宝鸡市区过境线，总投资50亿元；</w:t>
                      </w:r>
                      <w:r>
                        <w:rPr>
                          <w:rFonts w:ascii="楷体_GB2312" w:hAnsi="仿宋" w:eastAsia="楷体_GB2312"/>
                          <w:sz w:val="21"/>
                          <w:szCs w:val="21"/>
                        </w:rPr>
                        <w:t>8</w:t>
                      </w:r>
                      <w:r>
                        <w:rPr>
                          <w:rFonts w:hint="eastAsia" w:ascii="楷体_GB2312" w:hAnsi="仿宋" w:eastAsia="楷体_GB2312"/>
                          <w:sz w:val="21"/>
                          <w:szCs w:val="21"/>
                        </w:rPr>
                        <w:t>.机场高速，总投资22亿元；</w:t>
                      </w:r>
                      <w:r>
                        <w:rPr>
                          <w:rFonts w:ascii="楷体_GB2312" w:hAnsi="仿宋" w:eastAsia="楷体_GB2312"/>
                          <w:sz w:val="21"/>
                          <w:szCs w:val="21"/>
                        </w:rPr>
                        <w:t>9</w:t>
                      </w:r>
                      <w:r>
                        <w:rPr>
                          <w:rFonts w:hint="eastAsia" w:ascii="楷体_GB2312" w:hAnsi="仿宋" w:eastAsia="楷体_GB2312"/>
                          <w:sz w:val="21"/>
                          <w:szCs w:val="21"/>
                        </w:rPr>
                        <w:t>.宝鸡至西峰高速公路千阳段，总投资60亿元；</w:t>
                      </w:r>
                      <w:r>
                        <w:rPr>
                          <w:rFonts w:ascii="楷体_GB2312" w:hAnsi="仿宋" w:eastAsia="楷体_GB2312"/>
                          <w:sz w:val="21"/>
                          <w:szCs w:val="21"/>
                        </w:rPr>
                        <w:t>10</w:t>
                      </w:r>
                      <w:r>
                        <w:rPr>
                          <w:rFonts w:hint="eastAsia" w:ascii="楷体_GB2312" w:hAnsi="仿宋" w:eastAsia="楷体_GB2312"/>
                          <w:sz w:val="21"/>
                          <w:szCs w:val="21"/>
                        </w:rPr>
                        <w:t>.麟游县</w:t>
                      </w:r>
                      <w:r>
                        <w:rPr>
                          <w:rFonts w:ascii="楷体_GB2312" w:hAnsi="仿宋" w:eastAsia="楷体_GB2312"/>
                          <w:sz w:val="21"/>
                          <w:szCs w:val="21"/>
                        </w:rPr>
                        <w:t>旅游轨道交通建设项目，总投资</w:t>
                      </w:r>
                      <w:r>
                        <w:rPr>
                          <w:rFonts w:hint="eastAsia" w:ascii="楷体_GB2312" w:hAnsi="仿宋" w:eastAsia="楷体_GB2312"/>
                          <w:sz w:val="21"/>
                          <w:szCs w:val="21"/>
                        </w:rPr>
                        <w:t>20亿元。</w:t>
                      </w:r>
                      <w:r>
                        <w:rPr>
                          <w:rFonts w:hint="eastAsia" w:ascii="楷体_GB2312" w:hAnsi="仿宋" w:eastAsia="楷体_GB2312"/>
                          <w:b/>
                          <w:sz w:val="21"/>
                          <w:szCs w:val="21"/>
                        </w:rPr>
                        <w:t>（二）铁路建设（4个）</w:t>
                      </w:r>
                      <w:r>
                        <w:rPr>
                          <w:rFonts w:hint="eastAsia" w:ascii="楷体_GB2312" w:hAnsi="仿宋" w:eastAsia="楷体_GB2312"/>
                          <w:sz w:val="21"/>
                          <w:szCs w:val="21"/>
                        </w:rPr>
                        <w:t>1.宝中铁路复线，总投资191.3亿元；2.宝鸡-汉中-巴中-南充铁路，总投资160亿元；3.宝麟铁路延伸连接西平线，总投资50.4亿元；4.宝兰客运专线，总投资43.8亿元。</w:t>
                      </w:r>
                    </w:p>
                    <w:p>
                      <w:pPr>
                        <w:spacing w:after="0" w:line="320" w:lineRule="exact"/>
                        <w:ind w:firstLine="422" w:firstLineChars="200"/>
                        <w:jc w:val="both"/>
                        <w:textAlignment w:val="baseline"/>
                        <w:rPr>
                          <w:rFonts w:ascii="黑体" w:hAnsi="黑体" w:eastAsia="黑体"/>
                          <w:b/>
                          <w:sz w:val="21"/>
                          <w:szCs w:val="21"/>
                        </w:rPr>
                      </w:pPr>
                      <w:r>
                        <w:rPr>
                          <w:rFonts w:hint="eastAsia" w:ascii="黑体" w:hAnsi="黑体" w:eastAsia="黑体"/>
                          <w:b/>
                          <w:sz w:val="21"/>
                          <w:szCs w:val="21"/>
                        </w:rPr>
                        <w:t>六、基础设施建设工程：</w:t>
                      </w:r>
                      <w:r>
                        <w:rPr>
                          <w:rFonts w:hint="eastAsia" w:ascii="楷体_GB2312" w:hAnsi="仿宋" w:eastAsia="楷体_GB2312"/>
                          <w:b/>
                          <w:sz w:val="21"/>
                          <w:szCs w:val="21"/>
                        </w:rPr>
                        <w:t>（一）市政公共设施建设项目（6个）</w:t>
                      </w:r>
                      <w:r>
                        <w:rPr>
                          <w:rFonts w:hint="eastAsia" w:ascii="楷体_GB2312" w:hAnsi="仿宋" w:eastAsia="楷体_GB2312"/>
                          <w:sz w:val="21"/>
                          <w:szCs w:val="21"/>
                        </w:rPr>
                        <w:t>1.宝鸡市雨水排水设施建设项目，总投资48.6亿元；2.城市防涝排水项目，总投资24.4亿元；3.蟠龙新区“海绵城市”试点建设项目，总投资20亿元；4.智慧城市信息化建设项目，总投资20亿元；5.城市综合管廊建设项目，总投资20亿元；6.快速公交线及停车场建设，总投资25亿元。</w:t>
                      </w:r>
                      <w:r>
                        <w:rPr>
                          <w:rFonts w:hint="eastAsia" w:ascii="楷体_GB2312" w:hAnsi="仿宋" w:eastAsia="楷体_GB2312"/>
                          <w:b/>
                          <w:sz w:val="21"/>
                          <w:szCs w:val="21"/>
                        </w:rPr>
                        <w:t>（二）城镇化建设（13个）</w:t>
                      </w:r>
                      <w:r>
                        <w:rPr>
                          <w:rFonts w:hint="eastAsia" w:ascii="楷体_GB2312" w:hAnsi="仿宋" w:eastAsia="楷体_GB2312"/>
                          <w:sz w:val="21"/>
                          <w:szCs w:val="21"/>
                        </w:rPr>
                        <w:t>1.蟠龙新区整片区开发建设项目，总投资300亿元；2.金台区棚户区改造项目，总投资31.3亿元；3.金台区城市综合体项目，总投资25亿元；4.金台区旧城改造项目，总投资42.5亿元；5.渭滨区住房建设项目，总投资60.3亿元；6.渭滨工业园住房项目，总投资40亿元；7.高新区住房建设项目，总投资39.4亿元；8.宝鸡市火车南站片区开发项目，总投资38.1亿元；9.新东岭城市综合体项目，总投资230亿元；10.金台区城中村改造项目，总投资154亿元；11.西府MOCA项目，总投资37.5亿元；12.高新五路东侧商业地产项目，总投资23亿元；13.渭滨区城中村改造项目，总投资38.5亿元。</w:t>
                      </w:r>
                    </w:p>
                    <w:p>
                      <w:pPr>
                        <w:spacing w:after="0" w:line="320" w:lineRule="exact"/>
                        <w:ind w:firstLine="422" w:firstLineChars="200"/>
                        <w:jc w:val="both"/>
                        <w:textAlignment w:val="baseline"/>
                        <w:rPr>
                          <w:rFonts w:hint="eastAsia" w:ascii="楷体_GB2312" w:hAnsi="仿宋" w:eastAsia="楷体_GB2312"/>
                          <w:sz w:val="21"/>
                          <w:szCs w:val="21"/>
                        </w:rPr>
                      </w:pPr>
                      <w:r>
                        <w:rPr>
                          <w:rFonts w:hint="eastAsia" w:ascii="黑体" w:hAnsi="黑体" w:eastAsia="黑体"/>
                          <w:b/>
                          <w:sz w:val="21"/>
                          <w:szCs w:val="21"/>
                        </w:rPr>
                        <w:t>七、生态文明工程：</w:t>
                      </w:r>
                      <w:r>
                        <w:rPr>
                          <w:rFonts w:hint="eastAsia" w:ascii="楷体_GB2312" w:hAnsi="仿宋" w:eastAsia="楷体_GB2312"/>
                          <w:sz w:val="21"/>
                          <w:szCs w:val="21"/>
                        </w:rPr>
                        <w:t>1.宝鸡重点水源工程，总投资94.9亿元；2.段家峡水库加坝扩容工程，总投资20.5亿元；3.水生态治理工程，20亿元；4.宝鸡市沿渭28条河流支流生态治理工程，总投资20亿元。</w:t>
                      </w:r>
                    </w:p>
                    <w:p>
                      <w:pPr>
                        <w:spacing w:after="0" w:line="320" w:lineRule="exact"/>
                        <w:ind w:firstLine="527" w:firstLineChars="250"/>
                        <w:jc w:val="both"/>
                        <w:textAlignment w:val="baseline"/>
                      </w:pPr>
                      <w:r>
                        <w:rPr>
                          <w:rFonts w:hint="eastAsia" w:ascii="黑体" w:hAnsi="黑体" w:eastAsia="黑体"/>
                          <w:b/>
                          <w:sz w:val="21"/>
                          <w:szCs w:val="21"/>
                        </w:rPr>
                        <w:t>八、社会民生保障工程：</w:t>
                      </w:r>
                      <w:r>
                        <w:rPr>
                          <w:rFonts w:hint="eastAsia" w:ascii="楷体_GB2312" w:hAnsi="仿宋" w:eastAsia="楷体_GB2312"/>
                          <w:sz w:val="21"/>
                          <w:szCs w:val="21"/>
                        </w:rPr>
                        <w:t>1.“十三五”棚户区改造建设项目，总投资120亿元；2.“十三五”公租房住房建设项目，总投资45亿元。</w:t>
                      </w:r>
                    </w:p>
                  </w:txbxContent>
                </v:textbox>
                <w10:wrap type="square"/>
              </v:shape>
            </w:pict>
          </mc:Fallback>
        </mc:AlternateContent>
      </w:r>
    </w:p>
    <w:p>
      <w:pPr>
        <w:spacing w:after="0" w:line="560" w:lineRule="exact"/>
        <w:ind w:firstLine="431" w:firstLineChars="196"/>
        <w:jc w:val="both"/>
        <w:sectPr>
          <w:pgSz w:w="11906" w:h="16838"/>
          <w:pgMar w:top="1418" w:right="1588" w:bottom="1418" w:left="1588" w:header="851" w:footer="397" w:gutter="0"/>
          <w:cols w:space="425" w:num="1"/>
          <w:docGrid w:type="lines" w:linePitch="312" w:charSpace="0"/>
        </w:sectPr>
      </w:pPr>
    </w:p>
    <w:p>
      <w:pPr>
        <w:spacing w:after="0" w:line="560" w:lineRule="exact"/>
        <w:ind w:firstLine="431" w:firstLineChars="196"/>
        <w:jc w:val="both"/>
        <w:rPr>
          <w:rFonts w:hint="eastAsia"/>
          <w:vanish/>
        </w:rPr>
      </w:pPr>
    </w:p>
    <w:p>
      <w:pPr>
        <w:spacing w:after="0" w:line="600" w:lineRule="exact"/>
        <w:jc w:val="center"/>
        <w:rPr>
          <w:rFonts w:hint="eastAsia" w:ascii="黑体" w:hAnsi="黑体" w:eastAsia="黑体"/>
          <w:sz w:val="32"/>
          <w:szCs w:val="32"/>
        </w:rPr>
      </w:pPr>
      <w:r>
        <w:rPr>
          <w:rFonts w:hint="eastAsia" w:ascii="黑体" w:hAnsi="黑体" w:eastAsia="黑体"/>
          <w:sz w:val="32"/>
          <w:szCs w:val="32"/>
        </w:rPr>
        <w:t>第五十四章</w:t>
      </w:r>
      <w:r>
        <w:rPr>
          <w:rFonts w:ascii="黑体" w:hAnsi="黑体" w:eastAsia="黑体"/>
          <w:sz w:val="32"/>
          <w:szCs w:val="32"/>
        </w:rPr>
        <w:t xml:space="preserve">  </w:t>
      </w:r>
      <w:r>
        <w:rPr>
          <w:rFonts w:hint="eastAsia" w:ascii="黑体" w:hAnsi="黑体" w:eastAsia="黑体"/>
          <w:sz w:val="32"/>
          <w:szCs w:val="32"/>
        </w:rPr>
        <w:t>强化规划实施</w:t>
      </w:r>
    </w:p>
    <w:p>
      <w:pPr>
        <w:spacing w:after="0" w:line="600" w:lineRule="exact"/>
        <w:jc w:val="center"/>
        <w:rPr>
          <w:rFonts w:hint="eastAsia" w:ascii="楷体_GB2312" w:hAnsi="楷体" w:eastAsia="楷体_GB2312"/>
          <w:b/>
          <w:sz w:val="32"/>
          <w:szCs w:val="32"/>
        </w:rPr>
      </w:pPr>
    </w:p>
    <w:p>
      <w:pPr>
        <w:spacing w:after="0" w:line="600" w:lineRule="exact"/>
        <w:jc w:val="center"/>
        <w:rPr>
          <w:rFonts w:ascii="楷体_GB2312" w:hAnsi="楷体" w:eastAsia="楷体_GB2312"/>
          <w:b/>
          <w:sz w:val="32"/>
          <w:szCs w:val="32"/>
        </w:rPr>
      </w:pPr>
      <w:r>
        <w:rPr>
          <w:rFonts w:hint="eastAsia" w:ascii="楷体_GB2312" w:hAnsi="楷体" w:eastAsia="楷体_GB2312"/>
          <w:b/>
          <w:sz w:val="32"/>
          <w:szCs w:val="32"/>
        </w:rPr>
        <w:t>第一节</w:t>
      </w:r>
      <w:r>
        <w:rPr>
          <w:rFonts w:ascii="楷体_GB2312" w:hAnsi="楷体" w:eastAsia="楷体_GB2312"/>
          <w:b/>
          <w:sz w:val="32"/>
          <w:szCs w:val="32"/>
        </w:rPr>
        <w:t xml:space="preserve">  </w:t>
      </w:r>
      <w:r>
        <w:rPr>
          <w:rFonts w:hint="eastAsia" w:ascii="楷体_GB2312" w:hAnsi="楷体" w:eastAsia="楷体_GB2312"/>
          <w:b/>
          <w:sz w:val="32"/>
          <w:szCs w:val="32"/>
        </w:rPr>
        <w:t>发挥党的领导核心作用</w:t>
      </w:r>
    </w:p>
    <w:p>
      <w:pPr>
        <w:spacing w:after="0" w:line="600" w:lineRule="exact"/>
        <w:ind w:firstLine="640" w:firstLineChars="200"/>
        <w:jc w:val="both"/>
        <w:rPr>
          <w:rFonts w:ascii="楷体" w:hAnsi="楷体" w:eastAsia="楷体"/>
          <w:b/>
          <w:sz w:val="32"/>
          <w:szCs w:val="32"/>
        </w:rPr>
      </w:pPr>
      <w:r>
        <w:rPr>
          <w:rFonts w:hint="eastAsia" w:ascii="仿宋_GB2312" w:eastAsia="仿宋_GB2312"/>
          <w:sz w:val="32"/>
          <w:szCs w:val="32"/>
        </w:rPr>
        <w:t>推动规划顺利实施，必须坚持党的领导，充分发挥党总揽全局、协调各方的领导核心作用，调动一切积极因素，团结一切社会力量，形成推动规划落实的强大合力。坚决贯彻中央、省委和市委的各项决策部署，运用系统思维、专业素养、新的方法谋划推动工作。优化领导干部知识结构和专业结构，提高科学决策、科学管理能力，更好把握形势、破解难题、推动发展。持之以恒落实中央八项规定精神，切实践行“三严三实”，努力建设和维护良好的政治生态。实现全面建成小康社会的宏伟目标，既要充分发挥市场配置资源的决定性作用，又要发挥政府的引导作用，完善决策目标体系、执行责任体系和考核监督体系，科学合理编制专项规划、区域规划和年度计划，分领域、分阶段落实本规划提出的目标和任务，聚合各方面力量，动员各阶层广泛参与，在围绕中心、服务大局中尽职尽责、发挥作用，保障规划有效实施。</w:t>
      </w:r>
    </w:p>
    <w:p>
      <w:pPr>
        <w:spacing w:after="0" w:line="600" w:lineRule="exact"/>
        <w:jc w:val="both"/>
        <w:rPr>
          <w:rFonts w:ascii="楷体" w:hAnsi="楷体" w:eastAsia="楷体"/>
          <w:b/>
          <w:sz w:val="32"/>
          <w:szCs w:val="32"/>
        </w:rPr>
      </w:pPr>
    </w:p>
    <w:p>
      <w:pPr>
        <w:spacing w:after="0" w:line="600" w:lineRule="exact"/>
        <w:jc w:val="center"/>
        <w:rPr>
          <w:rFonts w:ascii="楷体_GB2312" w:hAnsi="楷体" w:eastAsia="楷体_GB2312"/>
          <w:b/>
          <w:sz w:val="32"/>
          <w:szCs w:val="32"/>
        </w:rPr>
      </w:pPr>
      <w:r>
        <w:rPr>
          <w:rFonts w:hint="eastAsia" w:ascii="楷体_GB2312" w:hAnsi="楷体" w:eastAsia="楷体_GB2312"/>
          <w:b/>
          <w:sz w:val="32"/>
          <w:szCs w:val="32"/>
        </w:rPr>
        <w:t>第二节</w:t>
      </w:r>
      <w:r>
        <w:rPr>
          <w:rFonts w:ascii="楷体_GB2312" w:hAnsi="楷体" w:eastAsia="楷体_GB2312"/>
          <w:b/>
          <w:sz w:val="32"/>
          <w:szCs w:val="32"/>
        </w:rPr>
        <w:t xml:space="preserve">  </w:t>
      </w:r>
      <w:r>
        <w:rPr>
          <w:rFonts w:hint="eastAsia" w:ascii="楷体_GB2312" w:hAnsi="楷体" w:eastAsia="楷体_GB2312"/>
          <w:b/>
          <w:sz w:val="32"/>
          <w:szCs w:val="32"/>
        </w:rPr>
        <w:t>加强规划宣传力度</w:t>
      </w:r>
    </w:p>
    <w:p>
      <w:pPr>
        <w:spacing w:after="0" w:line="60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广泛深入宣传规划内容和要求，努力把全市广大干部群众的思想认识统一到市委、市政府总体部署上来，把力量和智慧凝聚到推动宝鸡经济跨越发展、绿色发展和统筹发展上来。通过宣传，深入普及经济基本知识、更新发展观念、营造舆论氛围，积极主动参与到宝鸡经济建设的行动中来，共同为实现全市经济社会跨越发展做出贡献。市属各新闻媒体是宣传宝鸡经济发展总体规划的主阵地，根据各媒体的特点和优势，结合不同时期、不同阶段的工作重点，把日常宣传与形式多样的宣传活动结合起来，把总结成绩、树立先进典型与暴露问题结合起来，深入开展宣传活动。各相关单位结合各自实际，制定相应的宣传工作方案进行及时广泛地宣传。市级</w:t>
      </w:r>
      <w:r>
        <w:rPr>
          <w:rFonts w:ascii="仿宋_GB2312" w:hAnsi="仿宋" w:eastAsia="仿宋_GB2312"/>
          <w:sz w:val="32"/>
          <w:szCs w:val="32"/>
        </w:rPr>
        <w:t>有</w:t>
      </w:r>
      <w:r>
        <w:rPr>
          <w:rFonts w:hint="eastAsia" w:ascii="仿宋_GB2312" w:hAnsi="仿宋" w:eastAsia="仿宋_GB2312"/>
          <w:sz w:val="32"/>
          <w:szCs w:val="32"/>
        </w:rPr>
        <w:t>关部门、社会团体、重点企业及工业园区要结合自身职能和工作特点，组织开展形式多样、丰富多彩的活动，加强对规划实施的宣传。</w:t>
      </w:r>
    </w:p>
    <w:p>
      <w:pPr>
        <w:spacing w:after="0" w:line="600" w:lineRule="exact"/>
        <w:jc w:val="center"/>
        <w:rPr>
          <w:rFonts w:ascii="楷体" w:hAnsi="楷体" w:eastAsia="楷体"/>
          <w:b/>
          <w:sz w:val="32"/>
          <w:szCs w:val="32"/>
        </w:rPr>
      </w:pPr>
    </w:p>
    <w:p>
      <w:pPr>
        <w:spacing w:after="0" w:line="600" w:lineRule="exact"/>
        <w:jc w:val="center"/>
        <w:rPr>
          <w:rFonts w:ascii="楷体_GB2312" w:hAnsi="楷体" w:eastAsia="楷体_GB2312"/>
          <w:b/>
          <w:sz w:val="32"/>
          <w:szCs w:val="32"/>
        </w:rPr>
      </w:pPr>
      <w:r>
        <w:rPr>
          <w:rFonts w:hint="eastAsia" w:ascii="楷体_GB2312" w:hAnsi="楷体" w:eastAsia="楷体_GB2312"/>
          <w:b/>
          <w:sz w:val="32"/>
          <w:szCs w:val="32"/>
        </w:rPr>
        <w:t>第三节</w:t>
      </w:r>
      <w:r>
        <w:rPr>
          <w:rFonts w:ascii="楷体_GB2312" w:hAnsi="楷体" w:eastAsia="楷体_GB2312"/>
          <w:b/>
          <w:sz w:val="32"/>
          <w:szCs w:val="32"/>
        </w:rPr>
        <w:t xml:space="preserve">  </w:t>
      </w:r>
      <w:r>
        <w:rPr>
          <w:rFonts w:hint="eastAsia" w:ascii="楷体_GB2312" w:hAnsi="楷体" w:eastAsia="楷体_GB2312"/>
          <w:b/>
          <w:sz w:val="32"/>
          <w:szCs w:val="32"/>
        </w:rPr>
        <w:t>加强规划目标考核</w:t>
      </w:r>
    </w:p>
    <w:p>
      <w:pPr>
        <w:spacing w:after="0" w:line="600" w:lineRule="exact"/>
        <w:ind w:firstLine="640" w:firstLineChars="200"/>
        <w:jc w:val="both"/>
        <w:rPr>
          <w:rFonts w:hint="eastAsia" w:ascii="黑体" w:hAnsi="黑体" w:eastAsia="黑体"/>
          <w:sz w:val="32"/>
          <w:szCs w:val="32"/>
        </w:rPr>
      </w:pPr>
      <w:r>
        <w:rPr>
          <w:rFonts w:hint="eastAsia" w:ascii="仿宋_GB2312" w:hAnsi="仿宋" w:eastAsia="仿宋_GB2312"/>
          <w:sz w:val="32"/>
          <w:szCs w:val="32"/>
        </w:rPr>
        <w:t>本规划提出的预期性指标和产业发展、结构调整等任务，主要依靠市场主体的自主行为实现。各级政府通过完善市场机制和利益导向机制，创造良好的政策环境、体制环境和法制环境，激发市场主体的积极性和创造性。本规划确定的约束性指标和改革创新、公共服务领域的任务，要纳入各市县、各部门经济社会发展综合评价和目标责任考核体系。各项指标和重点任务要分解落实到各部门、各市县和相关重点企业，明确工作责任。加快制定并完善有利于推动科学发展、加快转变经济发展方式的绩效评价考核体系和具体考核办法，弱化对经济增长速度的评价考核，强化对结构优化、民生改善、资源节约、环境保护、基本公共服务和社会管理等目标任务完成情况的综合评价考核，考核结果作为各级政府领导班子调整和领导干部选拔任用、奖励惩戒的重要依据。</w:t>
      </w:r>
    </w:p>
    <w:p>
      <w:pPr>
        <w:spacing w:after="0" w:line="600" w:lineRule="exact"/>
        <w:jc w:val="center"/>
        <w:rPr>
          <w:rFonts w:ascii="黑体" w:hAnsi="黑体" w:eastAsia="黑体"/>
          <w:sz w:val="32"/>
          <w:szCs w:val="32"/>
        </w:rPr>
      </w:pPr>
    </w:p>
    <w:p>
      <w:pPr>
        <w:spacing w:after="0" w:line="600" w:lineRule="exact"/>
        <w:jc w:val="center"/>
        <w:rPr>
          <w:rFonts w:ascii="黑体" w:hAnsi="黑体" w:eastAsia="黑体"/>
          <w:sz w:val="32"/>
          <w:szCs w:val="32"/>
        </w:rPr>
      </w:pPr>
      <w:r>
        <w:rPr>
          <w:rFonts w:hint="eastAsia" w:ascii="黑体" w:hAnsi="黑体" w:eastAsia="黑体"/>
          <w:sz w:val="32"/>
          <w:szCs w:val="32"/>
        </w:rPr>
        <w:t>第五十五章</w:t>
      </w:r>
      <w:r>
        <w:rPr>
          <w:rFonts w:ascii="黑体" w:hAnsi="黑体" w:eastAsia="黑体"/>
          <w:sz w:val="32"/>
          <w:szCs w:val="32"/>
        </w:rPr>
        <w:t xml:space="preserve">  </w:t>
      </w:r>
      <w:r>
        <w:rPr>
          <w:rFonts w:hint="eastAsia" w:ascii="黑体" w:hAnsi="黑体" w:eastAsia="黑体"/>
          <w:sz w:val="32"/>
          <w:szCs w:val="32"/>
        </w:rPr>
        <w:t>强化规划管理</w:t>
      </w:r>
    </w:p>
    <w:p>
      <w:pPr>
        <w:spacing w:after="0" w:line="600" w:lineRule="exact"/>
        <w:jc w:val="center"/>
        <w:rPr>
          <w:rFonts w:ascii="楷体" w:hAnsi="楷体" w:eastAsia="楷体"/>
          <w:b/>
          <w:sz w:val="32"/>
          <w:szCs w:val="32"/>
        </w:rPr>
      </w:pPr>
    </w:p>
    <w:p>
      <w:pPr>
        <w:spacing w:after="0" w:line="600" w:lineRule="exact"/>
        <w:jc w:val="center"/>
        <w:rPr>
          <w:rFonts w:ascii="楷体_GB2312" w:hAnsi="楷体" w:eastAsia="楷体_GB2312"/>
          <w:b/>
          <w:sz w:val="32"/>
          <w:szCs w:val="32"/>
        </w:rPr>
      </w:pPr>
      <w:r>
        <w:rPr>
          <w:rFonts w:hint="eastAsia" w:ascii="楷体_GB2312" w:hAnsi="楷体" w:eastAsia="楷体_GB2312"/>
          <w:b/>
          <w:sz w:val="32"/>
          <w:szCs w:val="32"/>
        </w:rPr>
        <w:t>第一节</w:t>
      </w:r>
      <w:r>
        <w:rPr>
          <w:rFonts w:ascii="楷体_GB2312" w:hAnsi="楷体" w:eastAsia="楷体_GB2312"/>
          <w:b/>
          <w:sz w:val="32"/>
          <w:szCs w:val="32"/>
        </w:rPr>
        <w:t xml:space="preserve">  </w:t>
      </w:r>
      <w:r>
        <w:rPr>
          <w:rFonts w:hint="eastAsia" w:ascii="楷体_GB2312" w:hAnsi="楷体" w:eastAsia="楷体_GB2312"/>
          <w:b/>
          <w:sz w:val="32"/>
          <w:szCs w:val="32"/>
        </w:rPr>
        <w:t>创新规划评估方式</w:t>
      </w:r>
    </w:p>
    <w:p>
      <w:pPr>
        <w:spacing w:after="0" w:line="60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围绕规划提出的目标和任务，加强经济社会发展政策的统筹协调，注重政策目标与政策工具、短期政策与长期政策的衔接配合。按照公共财政服从和服务于公共政策的原则，优化财政支出结构和政府投资结构，将政府投资重点投向民生和社会事业、农业农村、科技创新、生态环保、资源节约等领域。完善监测评估制度，引入第三方评估机制，加强对规划实施情况跟踪分析，自觉接受市人民代表大会的监督检查。市发改部门要加强对本规划实施情况进行跟踪分析，对重点领域中的突出问题适时开展全面评估，并将中期评估报告提交市人民代表大会常务委员会审议。经中期评估需要对纲要进行修订时，须报市人民代表大会常务委员会批准。</w:t>
      </w:r>
    </w:p>
    <w:p>
      <w:pPr>
        <w:spacing w:after="0" w:line="600" w:lineRule="exact"/>
        <w:jc w:val="center"/>
        <w:rPr>
          <w:rFonts w:ascii="楷体" w:hAnsi="楷体" w:eastAsia="楷体"/>
          <w:b/>
          <w:sz w:val="32"/>
          <w:szCs w:val="32"/>
        </w:rPr>
      </w:pPr>
    </w:p>
    <w:p>
      <w:pPr>
        <w:spacing w:after="0" w:line="600" w:lineRule="exact"/>
        <w:jc w:val="center"/>
        <w:rPr>
          <w:rFonts w:ascii="楷体_GB2312" w:hAnsi="楷体" w:eastAsia="楷体_GB2312"/>
          <w:b/>
          <w:sz w:val="32"/>
          <w:szCs w:val="32"/>
        </w:rPr>
      </w:pPr>
      <w:r>
        <w:rPr>
          <w:rFonts w:hint="eastAsia" w:ascii="楷体_GB2312" w:hAnsi="楷体" w:eastAsia="楷体_GB2312"/>
          <w:b/>
          <w:sz w:val="32"/>
          <w:szCs w:val="32"/>
        </w:rPr>
        <w:t>第二节</w:t>
      </w:r>
      <w:r>
        <w:rPr>
          <w:rFonts w:ascii="楷体_GB2312" w:hAnsi="楷体" w:eastAsia="楷体_GB2312"/>
          <w:b/>
          <w:sz w:val="32"/>
          <w:szCs w:val="32"/>
        </w:rPr>
        <w:t xml:space="preserve">  </w:t>
      </w:r>
      <w:r>
        <w:rPr>
          <w:rFonts w:hint="eastAsia" w:ascii="楷体_GB2312" w:hAnsi="楷体" w:eastAsia="楷体_GB2312"/>
          <w:b/>
          <w:sz w:val="32"/>
          <w:szCs w:val="32"/>
        </w:rPr>
        <w:t>加强规划协调管理</w:t>
      </w:r>
    </w:p>
    <w:p>
      <w:pPr>
        <w:spacing w:after="0" w:line="60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坚持专项规划服从总体规划、下位规划服从上位规划，以国民经济和社会发展总体规划为统领，以主体功能区规划为基础，以专项规划、区域规划、城市规划和土地利用规划为支撑，形成各类规划定位清晰、功能互补、统一衔接的规划体系，完善科学化、民主化、规范化的编制程序，健全责任明确、分类实施、有效监督的实施机制。</w:t>
      </w:r>
    </w:p>
    <w:p>
      <w:pPr>
        <w:spacing w:after="0" w:line="60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组织编制实施好市级专项规划和县、区发展规划，落实本规划确定的战略目标、重点任务、重大项目和重大政策。专项规划应成为本规划在特定领域的延伸和细化，要围绕国民经济社会发展的关键领域和薄弱环节，着力解决突出问题，主要明确特定领域的发展方向、发展目标、工作重点和政策措施，形成落实本规划的重要支撑和抓手。</w:t>
      </w:r>
    </w:p>
    <w:p>
      <w:pPr>
        <w:spacing w:after="0" w:line="60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各县区人民政府要切实贯彻国家、省上和市委、市政府的战略意图，依据市级规划纲要，组织编制和实施本行政区的经济社会发展规划，既要确保市级规划在本行政区的落实，又要结合自身实际，突出特色。要做好地方规划与本规划明确的发展战略、主要目标和重点任务的协调，特别是要加强约束性指标的衔接。积极开展“多规合一”试点工作，确保“一张蓝图”干到底。</w:t>
      </w:r>
    </w:p>
    <w:p>
      <w:pPr>
        <w:spacing w:after="0" w:line="600" w:lineRule="exact"/>
        <w:ind w:firstLine="640" w:firstLineChars="200"/>
        <w:jc w:val="both"/>
      </w:pPr>
      <w:r>
        <w:rPr>
          <w:rFonts w:hint="eastAsia" w:ascii="仿宋_GB2312" w:hAnsi="仿宋" w:eastAsia="仿宋_GB2312"/>
          <w:sz w:val="32"/>
          <w:szCs w:val="32"/>
        </w:rPr>
        <w:t>建立规划纲要与专项规划、市县区规划相互协调的工作机制，在重大生产力布局、重点项目安排、基础设施建设上，确保总体要求一致，空间配置合理，把握规划实施的重点和时序，确保各项重大任务的完成。</w:t>
      </w:r>
      <w:bookmarkEnd w:id="1"/>
    </w:p>
    <w:sectPr>
      <w:pgSz w:w="11906" w:h="16838"/>
      <w:pgMar w:top="1418" w:right="1588" w:bottom="1418" w:left="1588"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汉仪粗圆简">
    <w:altName w:val="宋体"/>
    <w:panose1 w:val="02010609000101010101"/>
    <w:charset w:val="86"/>
    <w:family w:val="modern"/>
    <w:pitch w:val="default"/>
    <w:sig w:usb0="00000001" w:usb1="080E0800" w:usb2="00000012" w:usb3="00000000" w:csb0="00040000" w:csb1="00000000"/>
  </w:font>
  <w:font w:name="方正大黑繁体">
    <w:altName w:val="黑体"/>
    <w:panose1 w:val="03000509000000000000"/>
    <w:charset w:val="86"/>
    <w:family w:val="script"/>
    <w:pitch w:val="default"/>
    <w:sig w:usb0="00000001" w:usb1="080E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
    <w:altName w:val="Times New Roman"/>
    <w:panose1 w:val="00000000000000000000"/>
    <w:charset w:val="00"/>
    <w:family w:val="roman"/>
    <w:pitch w:val="default"/>
    <w:sig w:usb0="00000003"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fldChar w:fldCharType="begin"/>
    </w:r>
    <w:r>
      <w:instrText xml:space="preserve">PAGE   \* MERGEFORMAT</w:instrText>
    </w:r>
    <w:r>
      <w:fldChar w:fldCharType="separate"/>
    </w:r>
    <w:r>
      <w:rPr>
        <w:lang w:val="zh-CN"/>
      </w:rPr>
      <w:t>71</w:t>
    </w:r>
    <w: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fldChar w:fldCharType="begin"/>
    </w:r>
    <w:r>
      <w:instrText xml:space="preserve">PAGE   \* MERGEFORMAT</w:instrText>
    </w:r>
    <w:r>
      <w:fldChar w:fldCharType="separate"/>
    </w:r>
    <w:r>
      <w:rPr>
        <w:lang w:val="zh-CN"/>
      </w:rPr>
      <w:t>72</w:t>
    </w:r>
    <w:r>
      <w:fldChar w:fldCharType="end"/>
    </w:r>
  </w:p>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0A73DA"/>
    <w:multiLevelType w:val="multilevel"/>
    <w:tmpl w:val="5A0A73DA"/>
    <w:lvl w:ilvl="0" w:tentative="0">
      <w:start w:val="1"/>
      <w:numFmt w:val="decimalEnclosedParen"/>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1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4C9"/>
    <w:rsid w:val="00001217"/>
    <w:rsid w:val="00002320"/>
    <w:rsid w:val="0000324F"/>
    <w:rsid w:val="00003EAB"/>
    <w:rsid w:val="00004921"/>
    <w:rsid w:val="00016682"/>
    <w:rsid w:val="000206E3"/>
    <w:rsid w:val="0002193F"/>
    <w:rsid w:val="000242B6"/>
    <w:rsid w:val="00026695"/>
    <w:rsid w:val="0002681D"/>
    <w:rsid w:val="00026DCF"/>
    <w:rsid w:val="00026E31"/>
    <w:rsid w:val="000301E0"/>
    <w:rsid w:val="0003269C"/>
    <w:rsid w:val="000328D3"/>
    <w:rsid w:val="000334ED"/>
    <w:rsid w:val="00035A0B"/>
    <w:rsid w:val="00036FD9"/>
    <w:rsid w:val="00037553"/>
    <w:rsid w:val="0004345D"/>
    <w:rsid w:val="000456AE"/>
    <w:rsid w:val="000464AF"/>
    <w:rsid w:val="00046B1F"/>
    <w:rsid w:val="0005062A"/>
    <w:rsid w:val="00051F2F"/>
    <w:rsid w:val="00062EFB"/>
    <w:rsid w:val="00063CF6"/>
    <w:rsid w:val="00066282"/>
    <w:rsid w:val="00066F00"/>
    <w:rsid w:val="0007212F"/>
    <w:rsid w:val="000725DF"/>
    <w:rsid w:val="00075750"/>
    <w:rsid w:val="00075B42"/>
    <w:rsid w:val="00080948"/>
    <w:rsid w:val="00082C99"/>
    <w:rsid w:val="00084D3F"/>
    <w:rsid w:val="000873FB"/>
    <w:rsid w:val="0009279F"/>
    <w:rsid w:val="00093B9B"/>
    <w:rsid w:val="000963E6"/>
    <w:rsid w:val="000A2299"/>
    <w:rsid w:val="000B187C"/>
    <w:rsid w:val="000B7725"/>
    <w:rsid w:val="000C1115"/>
    <w:rsid w:val="000C34D9"/>
    <w:rsid w:val="000C49C2"/>
    <w:rsid w:val="000E31EC"/>
    <w:rsid w:val="000E336B"/>
    <w:rsid w:val="000E4BE8"/>
    <w:rsid w:val="000E4D52"/>
    <w:rsid w:val="000E5D45"/>
    <w:rsid w:val="000F19C2"/>
    <w:rsid w:val="000F79AA"/>
    <w:rsid w:val="000F7B71"/>
    <w:rsid w:val="001009FA"/>
    <w:rsid w:val="001037AD"/>
    <w:rsid w:val="00105AA4"/>
    <w:rsid w:val="001065E8"/>
    <w:rsid w:val="00107F99"/>
    <w:rsid w:val="001107AE"/>
    <w:rsid w:val="00111ECF"/>
    <w:rsid w:val="00114A1F"/>
    <w:rsid w:val="00116D87"/>
    <w:rsid w:val="00117F4D"/>
    <w:rsid w:val="00120995"/>
    <w:rsid w:val="00121447"/>
    <w:rsid w:val="0012300F"/>
    <w:rsid w:val="00123456"/>
    <w:rsid w:val="00124C66"/>
    <w:rsid w:val="00125459"/>
    <w:rsid w:val="00127E6B"/>
    <w:rsid w:val="00131319"/>
    <w:rsid w:val="0013250C"/>
    <w:rsid w:val="00135D4E"/>
    <w:rsid w:val="0013679E"/>
    <w:rsid w:val="00146B0A"/>
    <w:rsid w:val="00150220"/>
    <w:rsid w:val="00150C34"/>
    <w:rsid w:val="001513A7"/>
    <w:rsid w:val="00153050"/>
    <w:rsid w:val="00155041"/>
    <w:rsid w:val="001553E3"/>
    <w:rsid w:val="00155BEB"/>
    <w:rsid w:val="0015763D"/>
    <w:rsid w:val="00157B5B"/>
    <w:rsid w:val="00161164"/>
    <w:rsid w:val="00162AA8"/>
    <w:rsid w:val="001631E3"/>
    <w:rsid w:val="00167C42"/>
    <w:rsid w:val="00173509"/>
    <w:rsid w:val="00173A0B"/>
    <w:rsid w:val="00181515"/>
    <w:rsid w:val="00185513"/>
    <w:rsid w:val="00192F88"/>
    <w:rsid w:val="00193854"/>
    <w:rsid w:val="001938D6"/>
    <w:rsid w:val="00194E9E"/>
    <w:rsid w:val="00196154"/>
    <w:rsid w:val="001A0F80"/>
    <w:rsid w:val="001A1304"/>
    <w:rsid w:val="001A3193"/>
    <w:rsid w:val="001A665C"/>
    <w:rsid w:val="001B04A0"/>
    <w:rsid w:val="001B3069"/>
    <w:rsid w:val="001B4911"/>
    <w:rsid w:val="001B4E3B"/>
    <w:rsid w:val="001B6333"/>
    <w:rsid w:val="001B7821"/>
    <w:rsid w:val="001C14FE"/>
    <w:rsid w:val="001C165F"/>
    <w:rsid w:val="001C4D58"/>
    <w:rsid w:val="001C64D2"/>
    <w:rsid w:val="001D1A65"/>
    <w:rsid w:val="001D2673"/>
    <w:rsid w:val="001D3893"/>
    <w:rsid w:val="001D5525"/>
    <w:rsid w:val="001D5F7B"/>
    <w:rsid w:val="001D7D8E"/>
    <w:rsid w:val="001E2771"/>
    <w:rsid w:val="001E39AB"/>
    <w:rsid w:val="001F0E11"/>
    <w:rsid w:val="001F2374"/>
    <w:rsid w:val="001F2461"/>
    <w:rsid w:val="001F3177"/>
    <w:rsid w:val="00201114"/>
    <w:rsid w:val="00201402"/>
    <w:rsid w:val="00202E2A"/>
    <w:rsid w:val="002036D1"/>
    <w:rsid w:val="002165AF"/>
    <w:rsid w:val="002171FE"/>
    <w:rsid w:val="00217A1A"/>
    <w:rsid w:val="00217AC4"/>
    <w:rsid w:val="002319C0"/>
    <w:rsid w:val="00232FF8"/>
    <w:rsid w:val="00235077"/>
    <w:rsid w:val="00235AA6"/>
    <w:rsid w:val="00243777"/>
    <w:rsid w:val="002471D6"/>
    <w:rsid w:val="00247561"/>
    <w:rsid w:val="00247EDC"/>
    <w:rsid w:val="00250CA7"/>
    <w:rsid w:val="00250E10"/>
    <w:rsid w:val="00267EEC"/>
    <w:rsid w:val="00270026"/>
    <w:rsid w:val="00273143"/>
    <w:rsid w:val="0028065C"/>
    <w:rsid w:val="00280BC3"/>
    <w:rsid w:val="00283B68"/>
    <w:rsid w:val="00287647"/>
    <w:rsid w:val="00287EB8"/>
    <w:rsid w:val="002A2DFC"/>
    <w:rsid w:val="002B0580"/>
    <w:rsid w:val="002B05EA"/>
    <w:rsid w:val="002B3337"/>
    <w:rsid w:val="002B3ED2"/>
    <w:rsid w:val="002B6F90"/>
    <w:rsid w:val="002B730D"/>
    <w:rsid w:val="002C0A45"/>
    <w:rsid w:val="002C3A9E"/>
    <w:rsid w:val="002C7E08"/>
    <w:rsid w:val="002D0490"/>
    <w:rsid w:val="002E3B04"/>
    <w:rsid w:val="002E46BB"/>
    <w:rsid w:val="002E6CDA"/>
    <w:rsid w:val="002F0864"/>
    <w:rsid w:val="002F21F8"/>
    <w:rsid w:val="002F620A"/>
    <w:rsid w:val="0030091A"/>
    <w:rsid w:val="00301DDC"/>
    <w:rsid w:val="00305664"/>
    <w:rsid w:val="00305A28"/>
    <w:rsid w:val="00314505"/>
    <w:rsid w:val="00316172"/>
    <w:rsid w:val="003162EC"/>
    <w:rsid w:val="00317AB6"/>
    <w:rsid w:val="00322B48"/>
    <w:rsid w:val="003231E9"/>
    <w:rsid w:val="00324989"/>
    <w:rsid w:val="00325850"/>
    <w:rsid w:val="00327CCA"/>
    <w:rsid w:val="00333AA3"/>
    <w:rsid w:val="0034206A"/>
    <w:rsid w:val="003505BF"/>
    <w:rsid w:val="00350FF5"/>
    <w:rsid w:val="00351B7A"/>
    <w:rsid w:val="00354E6C"/>
    <w:rsid w:val="00355944"/>
    <w:rsid w:val="00361D5A"/>
    <w:rsid w:val="00362428"/>
    <w:rsid w:val="00363729"/>
    <w:rsid w:val="003658FF"/>
    <w:rsid w:val="0037161F"/>
    <w:rsid w:val="00372D66"/>
    <w:rsid w:val="00373E6C"/>
    <w:rsid w:val="003774EB"/>
    <w:rsid w:val="00381645"/>
    <w:rsid w:val="003823B0"/>
    <w:rsid w:val="00382A51"/>
    <w:rsid w:val="00386E88"/>
    <w:rsid w:val="00392AE1"/>
    <w:rsid w:val="003A1AA9"/>
    <w:rsid w:val="003A21BF"/>
    <w:rsid w:val="003A425D"/>
    <w:rsid w:val="003A4D0A"/>
    <w:rsid w:val="003B1520"/>
    <w:rsid w:val="003B152F"/>
    <w:rsid w:val="003B2AEC"/>
    <w:rsid w:val="003B3449"/>
    <w:rsid w:val="003B402A"/>
    <w:rsid w:val="003B434A"/>
    <w:rsid w:val="003B6536"/>
    <w:rsid w:val="003B6794"/>
    <w:rsid w:val="003C0BB0"/>
    <w:rsid w:val="003C23D7"/>
    <w:rsid w:val="003C30B5"/>
    <w:rsid w:val="003C5609"/>
    <w:rsid w:val="003D19F2"/>
    <w:rsid w:val="003D6EC3"/>
    <w:rsid w:val="003E4EC8"/>
    <w:rsid w:val="003E6039"/>
    <w:rsid w:val="003F23FA"/>
    <w:rsid w:val="003F4CA9"/>
    <w:rsid w:val="003F6DE7"/>
    <w:rsid w:val="003F6EC7"/>
    <w:rsid w:val="003F77B6"/>
    <w:rsid w:val="003F7924"/>
    <w:rsid w:val="00402119"/>
    <w:rsid w:val="00403947"/>
    <w:rsid w:val="00406511"/>
    <w:rsid w:val="00407D69"/>
    <w:rsid w:val="00413A2E"/>
    <w:rsid w:val="00413E32"/>
    <w:rsid w:val="00415EA3"/>
    <w:rsid w:val="004169A7"/>
    <w:rsid w:val="00417220"/>
    <w:rsid w:val="004241A7"/>
    <w:rsid w:val="00425C4F"/>
    <w:rsid w:val="004272AC"/>
    <w:rsid w:val="004275C0"/>
    <w:rsid w:val="00427B0E"/>
    <w:rsid w:val="0043304D"/>
    <w:rsid w:val="00435706"/>
    <w:rsid w:val="004369F9"/>
    <w:rsid w:val="00437045"/>
    <w:rsid w:val="004408B4"/>
    <w:rsid w:val="0044433D"/>
    <w:rsid w:val="00445434"/>
    <w:rsid w:val="00447491"/>
    <w:rsid w:val="00453A96"/>
    <w:rsid w:val="00456805"/>
    <w:rsid w:val="004619A2"/>
    <w:rsid w:val="00465D8F"/>
    <w:rsid w:val="00467D69"/>
    <w:rsid w:val="00475393"/>
    <w:rsid w:val="00475729"/>
    <w:rsid w:val="00476CB5"/>
    <w:rsid w:val="004770E2"/>
    <w:rsid w:val="004772DE"/>
    <w:rsid w:val="00477830"/>
    <w:rsid w:val="004818D4"/>
    <w:rsid w:val="00482DA7"/>
    <w:rsid w:val="00484AAD"/>
    <w:rsid w:val="00491D09"/>
    <w:rsid w:val="00496225"/>
    <w:rsid w:val="00496B45"/>
    <w:rsid w:val="004A6F80"/>
    <w:rsid w:val="004B0D17"/>
    <w:rsid w:val="004B2AE3"/>
    <w:rsid w:val="004B4340"/>
    <w:rsid w:val="004C0C50"/>
    <w:rsid w:val="004C1748"/>
    <w:rsid w:val="004C664F"/>
    <w:rsid w:val="004C68EF"/>
    <w:rsid w:val="004E1079"/>
    <w:rsid w:val="004E70B7"/>
    <w:rsid w:val="004F1164"/>
    <w:rsid w:val="004F5A17"/>
    <w:rsid w:val="00503673"/>
    <w:rsid w:val="00505813"/>
    <w:rsid w:val="00511802"/>
    <w:rsid w:val="00513B9C"/>
    <w:rsid w:val="0051473C"/>
    <w:rsid w:val="00515A7D"/>
    <w:rsid w:val="005164A5"/>
    <w:rsid w:val="00516CF4"/>
    <w:rsid w:val="00522E17"/>
    <w:rsid w:val="00523C3D"/>
    <w:rsid w:val="0052419F"/>
    <w:rsid w:val="005252C7"/>
    <w:rsid w:val="0052651F"/>
    <w:rsid w:val="005305E2"/>
    <w:rsid w:val="0053136A"/>
    <w:rsid w:val="005519E6"/>
    <w:rsid w:val="00552BB1"/>
    <w:rsid w:val="00554473"/>
    <w:rsid w:val="005608E7"/>
    <w:rsid w:val="00560965"/>
    <w:rsid w:val="00565758"/>
    <w:rsid w:val="00566334"/>
    <w:rsid w:val="00566398"/>
    <w:rsid w:val="0056750A"/>
    <w:rsid w:val="0056769B"/>
    <w:rsid w:val="00576143"/>
    <w:rsid w:val="005761C6"/>
    <w:rsid w:val="00576DF0"/>
    <w:rsid w:val="00577850"/>
    <w:rsid w:val="00580281"/>
    <w:rsid w:val="005804BD"/>
    <w:rsid w:val="0058413F"/>
    <w:rsid w:val="005841F6"/>
    <w:rsid w:val="0058636B"/>
    <w:rsid w:val="005878FA"/>
    <w:rsid w:val="00587DA9"/>
    <w:rsid w:val="005917DE"/>
    <w:rsid w:val="005941D2"/>
    <w:rsid w:val="0059669C"/>
    <w:rsid w:val="005969D0"/>
    <w:rsid w:val="005971D6"/>
    <w:rsid w:val="005A092F"/>
    <w:rsid w:val="005A45D7"/>
    <w:rsid w:val="005A610A"/>
    <w:rsid w:val="005A637E"/>
    <w:rsid w:val="005A74A5"/>
    <w:rsid w:val="005B370C"/>
    <w:rsid w:val="005C1313"/>
    <w:rsid w:val="005C6E68"/>
    <w:rsid w:val="005D04C0"/>
    <w:rsid w:val="005D1DD2"/>
    <w:rsid w:val="005D308C"/>
    <w:rsid w:val="005D3A6B"/>
    <w:rsid w:val="005E04D6"/>
    <w:rsid w:val="005E2D4A"/>
    <w:rsid w:val="005E3B93"/>
    <w:rsid w:val="005E3C0A"/>
    <w:rsid w:val="005E534D"/>
    <w:rsid w:val="005E60CA"/>
    <w:rsid w:val="005E62CA"/>
    <w:rsid w:val="005E6E1D"/>
    <w:rsid w:val="005F01F6"/>
    <w:rsid w:val="005F28B2"/>
    <w:rsid w:val="005F6907"/>
    <w:rsid w:val="005F6D47"/>
    <w:rsid w:val="00601325"/>
    <w:rsid w:val="00602FAF"/>
    <w:rsid w:val="00603751"/>
    <w:rsid w:val="00603850"/>
    <w:rsid w:val="00604B9C"/>
    <w:rsid w:val="00605011"/>
    <w:rsid w:val="006060EE"/>
    <w:rsid w:val="00606942"/>
    <w:rsid w:val="00611476"/>
    <w:rsid w:val="00614ECD"/>
    <w:rsid w:val="00616C1B"/>
    <w:rsid w:val="006210E9"/>
    <w:rsid w:val="00627DC1"/>
    <w:rsid w:val="0063032E"/>
    <w:rsid w:val="0063568F"/>
    <w:rsid w:val="00637FC9"/>
    <w:rsid w:val="00641C13"/>
    <w:rsid w:val="00642208"/>
    <w:rsid w:val="00643808"/>
    <w:rsid w:val="00645350"/>
    <w:rsid w:val="00645AD1"/>
    <w:rsid w:val="00654C6E"/>
    <w:rsid w:val="0065587C"/>
    <w:rsid w:val="00657AB3"/>
    <w:rsid w:val="0066730B"/>
    <w:rsid w:val="00672408"/>
    <w:rsid w:val="00673E10"/>
    <w:rsid w:val="00673EA7"/>
    <w:rsid w:val="00675552"/>
    <w:rsid w:val="00675F2C"/>
    <w:rsid w:val="00675F63"/>
    <w:rsid w:val="00675F70"/>
    <w:rsid w:val="006817C0"/>
    <w:rsid w:val="00684A7E"/>
    <w:rsid w:val="0068618A"/>
    <w:rsid w:val="006864BB"/>
    <w:rsid w:val="0068738C"/>
    <w:rsid w:val="006901C4"/>
    <w:rsid w:val="006904F9"/>
    <w:rsid w:val="00690C88"/>
    <w:rsid w:val="006931B9"/>
    <w:rsid w:val="00693BE0"/>
    <w:rsid w:val="0069544E"/>
    <w:rsid w:val="00695AF8"/>
    <w:rsid w:val="006960B5"/>
    <w:rsid w:val="006A48E9"/>
    <w:rsid w:val="006A5ECF"/>
    <w:rsid w:val="006B0C6F"/>
    <w:rsid w:val="006B2B3E"/>
    <w:rsid w:val="006B3930"/>
    <w:rsid w:val="006B47EE"/>
    <w:rsid w:val="006B6408"/>
    <w:rsid w:val="006B64F9"/>
    <w:rsid w:val="006B7394"/>
    <w:rsid w:val="006B7455"/>
    <w:rsid w:val="006C0656"/>
    <w:rsid w:val="006C10A2"/>
    <w:rsid w:val="006D162E"/>
    <w:rsid w:val="006D26CC"/>
    <w:rsid w:val="006D4402"/>
    <w:rsid w:val="006E0A8C"/>
    <w:rsid w:val="006E3646"/>
    <w:rsid w:val="006E3CDB"/>
    <w:rsid w:val="006F0A34"/>
    <w:rsid w:val="006F25DD"/>
    <w:rsid w:val="006F5787"/>
    <w:rsid w:val="006F7E01"/>
    <w:rsid w:val="0070056E"/>
    <w:rsid w:val="0070123E"/>
    <w:rsid w:val="00701406"/>
    <w:rsid w:val="0070267A"/>
    <w:rsid w:val="00702FE8"/>
    <w:rsid w:val="00704FA2"/>
    <w:rsid w:val="0070516B"/>
    <w:rsid w:val="007060C0"/>
    <w:rsid w:val="00706174"/>
    <w:rsid w:val="00706772"/>
    <w:rsid w:val="007102AD"/>
    <w:rsid w:val="007137E5"/>
    <w:rsid w:val="00715AE7"/>
    <w:rsid w:val="00715BF6"/>
    <w:rsid w:val="0071789D"/>
    <w:rsid w:val="007206BE"/>
    <w:rsid w:val="00721EDA"/>
    <w:rsid w:val="00723B5B"/>
    <w:rsid w:val="00726E59"/>
    <w:rsid w:val="007277FF"/>
    <w:rsid w:val="00732B8F"/>
    <w:rsid w:val="007372E5"/>
    <w:rsid w:val="00740BC7"/>
    <w:rsid w:val="007433DA"/>
    <w:rsid w:val="00743F05"/>
    <w:rsid w:val="00744AFB"/>
    <w:rsid w:val="00751182"/>
    <w:rsid w:val="00751E52"/>
    <w:rsid w:val="0075448B"/>
    <w:rsid w:val="007556A4"/>
    <w:rsid w:val="00756896"/>
    <w:rsid w:val="00756E68"/>
    <w:rsid w:val="00757A75"/>
    <w:rsid w:val="00763421"/>
    <w:rsid w:val="00764CB2"/>
    <w:rsid w:val="00770692"/>
    <w:rsid w:val="00770DEA"/>
    <w:rsid w:val="00771E2E"/>
    <w:rsid w:val="00773CE1"/>
    <w:rsid w:val="00781138"/>
    <w:rsid w:val="00783E99"/>
    <w:rsid w:val="007855BC"/>
    <w:rsid w:val="0079296F"/>
    <w:rsid w:val="00792D45"/>
    <w:rsid w:val="007944FB"/>
    <w:rsid w:val="00796714"/>
    <w:rsid w:val="007976A5"/>
    <w:rsid w:val="0079779B"/>
    <w:rsid w:val="007A3579"/>
    <w:rsid w:val="007A4821"/>
    <w:rsid w:val="007A6641"/>
    <w:rsid w:val="007A7353"/>
    <w:rsid w:val="007B29FA"/>
    <w:rsid w:val="007B3F24"/>
    <w:rsid w:val="007B6E1F"/>
    <w:rsid w:val="007B6E69"/>
    <w:rsid w:val="007C4147"/>
    <w:rsid w:val="007C4678"/>
    <w:rsid w:val="007C4EDF"/>
    <w:rsid w:val="007C66B9"/>
    <w:rsid w:val="007D0DF0"/>
    <w:rsid w:val="007D2015"/>
    <w:rsid w:val="007D283C"/>
    <w:rsid w:val="007D29CC"/>
    <w:rsid w:val="007D5C78"/>
    <w:rsid w:val="007E0E99"/>
    <w:rsid w:val="007E10D8"/>
    <w:rsid w:val="007E10E3"/>
    <w:rsid w:val="007E2271"/>
    <w:rsid w:val="007E3EEF"/>
    <w:rsid w:val="007E40F5"/>
    <w:rsid w:val="007E750F"/>
    <w:rsid w:val="007F1B57"/>
    <w:rsid w:val="007F2390"/>
    <w:rsid w:val="007F2858"/>
    <w:rsid w:val="007F5C8F"/>
    <w:rsid w:val="00800688"/>
    <w:rsid w:val="008007BA"/>
    <w:rsid w:val="00804116"/>
    <w:rsid w:val="0080604E"/>
    <w:rsid w:val="0081015B"/>
    <w:rsid w:val="00812173"/>
    <w:rsid w:val="00814534"/>
    <w:rsid w:val="0081506D"/>
    <w:rsid w:val="0081526E"/>
    <w:rsid w:val="00815A32"/>
    <w:rsid w:val="00815F29"/>
    <w:rsid w:val="00817F09"/>
    <w:rsid w:val="00822D0A"/>
    <w:rsid w:val="00824646"/>
    <w:rsid w:val="0082467F"/>
    <w:rsid w:val="00826AB2"/>
    <w:rsid w:val="00827802"/>
    <w:rsid w:val="00830C31"/>
    <w:rsid w:val="0083132D"/>
    <w:rsid w:val="00831437"/>
    <w:rsid w:val="00834333"/>
    <w:rsid w:val="0083719D"/>
    <w:rsid w:val="00843565"/>
    <w:rsid w:val="0084387C"/>
    <w:rsid w:val="008478F1"/>
    <w:rsid w:val="008507A4"/>
    <w:rsid w:val="00851785"/>
    <w:rsid w:val="00853635"/>
    <w:rsid w:val="00855E8A"/>
    <w:rsid w:val="00856E4F"/>
    <w:rsid w:val="008600C9"/>
    <w:rsid w:val="00862CE3"/>
    <w:rsid w:val="00871B7A"/>
    <w:rsid w:val="00872361"/>
    <w:rsid w:val="008737C4"/>
    <w:rsid w:val="00875F85"/>
    <w:rsid w:val="008807A6"/>
    <w:rsid w:val="00882127"/>
    <w:rsid w:val="00882232"/>
    <w:rsid w:val="00885571"/>
    <w:rsid w:val="00886D7E"/>
    <w:rsid w:val="00890DC9"/>
    <w:rsid w:val="00893B3A"/>
    <w:rsid w:val="0089510E"/>
    <w:rsid w:val="008953F3"/>
    <w:rsid w:val="00895798"/>
    <w:rsid w:val="00897ADE"/>
    <w:rsid w:val="008A2CF5"/>
    <w:rsid w:val="008A306B"/>
    <w:rsid w:val="008A3A6B"/>
    <w:rsid w:val="008A60D7"/>
    <w:rsid w:val="008A6B94"/>
    <w:rsid w:val="008A7C76"/>
    <w:rsid w:val="008B464E"/>
    <w:rsid w:val="008B5632"/>
    <w:rsid w:val="008B7C2F"/>
    <w:rsid w:val="008C0DCE"/>
    <w:rsid w:val="008C121A"/>
    <w:rsid w:val="008C22AE"/>
    <w:rsid w:val="008C42D4"/>
    <w:rsid w:val="008C662F"/>
    <w:rsid w:val="008C7CAD"/>
    <w:rsid w:val="008C7E07"/>
    <w:rsid w:val="008D1123"/>
    <w:rsid w:val="008D1E8F"/>
    <w:rsid w:val="008D42CF"/>
    <w:rsid w:val="008D5214"/>
    <w:rsid w:val="008D6203"/>
    <w:rsid w:val="008E138E"/>
    <w:rsid w:val="008E5773"/>
    <w:rsid w:val="008E6232"/>
    <w:rsid w:val="008E6955"/>
    <w:rsid w:val="008F4F47"/>
    <w:rsid w:val="008F600E"/>
    <w:rsid w:val="008F6889"/>
    <w:rsid w:val="008F791A"/>
    <w:rsid w:val="00901515"/>
    <w:rsid w:val="00912F82"/>
    <w:rsid w:val="00913511"/>
    <w:rsid w:val="00916109"/>
    <w:rsid w:val="00916937"/>
    <w:rsid w:val="00917BD6"/>
    <w:rsid w:val="00922C95"/>
    <w:rsid w:val="00925C8B"/>
    <w:rsid w:val="009260A3"/>
    <w:rsid w:val="00926F73"/>
    <w:rsid w:val="009270E7"/>
    <w:rsid w:val="0092733B"/>
    <w:rsid w:val="0093620E"/>
    <w:rsid w:val="00936969"/>
    <w:rsid w:val="009404DF"/>
    <w:rsid w:val="00941120"/>
    <w:rsid w:val="00943F27"/>
    <w:rsid w:val="009509BB"/>
    <w:rsid w:val="009520FC"/>
    <w:rsid w:val="009527D6"/>
    <w:rsid w:val="00954F20"/>
    <w:rsid w:val="00955612"/>
    <w:rsid w:val="0096322A"/>
    <w:rsid w:val="0096322E"/>
    <w:rsid w:val="00967453"/>
    <w:rsid w:val="009710EE"/>
    <w:rsid w:val="00973143"/>
    <w:rsid w:val="00974097"/>
    <w:rsid w:val="00974853"/>
    <w:rsid w:val="009763A1"/>
    <w:rsid w:val="00977A48"/>
    <w:rsid w:val="0098023E"/>
    <w:rsid w:val="0098425C"/>
    <w:rsid w:val="0098557B"/>
    <w:rsid w:val="00990B48"/>
    <w:rsid w:val="009A186B"/>
    <w:rsid w:val="009A1E16"/>
    <w:rsid w:val="009A2891"/>
    <w:rsid w:val="009A30C4"/>
    <w:rsid w:val="009A30EB"/>
    <w:rsid w:val="009A7A1F"/>
    <w:rsid w:val="009A7BA9"/>
    <w:rsid w:val="009B1B68"/>
    <w:rsid w:val="009B6D1E"/>
    <w:rsid w:val="009C0B38"/>
    <w:rsid w:val="009C0D18"/>
    <w:rsid w:val="009C1310"/>
    <w:rsid w:val="009C541D"/>
    <w:rsid w:val="009C75F2"/>
    <w:rsid w:val="009C7E03"/>
    <w:rsid w:val="009D018F"/>
    <w:rsid w:val="009D0962"/>
    <w:rsid w:val="009D0A92"/>
    <w:rsid w:val="009D17F9"/>
    <w:rsid w:val="009D3D6E"/>
    <w:rsid w:val="009D44F9"/>
    <w:rsid w:val="009D4F2D"/>
    <w:rsid w:val="009D62FA"/>
    <w:rsid w:val="009D6B96"/>
    <w:rsid w:val="009F0FA4"/>
    <w:rsid w:val="009F12DE"/>
    <w:rsid w:val="009F423A"/>
    <w:rsid w:val="009F5595"/>
    <w:rsid w:val="009F705F"/>
    <w:rsid w:val="00A009F3"/>
    <w:rsid w:val="00A02930"/>
    <w:rsid w:val="00A0587D"/>
    <w:rsid w:val="00A14F0D"/>
    <w:rsid w:val="00A1515C"/>
    <w:rsid w:val="00A15B9D"/>
    <w:rsid w:val="00A162BE"/>
    <w:rsid w:val="00A20A60"/>
    <w:rsid w:val="00A21DBE"/>
    <w:rsid w:val="00A236CC"/>
    <w:rsid w:val="00A267AD"/>
    <w:rsid w:val="00A30105"/>
    <w:rsid w:val="00A321AF"/>
    <w:rsid w:val="00A367A6"/>
    <w:rsid w:val="00A451E3"/>
    <w:rsid w:val="00A45211"/>
    <w:rsid w:val="00A454DB"/>
    <w:rsid w:val="00A45DEB"/>
    <w:rsid w:val="00A524C9"/>
    <w:rsid w:val="00A5480A"/>
    <w:rsid w:val="00A55FAA"/>
    <w:rsid w:val="00A56471"/>
    <w:rsid w:val="00A57530"/>
    <w:rsid w:val="00A57D9D"/>
    <w:rsid w:val="00A60490"/>
    <w:rsid w:val="00A60574"/>
    <w:rsid w:val="00A60C9B"/>
    <w:rsid w:val="00A61FEA"/>
    <w:rsid w:val="00A6269D"/>
    <w:rsid w:val="00A63EF1"/>
    <w:rsid w:val="00A659C8"/>
    <w:rsid w:val="00A671EA"/>
    <w:rsid w:val="00A711F1"/>
    <w:rsid w:val="00A72030"/>
    <w:rsid w:val="00A7369E"/>
    <w:rsid w:val="00A74223"/>
    <w:rsid w:val="00A747B7"/>
    <w:rsid w:val="00A7487C"/>
    <w:rsid w:val="00A774E7"/>
    <w:rsid w:val="00A80176"/>
    <w:rsid w:val="00A812E5"/>
    <w:rsid w:val="00A85562"/>
    <w:rsid w:val="00A90282"/>
    <w:rsid w:val="00A916C4"/>
    <w:rsid w:val="00A928D4"/>
    <w:rsid w:val="00A94893"/>
    <w:rsid w:val="00A9670D"/>
    <w:rsid w:val="00A9783D"/>
    <w:rsid w:val="00AA31CD"/>
    <w:rsid w:val="00AA7249"/>
    <w:rsid w:val="00AB34B4"/>
    <w:rsid w:val="00AB36C4"/>
    <w:rsid w:val="00AB43AA"/>
    <w:rsid w:val="00AC366A"/>
    <w:rsid w:val="00AC3CD5"/>
    <w:rsid w:val="00AC64FB"/>
    <w:rsid w:val="00AC69EC"/>
    <w:rsid w:val="00AC6BF5"/>
    <w:rsid w:val="00AC7499"/>
    <w:rsid w:val="00AD22ED"/>
    <w:rsid w:val="00AD235A"/>
    <w:rsid w:val="00AD295D"/>
    <w:rsid w:val="00AD2EA3"/>
    <w:rsid w:val="00AD2F2A"/>
    <w:rsid w:val="00AD34D4"/>
    <w:rsid w:val="00AD4BD1"/>
    <w:rsid w:val="00AD5FC3"/>
    <w:rsid w:val="00AE0E5F"/>
    <w:rsid w:val="00AE4180"/>
    <w:rsid w:val="00AE4C84"/>
    <w:rsid w:val="00AF3258"/>
    <w:rsid w:val="00B00790"/>
    <w:rsid w:val="00B014A2"/>
    <w:rsid w:val="00B06C58"/>
    <w:rsid w:val="00B10D45"/>
    <w:rsid w:val="00B16DF6"/>
    <w:rsid w:val="00B20AF4"/>
    <w:rsid w:val="00B21650"/>
    <w:rsid w:val="00B26AD6"/>
    <w:rsid w:val="00B27768"/>
    <w:rsid w:val="00B27AA2"/>
    <w:rsid w:val="00B4219A"/>
    <w:rsid w:val="00B4305E"/>
    <w:rsid w:val="00B449AD"/>
    <w:rsid w:val="00B454D0"/>
    <w:rsid w:val="00B46443"/>
    <w:rsid w:val="00B47870"/>
    <w:rsid w:val="00B50052"/>
    <w:rsid w:val="00B53BD2"/>
    <w:rsid w:val="00B559DD"/>
    <w:rsid w:val="00B577E3"/>
    <w:rsid w:val="00B60464"/>
    <w:rsid w:val="00B60CBA"/>
    <w:rsid w:val="00B65E49"/>
    <w:rsid w:val="00B67112"/>
    <w:rsid w:val="00B70179"/>
    <w:rsid w:val="00B70F66"/>
    <w:rsid w:val="00B721FE"/>
    <w:rsid w:val="00B75EC3"/>
    <w:rsid w:val="00B81EB6"/>
    <w:rsid w:val="00B83D03"/>
    <w:rsid w:val="00B84080"/>
    <w:rsid w:val="00B8525C"/>
    <w:rsid w:val="00B86753"/>
    <w:rsid w:val="00B90496"/>
    <w:rsid w:val="00B9281B"/>
    <w:rsid w:val="00B968EC"/>
    <w:rsid w:val="00BA0769"/>
    <w:rsid w:val="00BA22F2"/>
    <w:rsid w:val="00BB202C"/>
    <w:rsid w:val="00BB2032"/>
    <w:rsid w:val="00BB2733"/>
    <w:rsid w:val="00BB29E9"/>
    <w:rsid w:val="00BB3A11"/>
    <w:rsid w:val="00BB424E"/>
    <w:rsid w:val="00BB4BD4"/>
    <w:rsid w:val="00BB50FA"/>
    <w:rsid w:val="00BB670C"/>
    <w:rsid w:val="00BC3FE0"/>
    <w:rsid w:val="00BC5CDC"/>
    <w:rsid w:val="00BC6CD9"/>
    <w:rsid w:val="00BC7AC2"/>
    <w:rsid w:val="00BD50E2"/>
    <w:rsid w:val="00BD6DC5"/>
    <w:rsid w:val="00BE5644"/>
    <w:rsid w:val="00BE7F6C"/>
    <w:rsid w:val="00BF22BF"/>
    <w:rsid w:val="00BF315F"/>
    <w:rsid w:val="00BF47CC"/>
    <w:rsid w:val="00BF5BC4"/>
    <w:rsid w:val="00C054FF"/>
    <w:rsid w:val="00C05991"/>
    <w:rsid w:val="00C06447"/>
    <w:rsid w:val="00C06ED5"/>
    <w:rsid w:val="00C1323B"/>
    <w:rsid w:val="00C16335"/>
    <w:rsid w:val="00C166BC"/>
    <w:rsid w:val="00C17C99"/>
    <w:rsid w:val="00C21E2F"/>
    <w:rsid w:val="00C24E10"/>
    <w:rsid w:val="00C309CD"/>
    <w:rsid w:val="00C31B73"/>
    <w:rsid w:val="00C352C5"/>
    <w:rsid w:val="00C36830"/>
    <w:rsid w:val="00C37078"/>
    <w:rsid w:val="00C37978"/>
    <w:rsid w:val="00C42390"/>
    <w:rsid w:val="00C463C1"/>
    <w:rsid w:val="00C475D8"/>
    <w:rsid w:val="00C47783"/>
    <w:rsid w:val="00C47F9F"/>
    <w:rsid w:val="00C50964"/>
    <w:rsid w:val="00C52138"/>
    <w:rsid w:val="00C53473"/>
    <w:rsid w:val="00C53D1D"/>
    <w:rsid w:val="00C5454E"/>
    <w:rsid w:val="00C54BB5"/>
    <w:rsid w:val="00C552A4"/>
    <w:rsid w:val="00C5717B"/>
    <w:rsid w:val="00C602ED"/>
    <w:rsid w:val="00C6067C"/>
    <w:rsid w:val="00C6151C"/>
    <w:rsid w:val="00C62741"/>
    <w:rsid w:val="00C70A7F"/>
    <w:rsid w:val="00C71E8A"/>
    <w:rsid w:val="00C72607"/>
    <w:rsid w:val="00C72EC4"/>
    <w:rsid w:val="00C74114"/>
    <w:rsid w:val="00C75F33"/>
    <w:rsid w:val="00C762BD"/>
    <w:rsid w:val="00C76DC2"/>
    <w:rsid w:val="00C80D64"/>
    <w:rsid w:val="00C80E4B"/>
    <w:rsid w:val="00C81236"/>
    <w:rsid w:val="00C81B22"/>
    <w:rsid w:val="00C83CE9"/>
    <w:rsid w:val="00C90E74"/>
    <w:rsid w:val="00C91593"/>
    <w:rsid w:val="00C92E3B"/>
    <w:rsid w:val="00C933FD"/>
    <w:rsid w:val="00C934E1"/>
    <w:rsid w:val="00C936F1"/>
    <w:rsid w:val="00CA31CB"/>
    <w:rsid w:val="00CB1A94"/>
    <w:rsid w:val="00CB1D0F"/>
    <w:rsid w:val="00CB487F"/>
    <w:rsid w:val="00CB66C1"/>
    <w:rsid w:val="00CB70D3"/>
    <w:rsid w:val="00CC0CA9"/>
    <w:rsid w:val="00CC0E44"/>
    <w:rsid w:val="00CC2ABB"/>
    <w:rsid w:val="00CC3D49"/>
    <w:rsid w:val="00CC7E09"/>
    <w:rsid w:val="00CD0A69"/>
    <w:rsid w:val="00CD0CF0"/>
    <w:rsid w:val="00CD2182"/>
    <w:rsid w:val="00CD2BD3"/>
    <w:rsid w:val="00CD38F6"/>
    <w:rsid w:val="00CD5337"/>
    <w:rsid w:val="00CE0D4E"/>
    <w:rsid w:val="00CE199F"/>
    <w:rsid w:val="00CE7357"/>
    <w:rsid w:val="00CF16A3"/>
    <w:rsid w:val="00CF3FD0"/>
    <w:rsid w:val="00CF517A"/>
    <w:rsid w:val="00CF5AC4"/>
    <w:rsid w:val="00D009E6"/>
    <w:rsid w:val="00D051AE"/>
    <w:rsid w:val="00D112A3"/>
    <w:rsid w:val="00D11F8C"/>
    <w:rsid w:val="00D12BC0"/>
    <w:rsid w:val="00D14586"/>
    <w:rsid w:val="00D14BB4"/>
    <w:rsid w:val="00D150AB"/>
    <w:rsid w:val="00D273C7"/>
    <w:rsid w:val="00D31AEA"/>
    <w:rsid w:val="00D31BD2"/>
    <w:rsid w:val="00D34589"/>
    <w:rsid w:val="00D35BC5"/>
    <w:rsid w:val="00D378B2"/>
    <w:rsid w:val="00D422D2"/>
    <w:rsid w:val="00D42C0F"/>
    <w:rsid w:val="00D45378"/>
    <w:rsid w:val="00D464E4"/>
    <w:rsid w:val="00D51499"/>
    <w:rsid w:val="00D54173"/>
    <w:rsid w:val="00D56832"/>
    <w:rsid w:val="00D6002C"/>
    <w:rsid w:val="00D612F4"/>
    <w:rsid w:val="00D643D5"/>
    <w:rsid w:val="00D67576"/>
    <w:rsid w:val="00D679DC"/>
    <w:rsid w:val="00D72B28"/>
    <w:rsid w:val="00D74BB3"/>
    <w:rsid w:val="00D76319"/>
    <w:rsid w:val="00D77D7D"/>
    <w:rsid w:val="00D82A90"/>
    <w:rsid w:val="00D871A5"/>
    <w:rsid w:val="00D90DDD"/>
    <w:rsid w:val="00D927A2"/>
    <w:rsid w:val="00D93E70"/>
    <w:rsid w:val="00D96FCC"/>
    <w:rsid w:val="00DA0A4F"/>
    <w:rsid w:val="00DA0C5B"/>
    <w:rsid w:val="00DA5482"/>
    <w:rsid w:val="00DA56FB"/>
    <w:rsid w:val="00DA5904"/>
    <w:rsid w:val="00DB0AC1"/>
    <w:rsid w:val="00DB2832"/>
    <w:rsid w:val="00DC3857"/>
    <w:rsid w:val="00DC5AF0"/>
    <w:rsid w:val="00DC6FB0"/>
    <w:rsid w:val="00DD1A6B"/>
    <w:rsid w:val="00DD2A69"/>
    <w:rsid w:val="00DD51C2"/>
    <w:rsid w:val="00DE2072"/>
    <w:rsid w:val="00DE7E2A"/>
    <w:rsid w:val="00DF06B9"/>
    <w:rsid w:val="00DF0771"/>
    <w:rsid w:val="00DF19C6"/>
    <w:rsid w:val="00DF276E"/>
    <w:rsid w:val="00DF34CA"/>
    <w:rsid w:val="00E00726"/>
    <w:rsid w:val="00E02106"/>
    <w:rsid w:val="00E02765"/>
    <w:rsid w:val="00E11F53"/>
    <w:rsid w:val="00E16133"/>
    <w:rsid w:val="00E17AA7"/>
    <w:rsid w:val="00E21092"/>
    <w:rsid w:val="00E21854"/>
    <w:rsid w:val="00E22996"/>
    <w:rsid w:val="00E23848"/>
    <w:rsid w:val="00E30F03"/>
    <w:rsid w:val="00E36FAE"/>
    <w:rsid w:val="00E40583"/>
    <w:rsid w:val="00E40716"/>
    <w:rsid w:val="00E41214"/>
    <w:rsid w:val="00E41282"/>
    <w:rsid w:val="00E414CC"/>
    <w:rsid w:val="00E41B96"/>
    <w:rsid w:val="00E4283C"/>
    <w:rsid w:val="00E44A9F"/>
    <w:rsid w:val="00E46787"/>
    <w:rsid w:val="00E52D7E"/>
    <w:rsid w:val="00E548BC"/>
    <w:rsid w:val="00E57175"/>
    <w:rsid w:val="00E60EB6"/>
    <w:rsid w:val="00E624E2"/>
    <w:rsid w:val="00E63305"/>
    <w:rsid w:val="00E64667"/>
    <w:rsid w:val="00E65538"/>
    <w:rsid w:val="00E72BD1"/>
    <w:rsid w:val="00E73FF9"/>
    <w:rsid w:val="00E765A0"/>
    <w:rsid w:val="00E77537"/>
    <w:rsid w:val="00E80FD4"/>
    <w:rsid w:val="00E817D9"/>
    <w:rsid w:val="00E84FB5"/>
    <w:rsid w:val="00E90176"/>
    <w:rsid w:val="00E91008"/>
    <w:rsid w:val="00E96278"/>
    <w:rsid w:val="00E962C1"/>
    <w:rsid w:val="00E9668D"/>
    <w:rsid w:val="00EA0C04"/>
    <w:rsid w:val="00EA17B6"/>
    <w:rsid w:val="00EA319F"/>
    <w:rsid w:val="00EA7226"/>
    <w:rsid w:val="00EA74DC"/>
    <w:rsid w:val="00EA7D79"/>
    <w:rsid w:val="00EB55F5"/>
    <w:rsid w:val="00EB71BE"/>
    <w:rsid w:val="00EC21D9"/>
    <w:rsid w:val="00EC2269"/>
    <w:rsid w:val="00EC3F9C"/>
    <w:rsid w:val="00EC5670"/>
    <w:rsid w:val="00EC5769"/>
    <w:rsid w:val="00ED115B"/>
    <w:rsid w:val="00EE1FD1"/>
    <w:rsid w:val="00EE45FC"/>
    <w:rsid w:val="00EE478B"/>
    <w:rsid w:val="00EE5D0E"/>
    <w:rsid w:val="00EF0AE1"/>
    <w:rsid w:val="00EF2964"/>
    <w:rsid w:val="00EF43EC"/>
    <w:rsid w:val="00EF5C67"/>
    <w:rsid w:val="00EF7075"/>
    <w:rsid w:val="00F01985"/>
    <w:rsid w:val="00F0244C"/>
    <w:rsid w:val="00F030A5"/>
    <w:rsid w:val="00F03996"/>
    <w:rsid w:val="00F06F4B"/>
    <w:rsid w:val="00F070D8"/>
    <w:rsid w:val="00F10198"/>
    <w:rsid w:val="00F1059C"/>
    <w:rsid w:val="00F10959"/>
    <w:rsid w:val="00F124F0"/>
    <w:rsid w:val="00F14375"/>
    <w:rsid w:val="00F1645D"/>
    <w:rsid w:val="00F21515"/>
    <w:rsid w:val="00F22F00"/>
    <w:rsid w:val="00F2308E"/>
    <w:rsid w:val="00F23D7F"/>
    <w:rsid w:val="00F2592C"/>
    <w:rsid w:val="00F2649A"/>
    <w:rsid w:val="00F27BCC"/>
    <w:rsid w:val="00F335FE"/>
    <w:rsid w:val="00F340EB"/>
    <w:rsid w:val="00F346E6"/>
    <w:rsid w:val="00F36571"/>
    <w:rsid w:val="00F4160C"/>
    <w:rsid w:val="00F41D05"/>
    <w:rsid w:val="00F42E12"/>
    <w:rsid w:val="00F50BF5"/>
    <w:rsid w:val="00F53298"/>
    <w:rsid w:val="00F6002D"/>
    <w:rsid w:val="00F6311A"/>
    <w:rsid w:val="00F64690"/>
    <w:rsid w:val="00F65C36"/>
    <w:rsid w:val="00F66996"/>
    <w:rsid w:val="00F702A9"/>
    <w:rsid w:val="00F70E33"/>
    <w:rsid w:val="00F715D7"/>
    <w:rsid w:val="00F7346A"/>
    <w:rsid w:val="00F745D6"/>
    <w:rsid w:val="00F75735"/>
    <w:rsid w:val="00F75ED8"/>
    <w:rsid w:val="00F76ACD"/>
    <w:rsid w:val="00F82CE2"/>
    <w:rsid w:val="00F85FF2"/>
    <w:rsid w:val="00F90478"/>
    <w:rsid w:val="00F9747E"/>
    <w:rsid w:val="00F97BFA"/>
    <w:rsid w:val="00FA1133"/>
    <w:rsid w:val="00FA4605"/>
    <w:rsid w:val="00FB0C0F"/>
    <w:rsid w:val="00FB4EB3"/>
    <w:rsid w:val="00FB675C"/>
    <w:rsid w:val="00FB6DA4"/>
    <w:rsid w:val="00FB74A3"/>
    <w:rsid w:val="00FC3877"/>
    <w:rsid w:val="00FC4C0D"/>
    <w:rsid w:val="00FD67E6"/>
    <w:rsid w:val="00FD6D67"/>
    <w:rsid w:val="00FE0882"/>
    <w:rsid w:val="00FE0A88"/>
    <w:rsid w:val="00FE2720"/>
    <w:rsid w:val="00FE566F"/>
    <w:rsid w:val="00FE6317"/>
    <w:rsid w:val="00FE6C5E"/>
    <w:rsid w:val="00FF09F0"/>
    <w:rsid w:val="00FF3294"/>
    <w:rsid w:val="00FF4D72"/>
    <w:rsid w:val="00FF50F8"/>
    <w:rsid w:val="5DA0587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adjustRightInd w:val="0"/>
      <w:snapToGrid w:val="0"/>
      <w:spacing w:after="200"/>
    </w:pPr>
    <w:rPr>
      <w:rFonts w:ascii="Tahoma" w:hAnsi="Tahoma" w:eastAsia="微软雅黑"/>
      <w:sz w:val="22"/>
      <w:szCs w:val="22"/>
      <w:lang w:val="en-US" w:eastAsia="zh-CN" w:bidi="ar-SA"/>
    </w:rPr>
  </w:style>
  <w:style w:type="character" w:default="1" w:styleId="7">
    <w:name w:val="Default Paragraph Font"/>
    <w:semiHidden/>
    <w:uiPriority w:val="0"/>
  </w:style>
  <w:style w:type="table" w:default="1" w:styleId="6">
    <w:name w:val="Normal Table"/>
    <w:semiHidden/>
    <w:uiPriority w:val="0"/>
    <w:tblPr>
      <w:tblStyle w:val="6"/>
      <w:tblCellMar>
        <w:top w:w="0" w:type="dxa"/>
        <w:left w:w="108" w:type="dxa"/>
        <w:bottom w:w="0" w:type="dxa"/>
        <w:right w:w="108" w:type="dxa"/>
      </w:tblCellMar>
    </w:tblPr>
    <w:trPr>
      <w:wBefore w:w="0" w:type="dxa"/>
    </w:trPr>
  </w:style>
  <w:style w:type="paragraph" w:styleId="2">
    <w:name w:val="Document Map"/>
    <w:basedOn w:val="1"/>
    <w:link w:val="13"/>
    <w:uiPriority w:val="0"/>
    <w:rPr>
      <w:rFonts w:ascii="Microsoft YaHei UI" w:eastAsia="Microsoft YaHei UI"/>
      <w:sz w:val="18"/>
      <w:szCs w:val="18"/>
    </w:rPr>
  </w:style>
  <w:style w:type="paragraph" w:styleId="3">
    <w:name w:val="Balloon Text"/>
    <w:basedOn w:val="1"/>
    <w:link w:val="11"/>
    <w:uiPriority w:val="0"/>
    <w:pPr>
      <w:spacing w:after="0"/>
    </w:pPr>
    <w:rPr>
      <w:sz w:val="18"/>
      <w:szCs w:val="18"/>
    </w:rPr>
  </w:style>
  <w:style w:type="paragraph" w:styleId="4">
    <w:name w:val="footer"/>
    <w:basedOn w:val="1"/>
    <w:link w:val="14"/>
    <w:uiPriority w:val="99"/>
    <w:pPr>
      <w:tabs>
        <w:tab w:val="center" w:pos="4153"/>
        <w:tab w:val="right" w:pos="8306"/>
      </w:tabs>
    </w:pPr>
    <w:rPr>
      <w:sz w:val="18"/>
      <w:szCs w:val="18"/>
    </w:rPr>
  </w:style>
  <w:style w:type="paragraph" w:styleId="5">
    <w:name w:val="header"/>
    <w:basedOn w:val="1"/>
    <w:link w:val="10"/>
    <w:uiPriority w:val="0"/>
    <w:pPr>
      <w:pBdr>
        <w:bottom w:val="single" w:color="auto" w:sz="6" w:space="1"/>
      </w:pBdr>
      <w:tabs>
        <w:tab w:val="center" w:pos="4153"/>
        <w:tab w:val="right" w:pos="8306"/>
      </w:tabs>
      <w:jc w:val="center"/>
    </w:pPr>
    <w:rPr>
      <w:sz w:val="18"/>
      <w:szCs w:val="18"/>
    </w:rPr>
  </w:style>
  <w:style w:type="character" w:styleId="8">
    <w:name w:val="page number"/>
    <w:basedOn w:val="7"/>
    <w:uiPriority w:val="0"/>
  </w:style>
  <w:style w:type="paragraph" w:customStyle="1" w:styleId="9">
    <w:name w:val="p0"/>
    <w:basedOn w:val="1"/>
    <w:uiPriority w:val="0"/>
    <w:pPr>
      <w:adjustRightInd/>
      <w:snapToGrid/>
      <w:spacing w:after="0"/>
      <w:jc w:val="both"/>
    </w:pPr>
    <w:rPr>
      <w:rFonts w:ascii="Times New Roman" w:hAnsi="Times New Roman" w:eastAsia="宋体"/>
      <w:sz w:val="21"/>
      <w:szCs w:val="21"/>
    </w:rPr>
  </w:style>
  <w:style w:type="character" w:customStyle="1" w:styleId="10">
    <w:name w:val="页眉 Char"/>
    <w:link w:val="5"/>
    <w:uiPriority w:val="0"/>
    <w:rPr>
      <w:rFonts w:ascii="Tahoma" w:hAnsi="Tahoma" w:eastAsia="微软雅黑"/>
      <w:sz w:val="18"/>
      <w:szCs w:val="18"/>
    </w:rPr>
  </w:style>
  <w:style w:type="character" w:customStyle="1" w:styleId="11">
    <w:name w:val="批注框文本 Char"/>
    <w:link w:val="3"/>
    <w:uiPriority w:val="0"/>
    <w:rPr>
      <w:rFonts w:ascii="Tahoma" w:hAnsi="Tahoma" w:eastAsia="微软雅黑"/>
      <w:sz w:val="18"/>
      <w:szCs w:val="18"/>
    </w:rPr>
  </w:style>
  <w:style w:type="paragraph" w:customStyle="1" w:styleId="12">
    <w:name w:val="Char Char Char"/>
    <w:basedOn w:val="2"/>
    <w:uiPriority w:val="0"/>
    <w:pPr>
      <w:widowControl w:val="0"/>
      <w:shd w:val="clear" w:color="auto" w:fill="000080"/>
      <w:snapToGrid/>
      <w:spacing w:after="0" w:line="436" w:lineRule="exact"/>
      <w:ind w:left="357"/>
      <w:outlineLvl w:val="3"/>
    </w:pPr>
    <w:rPr>
      <w:rFonts w:ascii="Tahoma" w:eastAsia="宋体"/>
      <w:b/>
      <w:kern w:val="2"/>
      <w:sz w:val="24"/>
      <w:szCs w:val="28"/>
    </w:rPr>
  </w:style>
  <w:style w:type="character" w:customStyle="1" w:styleId="13">
    <w:name w:val="文档结构图 Char"/>
    <w:link w:val="2"/>
    <w:uiPriority w:val="0"/>
    <w:rPr>
      <w:rFonts w:ascii="Microsoft YaHei UI" w:hAnsi="Tahoma" w:eastAsia="Microsoft YaHei UI"/>
      <w:sz w:val="18"/>
      <w:szCs w:val="18"/>
    </w:rPr>
  </w:style>
  <w:style w:type="character" w:customStyle="1" w:styleId="14">
    <w:name w:val="页脚 Char"/>
    <w:link w:val="4"/>
    <w:uiPriority w:val="99"/>
    <w:rPr>
      <w:rFonts w:ascii="Tahoma" w:hAnsi="Tahoma" w:eastAsia="微软雅黑"/>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137</Pages>
  <Words>8047</Words>
  <Characters>45874</Characters>
  <Lines>382</Lines>
  <Paragraphs>107</Paragraphs>
  <TotalTime>0</TotalTime>
  <ScaleCrop>false</ScaleCrop>
  <LinksUpToDate>false</LinksUpToDate>
  <CharactersWithSpaces>53814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2016-05-11T03:12:00Z</dcterms:created>
  <dc:creator>鲜建强</dc:creator>
  <cp:lastModifiedBy>tcrj</cp:lastModifiedBy>
  <cp:lastPrinted>2016-04-18T07:30:00Z</cp:lastPrinted>
  <dcterms:modified xsi:type="dcterms:W3CDTF">2021-06-08T03:01:01Z</dcterms:modified>
  <dc:title>“十三五”（2016-2020）时期，是宝鸡全面建成小康社会的决胜期、优化结构的攻坚期、追赶超越的关键期，也是宝鸡抢抓“一带一路”建设重大机遇、全面建设关天经济区副中心城市的冲刺期</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093D88F48536481AA5B3461F423401AB</vt:lpwstr>
  </property>
</Properties>
</file>