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center"/>
        <w:textAlignment w:val="auto"/>
        <w:outlineLvl w:val="9"/>
        <w:rPr>
          <w:rFonts w:hint="eastAsia" w:ascii="方正小标宋简体" w:hAnsi="Calibri" w:eastAsia="方正小标宋简体"/>
          <w:b/>
          <w:bCs w:val="0"/>
          <w:color w:val="000000"/>
          <w:spacing w:val="0"/>
          <w:w w:val="95"/>
          <w:sz w:val="60"/>
          <w:szCs w:val="60"/>
        </w:rPr>
      </w:pPr>
      <w:bookmarkStart w:id="80" w:name="_GoBack"/>
      <w:bookmarkEnd w:id="80"/>
    </w:p>
    <w:p>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center"/>
        <w:textAlignment w:val="auto"/>
        <w:outlineLvl w:val="9"/>
        <w:rPr>
          <w:rFonts w:hint="eastAsia" w:ascii="方正小标宋简体" w:hAnsi="Calibri" w:eastAsia="方正小标宋简体"/>
          <w:b/>
          <w:bCs w:val="0"/>
          <w:color w:val="000000"/>
          <w:spacing w:val="0"/>
          <w:w w:val="95"/>
          <w:sz w:val="60"/>
          <w:szCs w:val="60"/>
        </w:rPr>
      </w:pPr>
    </w:p>
    <w:p>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center"/>
        <w:textAlignment w:val="auto"/>
        <w:outlineLvl w:val="9"/>
        <w:rPr>
          <w:rFonts w:hint="eastAsia" w:ascii="方正小标宋简体" w:hAnsi="Calibri" w:eastAsia="方正小标宋简体"/>
          <w:b/>
          <w:bCs w:val="0"/>
          <w:color w:val="000000"/>
          <w:spacing w:val="0"/>
          <w:w w:val="95"/>
          <w:sz w:val="60"/>
          <w:szCs w:val="60"/>
        </w:rPr>
      </w:pPr>
    </w:p>
    <w:p>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center"/>
        <w:textAlignment w:val="auto"/>
        <w:outlineLvl w:val="9"/>
        <w:rPr>
          <w:rFonts w:hint="eastAsia" w:ascii="仿宋_GB2312" w:hAnsi="Calibri" w:eastAsia="仿宋_GB2312"/>
          <w:b/>
          <w:bCs w:val="0"/>
          <w:color w:val="000000"/>
          <w:spacing w:val="0"/>
          <w:w w:val="95"/>
          <w:kern w:val="0"/>
          <w:sz w:val="60"/>
          <w:szCs w:val="60"/>
        </w:rPr>
      </w:pPr>
      <w:r>
        <w:rPr>
          <w:rFonts w:hint="eastAsia" w:ascii="方正小标宋简体" w:hAnsi="Calibri" w:eastAsia="方正小标宋简体"/>
          <w:b/>
          <w:bCs w:val="0"/>
          <w:color w:val="000000"/>
          <w:spacing w:val="0"/>
          <w:w w:val="95"/>
          <w:sz w:val="60"/>
          <w:szCs w:val="60"/>
        </w:rPr>
        <w:t>安康市国民经济和社会发展</w:t>
      </w:r>
    </w:p>
    <w:p>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center"/>
        <w:textAlignment w:val="auto"/>
        <w:outlineLvl w:val="9"/>
        <w:rPr>
          <w:rFonts w:hint="eastAsia" w:ascii="方正小标宋简体" w:hAnsi="Calibri" w:eastAsia="方正小标宋简体"/>
          <w:bCs/>
          <w:color w:val="000000"/>
          <w:spacing w:val="0"/>
          <w:w w:val="90"/>
          <w:sz w:val="60"/>
          <w:szCs w:val="60"/>
        </w:rPr>
      </w:pPr>
      <w:r>
        <w:rPr>
          <w:rFonts w:hint="eastAsia" w:ascii="方正小标宋简体" w:hAnsi="Calibri" w:eastAsia="方正小标宋简体"/>
          <w:b/>
          <w:bCs w:val="0"/>
          <w:color w:val="000000"/>
          <w:spacing w:val="0"/>
          <w:w w:val="95"/>
          <w:sz w:val="60"/>
          <w:szCs w:val="60"/>
        </w:rPr>
        <w:t>第十三个五年规划纲要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000000"/>
          <w:spacing w:val="0"/>
          <w:sz w:val="32"/>
          <w:szCs w:val="32"/>
          <w:lang w:val="en-US" w:eastAsia="zh-CN"/>
        </w:rPr>
      </w:pPr>
      <w:r>
        <w:rPr>
          <w:rFonts w:hint="eastAsia" w:ascii="仿宋_GB2312" w:hAnsi="仿宋_GB2312" w:eastAsia="仿宋_GB2312" w:cs="仿宋_GB2312"/>
          <w:b w:val="0"/>
          <w:bCs/>
          <w:color w:val="000000"/>
          <w:spacing w:val="0"/>
          <w:sz w:val="32"/>
          <w:szCs w:val="32"/>
          <w:lang w:val="en-US" w:eastAsia="zh-CN"/>
        </w:rPr>
        <w:t>（2016年2月29日安康市第三届人民代表大会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000000"/>
          <w:spacing w:val="0"/>
          <w:sz w:val="32"/>
          <w:szCs w:val="32"/>
          <w:lang w:val="en-US" w:eastAsia="zh-CN"/>
        </w:rPr>
      </w:pPr>
      <w:r>
        <w:rPr>
          <w:rFonts w:hint="eastAsia" w:ascii="仿宋_GB2312" w:hAnsi="仿宋_GB2312" w:eastAsia="仿宋_GB2312" w:cs="仿宋_GB2312"/>
          <w:b w:val="0"/>
          <w:bCs/>
          <w:color w:val="000000"/>
          <w:spacing w:val="0"/>
          <w:sz w:val="32"/>
          <w:szCs w:val="32"/>
          <w:lang w:val="en-US" w:eastAsia="zh-CN"/>
        </w:rPr>
        <w:t>第七次会议批准）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000000"/>
          <w:spacing w:val="0"/>
          <w:sz w:val="32"/>
          <w:szCs w:val="32"/>
          <w:lang w:val="en-US" w:eastAsia="zh-CN"/>
        </w:rPr>
      </w:pPr>
    </w:p>
    <w:p>
      <w:pPr>
        <w:spacing w:line="800" w:lineRule="exact"/>
        <w:jc w:val="center"/>
        <w:rPr>
          <w:rFonts w:hint="eastAsia" w:ascii="仿宋_GB2312" w:hAnsi="Calibri" w:eastAsia="仿宋_GB2312"/>
          <w:color w:val="000000"/>
          <w:kern w:val="0"/>
          <w:sz w:val="32"/>
          <w:szCs w:val="32"/>
        </w:rPr>
      </w:pPr>
    </w:p>
    <w:p>
      <w:pPr>
        <w:spacing w:line="800" w:lineRule="exact"/>
        <w:jc w:val="center"/>
        <w:rPr>
          <w:rFonts w:hint="eastAsia" w:ascii="仿宋_GB2312" w:hAnsi="Calibri" w:eastAsia="仿宋_GB2312"/>
          <w:color w:val="000000"/>
          <w:kern w:val="0"/>
          <w:sz w:val="32"/>
          <w:szCs w:val="32"/>
        </w:rPr>
      </w:pPr>
    </w:p>
    <w:p>
      <w:pPr>
        <w:spacing w:line="800" w:lineRule="exact"/>
        <w:jc w:val="center"/>
        <w:rPr>
          <w:rFonts w:hint="eastAsia" w:ascii="仿宋_GB2312" w:hAnsi="Calibri" w:eastAsia="仿宋_GB2312"/>
          <w:color w:val="000000"/>
          <w:kern w:val="0"/>
          <w:sz w:val="32"/>
          <w:szCs w:val="32"/>
        </w:rPr>
      </w:pPr>
    </w:p>
    <w:p>
      <w:pPr>
        <w:spacing w:line="800" w:lineRule="exact"/>
        <w:jc w:val="center"/>
        <w:rPr>
          <w:rFonts w:hint="eastAsia" w:ascii="仿宋_GB2312" w:hAnsi="Calibri" w:eastAsia="仿宋_GB2312"/>
          <w:color w:val="000000"/>
          <w:kern w:val="0"/>
          <w:sz w:val="32"/>
          <w:szCs w:val="32"/>
        </w:rPr>
      </w:pPr>
    </w:p>
    <w:p>
      <w:pPr>
        <w:spacing w:line="800" w:lineRule="exact"/>
        <w:jc w:val="center"/>
        <w:rPr>
          <w:rFonts w:hint="eastAsia" w:ascii="仿宋_GB2312" w:hAnsi="Calibri" w:eastAsia="仿宋_GB2312"/>
          <w:color w:val="000000"/>
          <w:kern w:val="0"/>
          <w:sz w:val="32"/>
          <w:szCs w:val="32"/>
        </w:rPr>
      </w:pPr>
    </w:p>
    <w:p>
      <w:pPr>
        <w:spacing w:line="800" w:lineRule="exact"/>
        <w:jc w:val="center"/>
        <w:rPr>
          <w:rFonts w:hint="eastAsia" w:ascii="仿宋_GB2312" w:hAnsi="Calibri" w:eastAsia="仿宋_GB2312"/>
          <w:color w:val="000000"/>
          <w:kern w:val="0"/>
          <w:sz w:val="32"/>
          <w:szCs w:val="32"/>
        </w:rPr>
      </w:pPr>
    </w:p>
    <w:p>
      <w:pPr>
        <w:spacing w:line="800" w:lineRule="exact"/>
        <w:jc w:val="center"/>
        <w:rPr>
          <w:rFonts w:hint="eastAsia" w:ascii="仿宋_GB2312" w:hAnsi="Calibri" w:eastAsia="仿宋_GB2312"/>
          <w:color w:val="000000"/>
          <w:kern w:val="0"/>
          <w:sz w:val="32"/>
          <w:szCs w:val="32"/>
        </w:rPr>
      </w:pPr>
    </w:p>
    <w:p>
      <w:pPr>
        <w:widowControl/>
        <w:spacing w:line="560" w:lineRule="exact"/>
        <w:rPr>
          <w:rFonts w:hint="eastAsia" w:ascii="仿宋_GB2312" w:hAnsi="宋体" w:eastAsia="仿宋_GB2312" w:cs="宋体"/>
          <w:color w:val="000000"/>
          <w:sz w:val="32"/>
          <w:szCs w:val="32"/>
        </w:rPr>
        <w:sectPr>
          <w:headerReference r:id="rId3" w:type="default"/>
          <w:footerReference r:id="rId4" w:type="default"/>
          <w:pgSz w:w="11849" w:h="16781"/>
          <w:pgMar w:top="1984" w:right="1474" w:bottom="1984" w:left="1474" w:header="992" w:footer="1417" w:gutter="0"/>
          <w:cols w:space="720" w:num="1"/>
          <w:rtlGutter w:val="0"/>
          <w:docGrid w:linePitch="312" w:charSpace="0"/>
        </w:sectPr>
      </w:pPr>
    </w:p>
    <w:p>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center"/>
        <w:textAlignment w:val="auto"/>
        <w:outlineLvl w:val="9"/>
        <w:rPr>
          <w:rFonts w:hint="eastAsia" w:ascii="方正小标宋简体" w:hAnsi="Calibri" w:eastAsia="方正小标宋简体"/>
          <w:b/>
          <w:bCs w:val="0"/>
          <w:color w:val="000000"/>
          <w:spacing w:val="0"/>
          <w:w w:val="95"/>
          <w:sz w:val="40"/>
          <w:szCs w:val="40"/>
        </w:rPr>
      </w:pPr>
    </w:p>
    <w:p>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center"/>
        <w:textAlignment w:val="auto"/>
        <w:outlineLvl w:val="9"/>
        <w:rPr>
          <w:rFonts w:hint="eastAsia" w:ascii="方正小标宋简体" w:hAnsi="Calibri" w:eastAsia="方正小标宋简体"/>
          <w:bCs/>
          <w:color w:val="000000"/>
          <w:spacing w:val="0"/>
          <w:w w:val="90"/>
          <w:sz w:val="40"/>
          <w:szCs w:val="40"/>
        </w:rPr>
      </w:pPr>
      <w:r>
        <w:rPr>
          <w:rFonts w:hint="eastAsia" w:ascii="方正小标宋简体" w:hAnsi="Calibri" w:eastAsia="方正小标宋简体"/>
          <w:b/>
          <w:bCs w:val="0"/>
          <w:color w:val="000000"/>
          <w:spacing w:val="0"/>
          <w:w w:val="95"/>
          <w:sz w:val="40"/>
          <w:szCs w:val="40"/>
        </w:rPr>
        <w:t>安康市国民经济和社会发展第十三个五年规划纲要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000000"/>
          <w:spacing w:val="0"/>
          <w:sz w:val="32"/>
          <w:szCs w:val="32"/>
          <w:lang w:val="en-US" w:eastAsia="zh-CN"/>
        </w:rPr>
      </w:pPr>
      <w:r>
        <w:rPr>
          <w:rFonts w:hint="eastAsia" w:ascii="仿宋_GB2312" w:hAnsi="仿宋_GB2312" w:eastAsia="仿宋_GB2312" w:cs="仿宋_GB2312"/>
          <w:b w:val="0"/>
          <w:bCs/>
          <w:color w:val="000000"/>
          <w:spacing w:val="0"/>
          <w:sz w:val="32"/>
          <w:szCs w:val="32"/>
          <w:lang w:val="en-US" w:eastAsia="zh-CN"/>
        </w:rPr>
        <w:t>（2016年2月29日安康市第三届人民代表大会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000000"/>
          <w:spacing w:val="0"/>
          <w:sz w:val="32"/>
          <w:szCs w:val="32"/>
          <w:lang w:val="en-US" w:eastAsia="zh-CN"/>
        </w:rPr>
      </w:pPr>
      <w:r>
        <w:rPr>
          <w:rFonts w:hint="eastAsia" w:ascii="仿宋_GB2312" w:hAnsi="仿宋_GB2312" w:eastAsia="仿宋_GB2312" w:cs="仿宋_GB2312"/>
          <w:b w:val="0"/>
          <w:bCs/>
          <w:color w:val="000000"/>
          <w:spacing w:val="0"/>
          <w:sz w:val="32"/>
          <w:szCs w:val="32"/>
          <w:lang w:val="en-US" w:eastAsia="zh-CN"/>
        </w:rPr>
        <w:t>第七次会议批准）</w:t>
      </w:r>
    </w:p>
    <w:p>
      <w:pPr>
        <w:rPr>
          <w:rFonts w:hint="eastAsia" w:ascii="黑体" w:hAnsi="黑体" w:eastAsia="黑体" w:cs="黑体"/>
          <w:b/>
          <w:bCs/>
          <w:snapToGrid w:val="0"/>
          <w:color w:val="000000"/>
          <w:kern w:val="0"/>
          <w:sz w:val="44"/>
          <w:szCs w:val="44"/>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eastAsia="仿宋_GB2312"/>
          <w:snapToGrid w:val="0"/>
          <w:color w:val="000000"/>
          <w:kern w:val="0"/>
          <w:sz w:val="32"/>
          <w:szCs w:val="32"/>
        </w:rPr>
      </w:pPr>
      <w:r>
        <w:rPr>
          <w:rFonts w:hint="eastAsia" w:eastAsia="仿宋_GB2312"/>
          <w:snapToGrid w:val="0"/>
          <w:color w:val="000000"/>
          <w:kern w:val="0"/>
          <w:sz w:val="32"/>
          <w:szCs w:val="32"/>
        </w:rPr>
        <w:t>“十三</w:t>
      </w:r>
      <w:r>
        <w:rPr>
          <w:rFonts w:hint="eastAsia" w:ascii="仿宋_GB2312" w:hAnsi="仿宋_GB2312" w:eastAsia="仿宋_GB2312" w:cs="仿宋_GB2312"/>
          <w:snapToGrid w:val="0"/>
          <w:color w:val="000000"/>
          <w:kern w:val="0"/>
          <w:sz w:val="32"/>
          <w:szCs w:val="32"/>
        </w:rPr>
        <w:t>五”（</w:t>
      </w:r>
      <w:r>
        <w:rPr>
          <w:rFonts w:ascii="仿宋_GB2312" w:hAnsi="仿宋_GB2312" w:eastAsia="仿宋_GB2312" w:cs="仿宋_GB2312"/>
          <w:snapToGrid w:val="0"/>
          <w:color w:val="000000"/>
          <w:kern w:val="0"/>
          <w:sz w:val="32"/>
          <w:szCs w:val="32"/>
        </w:rPr>
        <w:t>2016-2020</w:t>
      </w:r>
      <w:r>
        <w:rPr>
          <w:rFonts w:hint="eastAsia" w:ascii="仿宋_GB2312" w:hAnsi="仿宋_GB2312" w:eastAsia="仿宋_GB2312" w:cs="仿宋_GB2312"/>
          <w:snapToGrid w:val="0"/>
          <w:color w:val="000000"/>
          <w:kern w:val="0"/>
          <w:sz w:val="32"/>
          <w:szCs w:val="32"/>
          <w:lang w:eastAsia="zh-CN"/>
        </w:rPr>
        <w:t>年</w:t>
      </w:r>
      <w:r>
        <w:rPr>
          <w:rFonts w:hint="eastAsia" w:ascii="仿宋_GB2312" w:hAnsi="仿宋_GB2312" w:eastAsia="仿宋_GB2312" w:cs="仿宋_GB2312"/>
          <w:snapToGrid w:val="0"/>
          <w:color w:val="000000"/>
          <w:kern w:val="0"/>
          <w:sz w:val="32"/>
          <w:szCs w:val="32"/>
        </w:rPr>
        <w:t>）</w:t>
      </w:r>
      <w:r>
        <w:rPr>
          <w:rFonts w:hint="eastAsia" w:eastAsia="仿宋_GB2312"/>
          <w:snapToGrid w:val="0"/>
          <w:color w:val="000000"/>
          <w:kern w:val="0"/>
          <w:sz w:val="32"/>
          <w:szCs w:val="32"/>
        </w:rPr>
        <w:t>时期，是全面建成小康社会的决胜期，是</w:t>
      </w:r>
      <w:r>
        <w:rPr>
          <w:rFonts w:hint="eastAsia" w:eastAsia="仿宋_GB2312"/>
          <w:snapToGrid w:val="0"/>
          <w:color w:val="000000"/>
          <w:kern w:val="0"/>
          <w:sz w:val="32"/>
          <w:szCs w:val="32"/>
          <w:lang w:eastAsia="zh-CN"/>
        </w:rPr>
        <w:t>实现</w:t>
      </w:r>
      <w:r>
        <w:rPr>
          <w:rFonts w:hint="eastAsia" w:eastAsia="仿宋_GB2312"/>
          <w:snapToGrid w:val="0"/>
          <w:color w:val="000000"/>
          <w:kern w:val="0"/>
          <w:sz w:val="32"/>
          <w:szCs w:val="32"/>
        </w:rPr>
        <w:t>追赶超越</w:t>
      </w:r>
      <w:r>
        <w:rPr>
          <w:rFonts w:hint="eastAsia" w:eastAsia="仿宋_GB2312"/>
          <w:snapToGrid w:val="0"/>
          <w:color w:val="000000"/>
          <w:kern w:val="0"/>
          <w:sz w:val="32"/>
          <w:szCs w:val="32"/>
          <w:lang w:eastAsia="zh-CN"/>
        </w:rPr>
        <w:t>目标、</w:t>
      </w:r>
      <w:r>
        <w:rPr>
          <w:rFonts w:hint="eastAsia" w:eastAsia="仿宋_GB2312"/>
          <w:snapToGrid w:val="0"/>
          <w:color w:val="000000"/>
          <w:kern w:val="0"/>
          <w:sz w:val="32"/>
          <w:szCs w:val="32"/>
        </w:rPr>
        <w:t>推进美丽富裕新安康建设迈向更高水平的关键期，是确保农村贫困人口全面脱贫、贫困县全部摘帽的冲刺期。根据党的十八届五中全会和中省市有关会议精神，编制《安康市国民经济和社会发展第十三个五年规划纲要》。</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eastAsia="仿宋_GB2312"/>
          <w:snapToGrid w:val="0"/>
          <w:color w:val="000000"/>
          <w:kern w:val="0"/>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eastAsia" w:ascii="方正小标宋简体" w:hAnsi="黑体" w:eastAsia="方正小标宋简体" w:cs="黑体"/>
          <w:color w:val="000000"/>
          <w:sz w:val="36"/>
          <w:szCs w:val="36"/>
        </w:rPr>
      </w:pPr>
      <w:bookmarkStart w:id="0" w:name="_Toc436739610"/>
      <w:bookmarkStart w:id="1" w:name="_Toc25624"/>
      <w:r>
        <w:rPr>
          <w:rFonts w:hint="eastAsia" w:ascii="方正小标宋简体" w:hAnsi="黑体" w:eastAsia="方正小标宋简体" w:cs="黑体"/>
          <w:color w:val="000000"/>
          <w:sz w:val="36"/>
          <w:szCs w:val="36"/>
        </w:rPr>
        <w:t>第一章</w:t>
      </w:r>
      <w:r>
        <w:rPr>
          <w:rFonts w:hint="eastAsia" w:ascii="方正小标宋简体" w:hAnsi="黑体" w:eastAsia="方正小标宋简体" w:cs="黑体"/>
          <w:color w:val="000000"/>
          <w:sz w:val="36"/>
          <w:szCs w:val="36"/>
          <w:lang w:val="en-US" w:eastAsia="zh-CN"/>
        </w:rPr>
        <w:t xml:space="preserve">  </w:t>
      </w:r>
      <w:r>
        <w:rPr>
          <w:rFonts w:hint="eastAsia" w:ascii="方正小标宋简体" w:hAnsi="黑体" w:eastAsia="方正小标宋简体" w:cs="黑体"/>
          <w:color w:val="000000"/>
          <w:sz w:val="36"/>
          <w:szCs w:val="36"/>
        </w:rPr>
        <w:t>追赶超越　建设美丽富裕新安康</w:t>
      </w:r>
      <w:bookmarkEnd w:id="0"/>
      <w:bookmarkEnd w:id="1"/>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eastAsia="仿宋_GB2312"/>
          <w:snapToGrid w:val="0"/>
          <w:color w:val="000000"/>
          <w:kern w:val="0"/>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eastAsia="仿宋_GB2312"/>
          <w:snapToGrid w:val="0"/>
          <w:color w:val="000000"/>
          <w:kern w:val="0"/>
          <w:sz w:val="32"/>
          <w:szCs w:val="32"/>
        </w:rPr>
      </w:pPr>
      <w:r>
        <w:rPr>
          <w:rFonts w:hint="eastAsia" w:eastAsia="仿宋_GB2312"/>
          <w:snapToGrid w:val="0"/>
          <w:color w:val="000000"/>
          <w:kern w:val="0"/>
          <w:sz w:val="32"/>
          <w:szCs w:val="32"/>
        </w:rPr>
        <w:t>全面总结成绩经验，准确把握发展阶段，科学审视市情特征，客观研判环境变化，站在新起点，谋划新发展，努力在追赶超越中唱响安康节奏。</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eastAsia="仿宋_GB2312"/>
          <w:snapToGrid w:val="0"/>
          <w:color w:val="000000"/>
          <w:kern w:val="0"/>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1"/>
        <w:rPr>
          <w:rFonts w:eastAsia="黑体"/>
          <w:bCs/>
          <w:snapToGrid w:val="0"/>
          <w:color w:val="000000"/>
          <w:spacing w:val="6"/>
          <w:kern w:val="0"/>
          <w:sz w:val="32"/>
          <w:szCs w:val="32"/>
        </w:rPr>
      </w:pPr>
      <w:bookmarkStart w:id="2" w:name="_Toc8162"/>
      <w:bookmarkStart w:id="3" w:name="_Toc436739611"/>
      <w:r>
        <w:rPr>
          <w:rFonts w:hint="eastAsia" w:eastAsia="黑体"/>
          <w:bCs/>
          <w:snapToGrid w:val="0"/>
          <w:color w:val="000000"/>
          <w:spacing w:val="6"/>
          <w:kern w:val="0"/>
          <w:sz w:val="32"/>
          <w:szCs w:val="32"/>
        </w:rPr>
        <w:t>第一节</w:t>
      </w:r>
      <w:r>
        <w:rPr>
          <w:rFonts w:hint="eastAsia" w:eastAsia="黑体"/>
          <w:bCs/>
          <w:snapToGrid w:val="0"/>
          <w:color w:val="000000"/>
          <w:spacing w:val="6"/>
          <w:kern w:val="0"/>
          <w:sz w:val="32"/>
          <w:szCs w:val="32"/>
          <w:lang w:val="en-US" w:eastAsia="zh-CN"/>
        </w:rPr>
        <w:t xml:space="preserve">  </w:t>
      </w:r>
      <w:r>
        <w:rPr>
          <w:rFonts w:hint="eastAsia" w:eastAsia="黑体"/>
          <w:bCs/>
          <w:snapToGrid w:val="0"/>
          <w:color w:val="000000"/>
          <w:spacing w:val="6"/>
          <w:kern w:val="0"/>
          <w:sz w:val="32"/>
          <w:szCs w:val="32"/>
        </w:rPr>
        <w:t>发展基础</w:t>
      </w:r>
      <w:bookmarkEnd w:id="2"/>
      <w:bookmarkEnd w:id="3"/>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eastAsia="仿宋_GB2312"/>
          <w:snapToGrid w:val="0"/>
          <w:color w:val="000000"/>
          <w:kern w:val="0"/>
          <w:sz w:val="32"/>
          <w:szCs w:val="32"/>
        </w:rPr>
      </w:pPr>
      <w:r>
        <w:rPr>
          <w:rFonts w:hint="eastAsia" w:eastAsia="仿宋_GB2312"/>
          <w:snapToGrid w:val="0"/>
          <w:color w:val="000000"/>
          <w:kern w:val="0"/>
          <w:sz w:val="32"/>
          <w:szCs w:val="32"/>
        </w:rPr>
        <w:t>“十二五”时期，在市委、市政府的坚强领导下，全市上下抢抓国家新一轮西部大开发和陕南循环发展战略机遇，紧扣科学发展、富民强市主题和加快转变经济发展方式主线，积极应对经济下行压力，主动适应经济发展新常态，推动国民经济和社会发展迈上新台阶。“十二五”规划确定的主要目标基本实现</w:t>
      </w:r>
      <w:r>
        <w:rPr>
          <w:rFonts w:hint="eastAsia" w:ascii="仿宋_GB2312" w:eastAsia="仿宋_GB2312"/>
          <w:color w:val="000000"/>
          <w:sz w:val="32"/>
          <w:szCs w:val="32"/>
        </w:rPr>
        <w:t>，安康发展已站在新的历史起点上</w:t>
      </w:r>
      <w:r>
        <w:rPr>
          <w:rFonts w:hint="eastAsia" w:eastAsia="仿宋_GB2312"/>
          <w:snapToGrid w:val="0"/>
          <w:color w:val="000000"/>
          <w:kern w:val="0"/>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snapToGrid w:val="0"/>
          <w:color w:val="000000"/>
          <w:kern w:val="0"/>
          <w:sz w:val="32"/>
          <w:szCs w:val="32"/>
        </w:rPr>
      </w:pPr>
      <w:r>
        <w:rPr>
          <w:rFonts w:hint="eastAsia" w:eastAsia="仿宋_GB2312"/>
          <w:b/>
          <w:snapToGrid w:val="0"/>
          <w:color w:val="000000"/>
          <w:kern w:val="0"/>
          <w:sz w:val="32"/>
          <w:szCs w:val="32"/>
        </w:rPr>
        <w:t>综合实力显著提升。</w:t>
      </w:r>
      <w:r>
        <w:rPr>
          <w:rFonts w:hint="eastAsia" w:ascii="仿宋_GB2312" w:hAnsi="仿宋_GB2312" w:eastAsia="仿宋_GB2312" w:cs="仿宋_GB2312"/>
          <w:snapToGrid w:val="0"/>
          <w:color w:val="000000"/>
          <w:kern w:val="0"/>
          <w:sz w:val="32"/>
          <w:szCs w:val="32"/>
        </w:rPr>
        <w:t>生产总值达到</w:t>
      </w:r>
      <w:r>
        <w:rPr>
          <w:rFonts w:hint="eastAsia" w:ascii="仿宋_GB2312" w:hAnsi="仿宋_GB2312" w:eastAsia="仿宋_GB2312" w:cs="仿宋_GB2312"/>
          <w:snapToGrid w:val="0"/>
          <w:color w:val="000000"/>
          <w:kern w:val="0"/>
          <w:sz w:val="32"/>
          <w:szCs w:val="32"/>
          <w:lang w:val="en-US" w:eastAsia="zh-CN"/>
        </w:rPr>
        <w:t>772.46</w:t>
      </w:r>
      <w:r>
        <w:rPr>
          <w:rFonts w:hint="eastAsia" w:ascii="仿宋_GB2312" w:hAnsi="仿宋_GB2312" w:eastAsia="仿宋_GB2312" w:cs="仿宋_GB2312"/>
          <w:snapToGrid w:val="0"/>
          <w:color w:val="000000"/>
          <w:kern w:val="0"/>
          <w:sz w:val="32"/>
          <w:szCs w:val="32"/>
        </w:rPr>
        <w:t>亿元，提前一年实现翻番</w:t>
      </w:r>
      <w:r>
        <w:rPr>
          <w:rFonts w:hint="eastAsia" w:ascii="仿宋_GB2312" w:hAnsi="仿宋_GB2312" w:eastAsia="仿宋_GB2312" w:cs="仿宋_GB2312"/>
          <w:snapToGrid w:val="0"/>
          <w:color w:val="000000"/>
          <w:kern w:val="0"/>
          <w:sz w:val="32"/>
          <w:szCs w:val="32"/>
          <w:lang w:eastAsia="zh-CN"/>
        </w:rPr>
        <w:t>，是</w:t>
      </w:r>
      <w:r>
        <w:rPr>
          <w:rFonts w:hint="eastAsia" w:ascii="仿宋_GB2312" w:hAnsi="仿宋_GB2312" w:eastAsia="仿宋_GB2312" w:cs="仿宋_GB2312"/>
          <w:snapToGrid w:val="0"/>
          <w:color w:val="000000"/>
          <w:kern w:val="0"/>
          <w:sz w:val="32"/>
          <w:szCs w:val="32"/>
          <w:lang w:val="en-US" w:eastAsia="zh-CN"/>
        </w:rPr>
        <w:t>2010年的2.4倍</w:t>
      </w:r>
      <w:r>
        <w:rPr>
          <w:rFonts w:hint="eastAsia" w:ascii="仿宋_GB2312" w:hAnsi="仿宋_GB2312" w:eastAsia="仿宋_GB2312" w:cs="仿宋_GB2312"/>
          <w:snapToGrid w:val="0"/>
          <w:color w:val="000000"/>
          <w:kern w:val="0"/>
          <w:sz w:val="32"/>
          <w:szCs w:val="32"/>
        </w:rPr>
        <w:t>，年均增长13.</w:t>
      </w:r>
      <w:r>
        <w:rPr>
          <w:rFonts w:hint="eastAsia" w:ascii="仿宋_GB2312" w:hAnsi="仿宋_GB2312" w:eastAsia="仿宋_GB2312" w:cs="仿宋_GB2312"/>
          <w:snapToGrid w:val="0"/>
          <w:color w:val="000000"/>
          <w:kern w:val="0"/>
          <w:sz w:val="32"/>
          <w:szCs w:val="32"/>
          <w:lang w:val="en-US" w:eastAsia="zh-CN"/>
        </w:rPr>
        <w:t>6</w:t>
      </w:r>
      <w:r>
        <w:rPr>
          <w:rFonts w:hint="eastAsia" w:ascii="仿宋_GB2312" w:hAnsi="仿宋_GB2312" w:eastAsia="仿宋_GB2312" w:cs="仿宋_GB2312"/>
          <w:snapToGrid w:val="0"/>
          <w:color w:val="000000"/>
          <w:kern w:val="0"/>
          <w:sz w:val="32"/>
          <w:szCs w:val="32"/>
        </w:rPr>
        <w:t>%</w:t>
      </w:r>
      <w:r>
        <w:rPr>
          <w:rFonts w:hint="eastAsia" w:ascii="仿宋_GB2312" w:hAnsi="仿宋_GB2312" w:eastAsia="仿宋_GB2312" w:cs="仿宋_GB2312"/>
          <w:snapToGrid w:val="0"/>
          <w:color w:val="000000"/>
          <w:kern w:val="0"/>
          <w:sz w:val="32"/>
          <w:szCs w:val="32"/>
          <w:lang w:eastAsia="zh-CN"/>
        </w:rPr>
        <w:t>，高于全省平均水平</w:t>
      </w:r>
      <w:r>
        <w:rPr>
          <w:rFonts w:hint="eastAsia" w:ascii="仿宋_GB2312" w:hAnsi="仿宋_GB2312" w:eastAsia="仿宋_GB2312" w:cs="仿宋_GB2312"/>
          <w:snapToGrid w:val="0"/>
          <w:color w:val="000000"/>
          <w:kern w:val="0"/>
          <w:sz w:val="32"/>
          <w:szCs w:val="32"/>
          <w:lang w:val="en-US" w:eastAsia="zh-CN"/>
        </w:rPr>
        <w:t>2.5个百分点。</w:t>
      </w:r>
      <w:r>
        <w:rPr>
          <w:rFonts w:hint="eastAsia" w:ascii="仿宋_GB2312" w:hAnsi="仿宋_GB2312" w:eastAsia="仿宋_GB2312" w:cs="仿宋_GB2312"/>
          <w:snapToGrid w:val="0"/>
          <w:color w:val="000000"/>
          <w:kern w:val="0"/>
          <w:sz w:val="32"/>
          <w:szCs w:val="32"/>
        </w:rPr>
        <w:t>人均</w:t>
      </w:r>
      <w:r>
        <w:rPr>
          <w:rFonts w:hint="eastAsia" w:ascii="仿宋_GB2312" w:hAnsi="仿宋_GB2312" w:eastAsia="仿宋_GB2312" w:cs="仿宋_GB2312"/>
          <w:snapToGrid w:val="0"/>
          <w:color w:val="000000"/>
          <w:kern w:val="0"/>
          <w:sz w:val="32"/>
          <w:szCs w:val="32"/>
          <w:lang w:val="en-US"/>
        </w:rPr>
        <w:t>GDP</w:t>
      </w:r>
      <w:r>
        <w:rPr>
          <w:rFonts w:hint="eastAsia" w:ascii="仿宋_GB2312" w:hAnsi="仿宋_GB2312" w:eastAsia="仿宋_GB2312" w:cs="仿宋_GB2312"/>
          <w:snapToGrid w:val="0"/>
          <w:color w:val="000000"/>
          <w:kern w:val="0"/>
          <w:sz w:val="32"/>
          <w:szCs w:val="32"/>
        </w:rPr>
        <w:t>达到</w:t>
      </w:r>
      <w:r>
        <w:rPr>
          <w:rFonts w:hint="eastAsia" w:ascii="仿宋_GB2312" w:hAnsi="仿宋_GB2312" w:eastAsia="仿宋_GB2312" w:cs="仿宋_GB2312"/>
          <w:snapToGrid w:val="0"/>
          <w:color w:val="000000"/>
          <w:kern w:val="0"/>
          <w:sz w:val="32"/>
          <w:szCs w:val="32"/>
          <w:lang w:val="en-US"/>
        </w:rPr>
        <w:t>29193</w:t>
      </w:r>
      <w:r>
        <w:rPr>
          <w:rFonts w:hint="eastAsia" w:ascii="仿宋_GB2312" w:hAnsi="仿宋_GB2312" w:eastAsia="仿宋_GB2312" w:cs="仿宋_GB2312"/>
          <w:snapToGrid w:val="0"/>
          <w:color w:val="000000"/>
          <w:kern w:val="0"/>
          <w:sz w:val="32"/>
          <w:szCs w:val="32"/>
        </w:rPr>
        <w:t>元。规模工业增加值达到</w:t>
      </w:r>
      <w:r>
        <w:rPr>
          <w:rFonts w:ascii="仿宋_GB2312" w:hAnsi="仿宋_GB2312" w:eastAsia="仿宋_GB2312" w:cs="仿宋_GB2312"/>
          <w:snapToGrid w:val="0"/>
          <w:color w:val="000000"/>
          <w:kern w:val="0"/>
          <w:sz w:val="32"/>
          <w:szCs w:val="32"/>
        </w:rPr>
        <w:t>32</w:t>
      </w:r>
      <w:r>
        <w:rPr>
          <w:rFonts w:hint="eastAsia" w:ascii="仿宋_GB2312" w:hAnsi="仿宋_GB2312" w:eastAsia="仿宋_GB2312" w:cs="仿宋_GB2312"/>
          <w:snapToGrid w:val="0"/>
          <w:color w:val="000000"/>
          <w:kern w:val="0"/>
          <w:sz w:val="32"/>
          <w:szCs w:val="32"/>
          <w:lang w:val="en-US" w:eastAsia="zh-CN"/>
        </w:rPr>
        <w:t>1.2</w:t>
      </w:r>
      <w:r>
        <w:rPr>
          <w:rFonts w:hint="eastAsia" w:ascii="仿宋_GB2312" w:hAnsi="仿宋_GB2312" w:eastAsia="仿宋_GB2312" w:cs="仿宋_GB2312"/>
          <w:snapToGrid w:val="0"/>
          <w:color w:val="000000"/>
          <w:kern w:val="0"/>
          <w:sz w:val="32"/>
          <w:szCs w:val="32"/>
        </w:rPr>
        <w:t>亿元，是</w:t>
      </w:r>
      <w:r>
        <w:rPr>
          <w:rFonts w:ascii="仿宋_GB2312" w:hAnsi="仿宋_GB2312" w:eastAsia="仿宋_GB2312" w:cs="仿宋_GB2312"/>
          <w:snapToGrid w:val="0"/>
          <w:color w:val="000000"/>
          <w:kern w:val="0"/>
          <w:sz w:val="32"/>
          <w:szCs w:val="32"/>
        </w:rPr>
        <w:t>2010</w:t>
      </w:r>
      <w:r>
        <w:rPr>
          <w:rFonts w:hint="eastAsia" w:ascii="仿宋_GB2312" w:hAnsi="仿宋_GB2312" w:eastAsia="仿宋_GB2312" w:cs="仿宋_GB2312"/>
          <w:snapToGrid w:val="0"/>
          <w:color w:val="000000"/>
          <w:kern w:val="0"/>
          <w:sz w:val="32"/>
          <w:szCs w:val="32"/>
        </w:rPr>
        <w:t>年的</w:t>
      </w:r>
      <w:r>
        <w:rPr>
          <w:rFonts w:hint="eastAsia" w:ascii="仿宋_GB2312" w:hAnsi="仿宋_GB2312" w:eastAsia="仿宋_GB2312" w:cs="仿宋_GB2312"/>
          <w:snapToGrid w:val="0"/>
          <w:color w:val="000000"/>
          <w:kern w:val="0"/>
          <w:sz w:val="32"/>
          <w:szCs w:val="32"/>
          <w:u w:val="none"/>
        </w:rPr>
        <w:t>4.</w:t>
      </w:r>
      <w:r>
        <w:rPr>
          <w:rFonts w:hint="eastAsia" w:ascii="仿宋_GB2312" w:hAnsi="仿宋_GB2312" w:eastAsia="仿宋_GB2312" w:cs="仿宋_GB2312"/>
          <w:snapToGrid w:val="0"/>
          <w:color w:val="000000"/>
          <w:kern w:val="0"/>
          <w:sz w:val="32"/>
          <w:szCs w:val="32"/>
          <w:u w:val="none"/>
          <w:lang w:val="en-US" w:eastAsia="zh-CN"/>
        </w:rPr>
        <w:t>3</w:t>
      </w:r>
      <w:r>
        <w:rPr>
          <w:rFonts w:hint="eastAsia" w:ascii="仿宋_GB2312" w:hAnsi="仿宋_GB2312" w:eastAsia="仿宋_GB2312" w:cs="仿宋_GB2312"/>
          <w:snapToGrid w:val="0"/>
          <w:color w:val="000000"/>
          <w:kern w:val="0"/>
          <w:sz w:val="32"/>
          <w:szCs w:val="32"/>
          <w:u w:val="none"/>
        </w:rPr>
        <w:t>倍，</w:t>
      </w:r>
      <w:r>
        <w:rPr>
          <w:rFonts w:hint="eastAsia" w:ascii="仿宋_GB2312" w:hAnsi="仿宋_GB2312" w:eastAsia="仿宋_GB2312" w:cs="仿宋_GB2312"/>
          <w:snapToGrid w:val="0"/>
          <w:color w:val="000000"/>
          <w:kern w:val="0"/>
          <w:sz w:val="32"/>
          <w:szCs w:val="32"/>
        </w:rPr>
        <w:t>提前两年实现翻番，年均增长</w:t>
      </w:r>
      <w:r>
        <w:rPr>
          <w:rFonts w:hint="eastAsia" w:ascii="仿宋_GB2312" w:hAnsi="仿宋_GB2312" w:eastAsia="仿宋_GB2312" w:cs="仿宋_GB2312"/>
          <w:snapToGrid w:val="0"/>
          <w:color w:val="000000"/>
          <w:kern w:val="0"/>
          <w:sz w:val="32"/>
          <w:szCs w:val="32"/>
          <w:u w:val="none"/>
          <w:lang w:val="en-US" w:eastAsia="zh-CN"/>
        </w:rPr>
        <w:t>24.6</w:t>
      </w:r>
      <w:r>
        <w:rPr>
          <w:rFonts w:ascii="仿宋_GB2312" w:hAnsi="仿宋_GB2312" w:eastAsia="仿宋_GB2312" w:cs="仿宋_GB2312"/>
          <w:snapToGrid w:val="0"/>
          <w:color w:val="000000"/>
          <w:kern w:val="0"/>
          <w:sz w:val="32"/>
          <w:szCs w:val="32"/>
          <w:u w:val="none"/>
        </w:rPr>
        <w:t>%</w:t>
      </w:r>
      <w:r>
        <w:rPr>
          <w:rFonts w:hint="eastAsia" w:ascii="仿宋_GB2312" w:hAnsi="仿宋_GB2312" w:eastAsia="仿宋_GB2312" w:cs="仿宋_GB2312"/>
          <w:snapToGrid w:val="0"/>
          <w:color w:val="000000"/>
          <w:kern w:val="0"/>
          <w:sz w:val="32"/>
          <w:szCs w:val="32"/>
        </w:rPr>
        <w:t>，增速连续五年保持全省第二。全社会固定资产投资累计完成25</w:t>
      </w:r>
      <w:r>
        <w:rPr>
          <w:rFonts w:hint="eastAsia" w:ascii="仿宋_GB2312" w:hAnsi="仿宋_GB2312" w:eastAsia="仿宋_GB2312" w:cs="仿宋_GB2312"/>
          <w:snapToGrid w:val="0"/>
          <w:color w:val="000000"/>
          <w:kern w:val="0"/>
          <w:sz w:val="32"/>
          <w:szCs w:val="32"/>
          <w:lang w:val="en-US" w:eastAsia="zh-CN"/>
        </w:rPr>
        <w:t>31</w:t>
      </w:r>
      <w:r>
        <w:rPr>
          <w:rFonts w:hint="eastAsia" w:ascii="仿宋_GB2312" w:hAnsi="仿宋_GB2312" w:eastAsia="仿宋_GB2312" w:cs="仿宋_GB2312"/>
          <w:snapToGrid w:val="0"/>
          <w:color w:val="000000"/>
          <w:kern w:val="0"/>
          <w:sz w:val="32"/>
          <w:szCs w:val="32"/>
        </w:rPr>
        <w:t>亿元，是“十一五”的</w:t>
      </w:r>
      <w:r>
        <w:rPr>
          <w:rFonts w:ascii="仿宋_GB2312" w:hAnsi="仿宋_GB2312" w:eastAsia="仿宋_GB2312" w:cs="仿宋_GB2312"/>
          <w:snapToGrid w:val="0"/>
          <w:color w:val="000000"/>
          <w:kern w:val="0"/>
          <w:sz w:val="32"/>
          <w:szCs w:val="32"/>
        </w:rPr>
        <w:t>2.3</w:t>
      </w:r>
      <w:r>
        <w:rPr>
          <w:rFonts w:hint="eastAsia" w:ascii="仿宋_GB2312" w:hAnsi="仿宋_GB2312" w:eastAsia="仿宋_GB2312" w:cs="仿宋_GB2312"/>
          <w:snapToGrid w:val="0"/>
          <w:color w:val="000000"/>
          <w:kern w:val="0"/>
          <w:sz w:val="32"/>
          <w:szCs w:val="32"/>
        </w:rPr>
        <w:t>倍，年均增长</w:t>
      </w:r>
      <w:r>
        <w:rPr>
          <w:rFonts w:ascii="仿宋_GB2312" w:hAnsi="仿宋_GB2312" w:eastAsia="仿宋_GB2312" w:cs="仿宋_GB2312"/>
          <w:snapToGrid w:val="0"/>
          <w:color w:val="000000"/>
          <w:kern w:val="0"/>
          <w:sz w:val="32"/>
          <w:szCs w:val="32"/>
          <w:u w:val="none"/>
        </w:rPr>
        <w:t>2</w:t>
      </w:r>
      <w:r>
        <w:rPr>
          <w:rFonts w:hint="eastAsia" w:ascii="仿宋_GB2312" w:hAnsi="仿宋_GB2312" w:eastAsia="仿宋_GB2312" w:cs="仿宋_GB2312"/>
          <w:snapToGrid w:val="0"/>
          <w:color w:val="000000"/>
          <w:kern w:val="0"/>
          <w:sz w:val="32"/>
          <w:szCs w:val="32"/>
          <w:u w:val="none"/>
          <w:lang w:val="en-US" w:eastAsia="zh-CN"/>
        </w:rPr>
        <w:t>4.7</w:t>
      </w:r>
      <w:r>
        <w:rPr>
          <w:rFonts w:ascii="仿宋_GB2312" w:hAnsi="仿宋_GB2312" w:eastAsia="仿宋_GB2312" w:cs="仿宋_GB2312"/>
          <w:snapToGrid w:val="0"/>
          <w:color w:val="000000"/>
          <w:kern w:val="0"/>
          <w:sz w:val="32"/>
          <w:szCs w:val="32"/>
          <w:u w:val="none"/>
        </w:rPr>
        <w:t>%</w:t>
      </w:r>
      <w:r>
        <w:rPr>
          <w:rFonts w:hint="eastAsia" w:ascii="仿宋_GB2312" w:hAnsi="仿宋_GB2312" w:eastAsia="仿宋_GB2312" w:cs="仿宋_GB2312"/>
          <w:snapToGrid w:val="0"/>
          <w:color w:val="000000"/>
          <w:kern w:val="0"/>
          <w:sz w:val="32"/>
          <w:szCs w:val="32"/>
        </w:rPr>
        <w:t>。社会消费品零售总额219亿元，财政</w:t>
      </w:r>
      <w:r>
        <w:rPr>
          <w:rFonts w:hint="eastAsia" w:ascii="仿宋_GB2312" w:hAnsi="仿宋_GB2312" w:eastAsia="仿宋_GB2312" w:cs="仿宋_GB2312"/>
          <w:snapToGrid w:val="0"/>
          <w:color w:val="000000"/>
          <w:kern w:val="0"/>
          <w:sz w:val="32"/>
          <w:szCs w:val="32"/>
          <w:lang w:eastAsia="zh-CN"/>
        </w:rPr>
        <w:t>总收入、</w:t>
      </w:r>
      <w:r>
        <w:rPr>
          <w:rFonts w:hint="eastAsia" w:ascii="仿宋_GB2312" w:hAnsi="仿宋_GB2312" w:eastAsia="仿宋_GB2312" w:cs="仿宋_GB2312"/>
          <w:snapToGrid w:val="0"/>
          <w:color w:val="000000"/>
          <w:kern w:val="0"/>
          <w:sz w:val="32"/>
          <w:szCs w:val="32"/>
        </w:rPr>
        <w:t>一般预算收入</w:t>
      </w:r>
      <w:r>
        <w:rPr>
          <w:rFonts w:hint="eastAsia" w:ascii="仿宋_GB2312" w:hAnsi="仿宋_GB2312" w:eastAsia="仿宋_GB2312" w:cs="仿宋_GB2312"/>
          <w:snapToGrid w:val="0"/>
          <w:color w:val="000000"/>
          <w:kern w:val="0"/>
          <w:sz w:val="32"/>
          <w:szCs w:val="32"/>
          <w:lang w:eastAsia="zh-CN"/>
        </w:rPr>
        <w:t>分别达到</w:t>
      </w:r>
      <w:r>
        <w:rPr>
          <w:rFonts w:hint="eastAsia" w:ascii="仿宋_GB2312" w:hAnsi="仿宋_GB2312" w:eastAsia="仿宋_GB2312" w:cs="仿宋_GB2312"/>
          <w:snapToGrid w:val="0"/>
          <w:color w:val="000000"/>
          <w:kern w:val="0"/>
          <w:sz w:val="32"/>
          <w:szCs w:val="32"/>
          <w:lang w:val="en-US" w:eastAsia="zh-CN"/>
        </w:rPr>
        <w:t>72.8亿元和</w:t>
      </w:r>
      <w:r>
        <w:rPr>
          <w:rFonts w:hint="eastAsia" w:ascii="仿宋_GB2312" w:hAnsi="仿宋_GB2312" w:eastAsia="仿宋_GB2312" w:cs="仿宋_GB2312"/>
          <w:snapToGrid w:val="0"/>
          <w:color w:val="000000"/>
          <w:kern w:val="0"/>
          <w:sz w:val="32"/>
          <w:szCs w:val="32"/>
        </w:rPr>
        <w:t>30.</w:t>
      </w:r>
      <w:r>
        <w:rPr>
          <w:rFonts w:hint="eastAsia" w:ascii="仿宋_GB2312" w:hAnsi="仿宋_GB2312" w:eastAsia="仿宋_GB2312" w:cs="仿宋_GB2312"/>
          <w:snapToGrid w:val="0"/>
          <w:color w:val="000000"/>
          <w:kern w:val="0"/>
          <w:sz w:val="32"/>
          <w:szCs w:val="32"/>
          <w:lang w:val="en-US" w:eastAsia="zh-CN"/>
        </w:rPr>
        <w:t>8</w:t>
      </w:r>
      <w:r>
        <w:rPr>
          <w:rFonts w:hint="eastAsia" w:ascii="仿宋_GB2312" w:hAnsi="仿宋_GB2312" w:eastAsia="仿宋_GB2312" w:cs="仿宋_GB2312"/>
          <w:snapToGrid w:val="0"/>
          <w:color w:val="000000"/>
          <w:kern w:val="0"/>
          <w:sz w:val="32"/>
          <w:szCs w:val="32"/>
        </w:rPr>
        <w:t>亿元，均比2010年实现翻番，主要经济指标增速位居全省第一方阵。金融机构存贷比达到54%，</w:t>
      </w:r>
      <w:r>
        <w:rPr>
          <w:rFonts w:hint="eastAsia" w:ascii="仿宋_GB2312" w:hAnsi="仿宋_GB2312" w:eastAsia="仿宋_GB2312" w:cs="仿宋_GB2312"/>
          <w:snapToGrid w:val="0"/>
          <w:color w:val="000000"/>
          <w:kern w:val="0"/>
          <w:sz w:val="32"/>
          <w:szCs w:val="32"/>
          <w:lang w:eastAsia="zh-CN"/>
        </w:rPr>
        <w:t>较</w:t>
      </w:r>
      <w:r>
        <w:rPr>
          <w:rFonts w:hint="eastAsia" w:ascii="仿宋_GB2312" w:hAnsi="仿宋_GB2312" w:eastAsia="仿宋_GB2312" w:cs="仿宋_GB2312"/>
          <w:snapToGrid w:val="0"/>
          <w:color w:val="000000"/>
          <w:kern w:val="0"/>
          <w:sz w:val="32"/>
          <w:szCs w:val="32"/>
        </w:rPr>
        <w:t>2010年提升</w:t>
      </w:r>
      <w:r>
        <w:rPr>
          <w:rFonts w:hint="eastAsia" w:ascii="仿宋_GB2312" w:hAnsi="仿宋_GB2312" w:eastAsia="仿宋_GB2312" w:cs="仿宋_GB2312"/>
          <w:snapToGrid w:val="0"/>
          <w:color w:val="000000"/>
          <w:kern w:val="0"/>
          <w:sz w:val="32"/>
          <w:szCs w:val="32"/>
          <w:lang w:val="en-US" w:eastAsia="zh-CN"/>
        </w:rPr>
        <w:t>8.7</w:t>
      </w:r>
      <w:r>
        <w:rPr>
          <w:rFonts w:hint="eastAsia" w:ascii="仿宋_GB2312" w:hAnsi="仿宋_GB2312" w:eastAsia="仿宋_GB2312" w:cs="仿宋_GB2312"/>
          <w:snapToGrid w:val="0"/>
          <w:color w:val="000000"/>
          <w:kern w:val="0"/>
          <w:sz w:val="32"/>
          <w:szCs w:val="32"/>
        </w:rPr>
        <w:t>个百分点，经济增长的内生性逐步增强。全市小康社会监测指数预计达到76.5%，较2010年提高16.</w:t>
      </w:r>
      <w:r>
        <w:rPr>
          <w:rFonts w:hint="eastAsia" w:ascii="仿宋_GB2312" w:hAnsi="仿宋_GB2312" w:eastAsia="仿宋_GB2312" w:cs="仿宋_GB2312"/>
          <w:snapToGrid w:val="0"/>
          <w:color w:val="000000"/>
          <w:kern w:val="0"/>
          <w:sz w:val="32"/>
          <w:szCs w:val="32"/>
          <w:lang w:val="en-US" w:eastAsia="zh-CN"/>
        </w:rPr>
        <w:t>5</w:t>
      </w:r>
      <w:r>
        <w:rPr>
          <w:rFonts w:hint="eastAsia" w:ascii="仿宋_GB2312" w:hAnsi="仿宋_GB2312" w:eastAsia="仿宋_GB2312" w:cs="仿宋_GB2312"/>
          <w:snapToGrid w:val="0"/>
          <w:color w:val="000000"/>
          <w:kern w:val="0"/>
          <w:sz w:val="32"/>
          <w:szCs w:val="32"/>
        </w:rPr>
        <w:t>个百分点。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eastAsia="仿宋_GB2312"/>
          <w:snapToGrid w:val="0"/>
          <w:color w:val="000000"/>
          <w:kern w:val="0"/>
          <w:sz w:val="32"/>
          <w:szCs w:val="32"/>
        </w:rPr>
      </w:pPr>
      <w:r>
        <w:rPr>
          <w:rFonts w:hint="eastAsia" w:eastAsia="仿宋_GB2312"/>
          <w:b/>
          <w:snapToGrid w:val="0"/>
          <w:color w:val="000000"/>
          <w:kern w:val="0"/>
          <w:sz w:val="32"/>
          <w:szCs w:val="32"/>
        </w:rPr>
        <w:t>产业结构优化升级。</w:t>
      </w:r>
      <w:r>
        <w:rPr>
          <w:rFonts w:hint="eastAsia" w:eastAsia="仿宋_GB2312"/>
          <w:snapToGrid w:val="0"/>
          <w:color w:val="000000"/>
          <w:kern w:val="0"/>
          <w:sz w:val="32"/>
          <w:szCs w:val="32"/>
        </w:rPr>
        <w:t>粮食生产连年丰收，</w:t>
      </w:r>
      <w:r>
        <w:rPr>
          <w:rFonts w:hint="eastAsia" w:eastAsia="仿宋_GB2312"/>
          <w:snapToGrid w:val="0"/>
          <w:color w:val="000000"/>
          <w:kern w:val="0"/>
          <w:sz w:val="32"/>
          <w:szCs w:val="32"/>
          <w:lang w:eastAsia="zh-CN"/>
        </w:rPr>
        <w:t>畜牧、茶叶、魔芋、烤烟等</w:t>
      </w:r>
      <w:r>
        <w:rPr>
          <w:rFonts w:hint="eastAsia" w:eastAsia="仿宋_GB2312"/>
          <w:snapToGrid w:val="0"/>
          <w:color w:val="000000"/>
          <w:kern w:val="0"/>
          <w:sz w:val="32"/>
          <w:szCs w:val="32"/>
        </w:rPr>
        <w:t>特色高效农业加快发展，魔芋种植面积和加工产量</w:t>
      </w:r>
      <w:r>
        <w:rPr>
          <w:rFonts w:hint="eastAsia" w:eastAsia="仿宋_GB2312"/>
          <w:snapToGrid w:val="0"/>
          <w:color w:val="000000"/>
          <w:kern w:val="0"/>
          <w:sz w:val="32"/>
          <w:szCs w:val="32"/>
          <w:lang w:eastAsia="zh-CN"/>
        </w:rPr>
        <w:t>全省第一、</w:t>
      </w:r>
      <w:r>
        <w:rPr>
          <w:rFonts w:hint="eastAsia" w:eastAsia="仿宋_GB2312"/>
          <w:snapToGrid w:val="0"/>
          <w:color w:val="000000"/>
          <w:kern w:val="0"/>
          <w:sz w:val="32"/>
          <w:szCs w:val="32"/>
        </w:rPr>
        <w:t>全国</w:t>
      </w:r>
      <w:r>
        <w:rPr>
          <w:rFonts w:hint="eastAsia" w:ascii="仿宋_GB2312" w:hAnsi="仿宋_GB2312" w:eastAsia="仿宋_GB2312" w:cs="仿宋_GB2312"/>
          <w:snapToGrid w:val="0"/>
          <w:color w:val="000000"/>
          <w:kern w:val="0"/>
          <w:sz w:val="32"/>
          <w:szCs w:val="32"/>
          <w:lang w:eastAsia="zh-CN"/>
        </w:rPr>
        <w:t>七分之一</w:t>
      </w:r>
      <w:r>
        <w:rPr>
          <w:rFonts w:hint="eastAsia" w:eastAsia="仿宋_GB2312"/>
          <w:snapToGrid w:val="0"/>
          <w:color w:val="000000"/>
          <w:kern w:val="0"/>
          <w:sz w:val="32"/>
          <w:szCs w:val="32"/>
        </w:rPr>
        <w:t>。“一县一产业”特色显现，</w:t>
      </w:r>
      <w:r>
        <w:rPr>
          <w:rFonts w:hint="eastAsia" w:eastAsia="仿宋_GB2312"/>
          <w:snapToGrid w:val="0"/>
          <w:color w:val="000000"/>
          <w:kern w:val="0"/>
          <w:sz w:val="32"/>
          <w:szCs w:val="32"/>
          <w:lang w:eastAsia="zh-CN"/>
        </w:rPr>
        <w:t>以绿色、低碳、循环为标志的</w:t>
      </w:r>
      <w:r>
        <w:rPr>
          <w:rFonts w:hint="eastAsia" w:ascii="仿宋_GB2312" w:eastAsia="仿宋_GB2312"/>
          <w:snapToGrid w:val="0"/>
          <w:color w:val="000000"/>
          <w:kern w:val="0"/>
          <w:sz w:val="32"/>
          <w:szCs w:val="32"/>
        </w:rPr>
        <w:t>生态友好型产业贡献度不断提升</w:t>
      </w:r>
      <w:r>
        <w:rPr>
          <w:rFonts w:hint="eastAsia" w:ascii="仿宋_GB2312" w:hAnsi="仿宋_GB2312" w:eastAsia="仿宋_GB2312" w:cs="仿宋_GB2312"/>
          <w:snapToGrid w:val="0"/>
          <w:color w:val="000000"/>
          <w:kern w:val="0"/>
          <w:sz w:val="32"/>
          <w:szCs w:val="32"/>
        </w:rPr>
        <w:t>，</w:t>
      </w:r>
      <w:r>
        <w:rPr>
          <w:rFonts w:hint="eastAsia" w:ascii="仿宋_GB2312" w:hAnsi="仿宋_GB2312" w:eastAsia="仿宋_GB2312" w:cs="仿宋_GB2312"/>
          <w:snapToGrid w:val="0"/>
          <w:color w:val="000000"/>
          <w:kern w:val="0"/>
          <w:sz w:val="32"/>
          <w:szCs w:val="32"/>
          <w:lang w:eastAsia="zh-CN"/>
        </w:rPr>
        <w:t>占全市</w:t>
      </w:r>
      <w:r>
        <w:rPr>
          <w:rFonts w:hint="eastAsia" w:ascii="仿宋_GB2312" w:hAnsi="仿宋_GB2312" w:eastAsia="仿宋_GB2312" w:cs="仿宋_GB2312"/>
          <w:snapToGrid w:val="0"/>
          <w:color w:val="000000"/>
          <w:kern w:val="0"/>
          <w:sz w:val="32"/>
          <w:szCs w:val="32"/>
          <w:lang w:val="en-US" w:eastAsia="zh-CN"/>
        </w:rPr>
        <w:t>GDP比重达到65%</w:t>
      </w:r>
      <w:r>
        <w:rPr>
          <w:rFonts w:hint="eastAsia" w:ascii="仿宋_GB2312" w:eastAsia="仿宋_GB2312"/>
          <w:snapToGrid w:val="0"/>
          <w:color w:val="000000"/>
          <w:kern w:val="0"/>
          <w:sz w:val="32"/>
          <w:szCs w:val="32"/>
          <w:lang w:eastAsia="zh-CN"/>
        </w:rPr>
        <w:t>，</w:t>
      </w:r>
      <w:r>
        <w:rPr>
          <w:rFonts w:hint="eastAsia" w:eastAsia="仿宋_GB2312"/>
          <w:snapToGrid w:val="0"/>
          <w:color w:val="000000"/>
          <w:kern w:val="0"/>
          <w:sz w:val="32"/>
          <w:szCs w:val="32"/>
        </w:rPr>
        <w:t>富硒食品产业产值年均</w:t>
      </w:r>
      <w:r>
        <w:rPr>
          <w:rFonts w:hint="eastAsia" w:ascii="仿宋_GB2312" w:eastAsia="仿宋_GB2312"/>
          <w:snapToGrid w:val="0"/>
          <w:color w:val="000000"/>
          <w:kern w:val="0"/>
          <w:sz w:val="32"/>
          <w:szCs w:val="32"/>
        </w:rPr>
        <w:t>增</w:t>
      </w:r>
      <w:r>
        <w:rPr>
          <w:rFonts w:hint="eastAsia" w:ascii="仿宋_GB2312" w:hAnsi="仿宋_GB2312" w:eastAsia="仿宋_GB2312" w:cs="仿宋_GB2312"/>
          <w:snapToGrid w:val="0"/>
          <w:color w:val="000000"/>
          <w:kern w:val="0"/>
          <w:sz w:val="32"/>
          <w:szCs w:val="32"/>
        </w:rPr>
        <w:t>长3</w:t>
      </w:r>
      <w:r>
        <w:rPr>
          <w:rFonts w:hint="eastAsia" w:ascii="仿宋_GB2312" w:hAnsi="仿宋_GB2312" w:eastAsia="仿宋_GB2312" w:cs="仿宋_GB2312"/>
          <w:snapToGrid w:val="0"/>
          <w:color w:val="000000"/>
          <w:kern w:val="0"/>
          <w:sz w:val="32"/>
          <w:szCs w:val="32"/>
          <w:lang w:val="en-US" w:eastAsia="zh-CN"/>
        </w:rPr>
        <w:t>0</w:t>
      </w:r>
      <w:r>
        <w:rPr>
          <w:rFonts w:hint="eastAsia" w:ascii="仿宋_GB2312" w:hAnsi="仿宋_GB2312" w:eastAsia="仿宋_GB2312" w:cs="仿宋_GB2312"/>
          <w:snapToGrid w:val="0"/>
          <w:color w:val="000000"/>
          <w:kern w:val="0"/>
          <w:sz w:val="32"/>
          <w:szCs w:val="32"/>
        </w:rPr>
        <w:t>%</w:t>
      </w:r>
      <w:r>
        <w:rPr>
          <w:rFonts w:hint="eastAsia" w:ascii="仿宋_GB2312" w:eastAsia="仿宋_GB2312"/>
          <w:snapToGrid w:val="0"/>
          <w:color w:val="000000"/>
          <w:kern w:val="0"/>
          <w:sz w:val="32"/>
          <w:szCs w:val="32"/>
          <w:lang w:eastAsia="zh-CN"/>
        </w:rPr>
        <w:t>。</w:t>
      </w:r>
      <w:r>
        <w:rPr>
          <w:rFonts w:hint="eastAsia" w:ascii="仿宋_GB2312" w:eastAsia="仿宋_GB2312"/>
          <w:snapToGrid w:val="0"/>
          <w:color w:val="000000"/>
          <w:kern w:val="0"/>
          <w:sz w:val="32"/>
          <w:szCs w:val="32"/>
        </w:rPr>
        <w:t>新兴产业带动作用日趋凸显</w:t>
      </w:r>
      <w:r>
        <w:rPr>
          <w:rFonts w:hint="eastAsia" w:ascii="仿宋_GB2312" w:hAnsi="仿宋_GB2312" w:eastAsia="仿宋_GB2312" w:cs="仿宋_GB2312"/>
          <w:snapToGrid w:val="0"/>
          <w:color w:val="000000"/>
          <w:kern w:val="0"/>
          <w:sz w:val="32"/>
          <w:szCs w:val="32"/>
          <w:lang w:val="en-US" w:eastAsia="zh-CN"/>
        </w:rPr>
        <w:t>，</w:t>
      </w:r>
      <w:r>
        <w:rPr>
          <w:rFonts w:hint="eastAsia" w:ascii="仿宋_GB2312" w:eastAsia="仿宋_GB2312"/>
          <w:snapToGrid w:val="0"/>
          <w:color w:val="000000"/>
          <w:kern w:val="0"/>
          <w:sz w:val="32"/>
          <w:szCs w:val="32"/>
        </w:rPr>
        <w:t>以原材料加工为主的产品正在向产业链中下游延伸，循环</w:t>
      </w:r>
      <w:r>
        <w:rPr>
          <w:rFonts w:hint="eastAsia" w:ascii="仿宋_GB2312" w:eastAsia="仿宋_GB2312"/>
          <w:snapToGrid w:val="0"/>
          <w:color w:val="000000"/>
          <w:kern w:val="0"/>
          <w:sz w:val="32"/>
          <w:szCs w:val="32"/>
          <w:lang w:eastAsia="zh-CN"/>
        </w:rPr>
        <w:t>经济特色</w:t>
      </w:r>
      <w:r>
        <w:rPr>
          <w:rFonts w:hint="eastAsia" w:ascii="仿宋_GB2312" w:eastAsia="仿宋_GB2312"/>
          <w:snapToGrid w:val="0"/>
          <w:color w:val="000000"/>
          <w:kern w:val="0"/>
          <w:sz w:val="32"/>
          <w:szCs w:val="32"/>
        </w:rPr>
        <w:t>产业成为支撑经济发展的重要力量。</w:t>
      </w:r>
      <w:r>
        <w:rPr>
          <w:rFonts w:hint="eastAsia" w:ascii="仿宋_GB2312" w:eastAsia="仿宋_GB2312"/>
          <w:snapToGrid w:val="0"/>
          <w:color w:val="000000"/>
          <w:kern w:val="0"/>
          <w:sz w:val="32"/>
          <w:szCs w:val="32"/>
          <w:lang w:eastAsia="zh-CN"/>
        </w:rPr>
        <w:t>全市</w:t>
      </w:r>
      <w:r>
        <w:rPr>
          <w:rFonts w:hint="eastAsia" w:ascii="仿宋_GB2312" w:eastAsia="仿宋_GB2312"/>
          <w:snapToGrid w:val="0"/>
          <w:color w:val="000000"/>
          <w:kern w:val="0"/>
          <w:sz w:val="32"/>
          <w:szCs w:val="32"/>
        </w:rPr>
        <w:t>规模工业企业</w:t>
      </w:r>
      <w:r>
        <w:rPr>
          <w:rFonts w:hint="eastAsia" w:ascii="仿宋_GB2312" w:eastAsia="仿宋_GB2312"/>
          <w:snapToGrid w:val="0"/>
          <w:color w:val="000000"/>
          <w:kern w:val="0"/>
          <w:sz w:val="32"/>
          <w:szCs w:val="32"/>
          <w:lang w:val="en-US" w:eastAsia="zh-CN"/>
        </w:rPr>
        <w:t>492</w:t>
      </w:r>
      <w:r>
        <w:rPr>
          <w:rFonts w:hint="eastAsia" w:ascii="仿宋_GB2312" w:eastAsia="仿宋_GB2312"/>
          <w:snapToGrid w:val="0"/>
          <w:color w:val="000000"/>
          <w:kern w:val="0"/>
          <w:sz w:val="32"/>
          <w:szCs w:val="32"/>
        </w:rPr>
        <w:t>户，产值过亿元企业</w:t>
      </w:r>
      <w:r>
        <w:rPr>
          <w:rFonts w:hint="eastAsia" w:ascii="仿宋_GB2312" w:eastAsia="仿宋_GB2312"/>
          <w:snapToGrid w:val="0"/>
          <w:color w:val="000000"/>
          <w:kern w:val="0"/>
          <w:sz w:val="32"/>
          <w:szCs w:val="32"/>
          <w:lang w:val="en-US" w:eastAsia="zh-CN"/>
        </w:rPr>
        <w:t>292</w:t>
      </w:r>
      <w:r>
        <w:rPr>
          <w:rFonts w:hint="eastAsia" w:ascii="仿宋_GB2312" w:eastAsia="仿宋_GB2312"/>
          <w:snapToGrid w:val="0"/>
          <w:color w:val="000000"/>
          <w:kern w:val="0"/>
          <w:sz w:val="32"/>
          <w:szCs w:val="32"/>
        </w:rPr>
        <w:t>户</w:t>
      </w:r>
      <w:r>
        <w:rPr>
          <w:rFonts w:hint="eastAsia" w:ascii="仿宋_GB2312" w:eastAsia="仿宋_GB2312"/>
          <w:snapToGrid w:val="0"/>
          <w:color w:val="000000"/>
          <w:kern w:val="0"/>
          <w:sz w:val="32"/>
          <w:szCs w:val="32"/>
          <w:lang w:eastAsia="zh-CN"/>
        </w:rPr>
        <w:t>，</w:t>
      </w:r>
      <w:r>
        <w:rPr>
          <w:rFonts w:hint="eastAsia" w:ascii="仿宋_GB2312" w:eastAsia="仿宋_GB2312"/>
          <w:snapToGrid w:val="0"/>
          <w:color w:val="000000"/>
          <w:kern w:val="0"/>
          <w:sz w:val="32"/>
          <w:szCs w:val="32"/>
        </w:rPr>
        <w:t>工业化率4</w:t>
      </w:r>
      <w:r>
        <w:rPr>
          <w:rFonts w:hint="eastAsia" w:ascii="仿宋_GB2312" w:eastAsia="仿宋_GB2312"/>
          <w:snapToGrid w:val="0"/>
          <w:color w:val="000000"/>
          <w:kern w:val="0"/>
          <w:sz w:val="32"/>
          <w:szCs w:val="32"/>
          <w:lang w:val="en-US" w:eastAsia="zh-CN"/>
        </w:rPr>
        <w:t>2.3</w:t>
      </w:r>
      <w:r>
        <w:rPr>
          <w:rFonts w:hint="eastAsia" w:ascii="仿宋_GB2312" w:eastAsia="仿宋_GB2312"/>
          <w:snapToGrid w:val="0"/>
          <w:color w:val="000000"/>
          <w:kern w:val="0"/>
          <w:sz w:val="32"/>
          <w:szCs w:val="32"/>
        </w:rPr>
        <w:t>%，较2010年提高</w:t>
      </w:r>
      <w:r>
        <w:rPr>
          <w:rFonts w:hint="eastAsia" w:ascii="仿宋_GB2312" w:eastAsia="仿宋_GB2312"/>
          <w:snapToGrid w:val="0"/>
          <w:color w:val="000000"/>
          <w:kern w:val="0"/>
          <w:sz w:val="32"/>
          <w:szCs w:val="32"/>
          <w:lang w:val="en-US" w:eastAsia="zh-CN"/>
        </w:rPr>
        <w:t>16</w:t>
      </w:r>
      <w:r>
        <w:rPr>
          <w:rFonts w:hint="eastAsia" w:ascii="仿宋_GB2312" w:eastAsia="仿宋_GB2312"/>
          <w:snapToGrid w:val="0"/>
          <w:color w:val="000000"/>
          <w:kern w:val="0"/>
          <w:sz w:val="32"/>
          <w:szCs w:val="32"/>
        </w:rPr>
        <w:t>个百分点。</w:t>
      </w:r>
      <w:r>
        <w:rPr>
          <w:rFonts w:hint="eastAsia" w:ascii="仿宋_GB2312" w:eastAsia="仿宋_GB2312"/>
          <w:snapToGrid w:val="0"/>
          <w:color w:val="000000"/>
          <w:kern w:val="0"/>
          <w:sz w:val="32"/>
          <w:szCs w:val="32"/>
          <w:lang w:eastAsia="zh-CN"/>
        </w:rPr>
        <w:t>建成</w:t>
      </w:r>
      <w:r>
        <w:rPr>
          <w:rFonts w:hint="eastAsia" w:ascii="仿宋_GB2312" w:hAnsi="仿宋_GB2312" w:eastAsia="仿宋_GB2312" w:cs="仿宋_GB2312"/>
          <w:snapToGrid w:val="0"/>
          <w:color w:val="000000"/>
          <w:kern w:val="0"/>
          <w:sz w:val="32"/>
          <w:szCs w:val="32"/>
        </w:rPr>
        <w:t>国家4A级景区</w:t>
      </w:r>
      <w:r>
        <w:rPr>
          <w:rFonts w:hint="eastAsia" w:ascii="仿宋_GB2312" w:hAnsi="仿宋_GB2312" w:eastAsia="仿宋_GB2312" w:cs="仿宋_GB2312"/>
          <w:snapToGrid w:val="0"/>
          <w:color w:val="000000"/>
          <w:kern w:val="0"/>
          <w:sz w:val="32"/>
          <w:szCs w:val="32"/>
          <w:lang w:val="en-US" w:eastAsia="zh-CN"/>
        </w:rPr>
        <w:t>8</w:t>
      </w:r>
      <w:r>
        <w:rPr>
          <w:rFonts w:hint="eastAsia" w:ascii="仿宋_GB2312" w:hAnsi="仿宋_GB2312" w:eastAsia="仿宋_GB2312" w:cs="仿宋_GB2312"/>
          <w:snapToGrid w:val="0"/>
          <w:color w:val="000000"/>
          <w:kern w:val="0"/>
          <w:sz w:val="32"/>
          <w:szCs w:val="32"/>
        </w:rPr>
        <w:t>个，旅游综合收入年均增长22.6%</w:t>
      </w:r>
      <w:r>
        <w:rPr>
          <w:rFonts w:hint="eastAsia" w:ascii="仿宋_GB2312" w:eastAsia="仿宋_GB2312"/>
          <w:snapToGrid w:val="0"/>
          <w:color w:val="000000"/>
          <w:kern w:val="0"/>
          <w:sz w:val="32"/>
          <w:szCs w:val="32"/>
        </w:rPr>
        <w:t>。三次产业结构</w:t>
      </w:r>
      <w:r>
        <w:rPr>
          <w:rFonts w:hint="eastAsia" w:ascii="仿宋_GB2312" w:eastAsia="仿宋_GB2312"/>
          <w:snapToGrid w:val="0"/>
          <w:color w:val="000000"/>
          <w:kern w:val="0"/>
          <w:sz w:val="32"/>
          <w:szCs w:val="32"/>
          <w:lang w:eastAsia="zh-CN"/>
        </w:rPr>
        <w:t>调整为</w:t>
      </w:r>
      <w:r>
        <w:rPr>
          <w:rFonts w:hint="eastAsia" w:ascii="仿宋_GB2312" w:eastAsia="仿宋_GB2312"/>
          <w:snapToGrid w:val="0"/>
          <w:color w:val="000000"/>
          <w:kern w:val="0"/>
          <w:sz w:val="32"/>
          <w:szCs w:val="32"/>
          <w:lang w:val="en-US" w:eastAsia="zh-CN"/>
        </w:rPr>
        <w:t>12.4:55.3:32.3，</w:t>
      </w:r>
      <w:r>
        <w:rPr>
          <w:rFonts w:hint="eastAsia" w:ascii="仿宋_GB2312" w:eastAsia="仿宋_GB2312"/>
          <w:snapToGrid w:val="0"/>
          <w:color w:val="000000"/>
          <w:kern w:val="0"/>
          <w:sz w:val="32"/>
          <w:szCs w:val="32"/>
        </w:rPr>
        <w:t>二产占比提</w:t>
      </w:r>
      <w:r>
        <w:rPr>
          <w:rFonts w:hint="eastAsia" w:ascii="仿宋_GB2312" w:eastAsia="仿宋_GB2312"/>
          <w:snapToGrid w:val="0"/>
          <w:color w:val="000000"/>
          <w:kern w:val="0"/>
          <w:sz w:val="32"/>
          <w:szCs w:val="32"/>
          <w:lang w:eastAsia="zh-CN"/>
        </w:rPr>
        <w:t>高</w:t>
      </w:r>
      <w:r>
        <w:rPr>
          <w:rFonts w:hint="eastAsia" w:ascii="仿宋_GB2312" w:eastAsia="仿宋_GB2312"/>
          <w:snapToGrid w:val="0"/>
          <w:color w:val="000000"/>
          <w:kern w:val="0"/>
          <w:sz w:val="32"/>
          <w:szCs w:val="32"/>
          <w:lang w:val="en-US" w:eastAsia="zh-CN"/>
        </w:rPr>
        <w:t>15.3</w:t>
      </w:r>
      <w:r>
        <w:rPr>
          <w:rFonts w:hint="eastAsia" w:ascii="仿宋_GB2312" w:eastAsia="仿宋_GB2312"/>
          <w:snapToGrid w:val="0"/>
          <w:color w:val="000000"/>
          <w:kern w:val="0"/>
          <w:sz w:val="32"/>
          <w:szCs w:val="32"/>
        </w:rPr>
        <w:t>个百分点。安康高新区获批秦巴山区唯一的国家高新</w:t>
      </w:r>
      <w:r>
        <w:rPr>
          <w:rFonts w:hint="eastAsia" w:ascii="仿宋_GB2312" w:eastAsia="仿宋_GB2312"/>
          <w:snapToGrid w:val="0"/>
          <w:color w:val="000000"/>
          <w:kern w:val="0"/>
          <w:sz w:val="32"/>
          <w:szCs w:val="32"/>
          <w:lang w:eastAsia="zh-CN"/>
        </w:rPr>
        <w:t>技术产业开发区</w:t>
      </w:r>
      <w:r>
        <w:rPr>
          <w:rFonts w:hint="eastAsia" w:ascii="仿宋_GB2312" w:eastAsia="仿宋_GB2312"/>
          <w:snapToGrid w:val="0"/>
          <w:color w:val="000000"/>
          <w:kern w:val="0"/>
          <w:sz w:val="32"/>
          <w:szCs w:val="32"/>
        </w:rPr>
        <w:t>，旬阳生态工业园区升格省级高新区，</w:t>
      </w:r>
      <w:r>
        <w:rPr>
          <w:rFonts w:hint="eastAsia" w:ascii="仿宋_GB2312" w:eastAsia="仿宋_GB2312"/>
          <w:snapToGrid w:val="0"/>
          <w:color w:val="000000"/>
          <w:kern w:val="0"/>
          <w:sz w:val="32"/>
          <w:szCs w:val="32"/>
          <w:lang w:val="en-US" w:eastAsia="zh-CN"/>
        </w:rPr>
        <w:t>19个省级重点</w:t>
      </w:r>
      <w:r>
        <w:rPr>
          <w:rFonts w:hint="eastAsia" w:ascii="仿宋_GB2312" w:eastAsia="仿宋_GB2312"/>
          <w:snapToGrid w:val="0"/>
          <w:color w:val="000000"/>
          <w:kern w:val="0"/>
          <w:sz w:val="32"/>
          <w:szCs w:val="32"/>
        </w:rPr>
        <w:t>县域工业集中区标准化厂房超过百万平方米，“三区两园”承载能力</w:t>
      </w:r>
      <w:r>
        <w:rPr>
          <w:rFonts w:hint="eastAsia" w:ascii="仿宋_GB2312" w:eastAsia="仿宋_GB2312"/>
          <w:snapToGrid w:val="0"/>
          <w:color w:val="000000"/>
          <w:kern w:val="0"/>
          <w:sz w:val="32"/>
          <w:szCs w:val="32"/>
          <w:lang w:eastAsia="zh-CN"/>
        </w:rPr>
        <w:t>不断</w:t>
      </w:r>
      <w:r>
        <w:rPr>
          <w:rFonts w:hint="eastAsia" w:ascii="仿宋_GB2312" w:eastAsia="仿宋_GB2312"/>
          <w:snapToGrid w:val="0"/>
          <w:color w:val="000000"/>
          <w:kern w:val="0"/>
          <w:sz w:val="32"/>
          <w:szCs w:val="32"/>
        </w:rPr>
        <w:t>增强，产业聚集效应开始显现。</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snapToGrid w:val="0"/>
          <w:color w:val="000000"/>
          <w:kern w:val="0"/>
          <w:sz w:val="32"/>
          <w:szCs w:val="32"/>
        </w:rPr>
      </w:pPr>
      <w:r>
        <w:rPr>
          <w:rFonts w:hint="eastAsia" w:eastAsia="仿宋_GB2312"/>
          <w:b/>
          <w:snapToGrid w:val="0"/>
          <w:color w:val="000000"/>
          <w:kern w:val="0"/>
          <w:sz w:val="32"/>
          <w:szCs w:val="32"/>
        </w:rPr>
        <w:t>基础设施突破发展。</w:t>
      </w:r>
      <w:r>
        <w:rPr>
          <w:rFonts w:hint="eastAsia" w:eastAsia="仿宋_GB2312"/>
          <w:snapToGrid w:val="0"/>
          <w:color w:val="000000"/>
          <w:kern w:val="0"/>
          <w:sz w:val="32"/>
          <w:szCs w:val="32"/>
        </w:rPr>
        <w:t>建成西康铁路复线和十天、安平高速</w:t>
      </w:r>
      <w:r>
        <w:rPr>
          <w:rFonts w:hint="eastAsia" w:eastAsia="仿宋_GB2312"/>
          <w:snapToGrid w:val="0"/>
          <w:color w:val="000000"/>
          <w:kern w:val="0"/>
          <w:sz w:val="32"/>
          <w:szCs w:val="32"/>
          <w:lang w:eastAsia="zh-CN"/>
        </w:rPr>
        <w:t>公路以及安岚、平镇二级路镇坪段，升级改造</w:t>
      </w:r>
      <w:r>
        <w:rPr>
          <w:rFonts w:hint="eastAsia" w:ascii="仿宋_GB2312" w:hAnsi="仿宋_GB2312" w:eastAsia="仿宋_GB2312" w:cs="仿宋_GB2312"/>
          <w:snapToGrid w:val="0"/>
          <w:color w:val="000000"/>
          <w:kern w:val="0"/>
          <w:sz w:val="32"/>
          <w:szCs w:val="32"/>
          <w:lang w:val="en-US" w:eastAsia="zh-CN"/>
        </w:rPr>
        <w:t>4</w:t>
      </w:r>
      <w:r>
        <w:rPr>
          <w:rFonts w:hint="eastAsia" w:eastAsia="仿宋_GB2312"/>
          <w:snapToGrid w:val="0"/>
          <w:color w:val="000000"/>
          <w:kern w:val="0"/>
          <w:sz w:val="32"/>
          <w:szCs w:val="32"/>
          <w:lang w:val="en-US" w:eastAsia="zh-CN"/>
        </w:rPr>
        <w:t>个县城过境段</w:t>
      </w:r>
      <w:r>
        <w:rPr>
          <w:rFonts w:hint="eastAsia" w:eastAsia="仿宋_GB2312"/>
          <w:snapToGrid w:val="0"/>
          <w:color w:val="000000"/>
          <w:kern w:val="0"/>
          <w:sz w:val="32"/>
          <w:szCs w:val="32"/>
        </w:rPr>
        <w:t>，阳安铁路复线、安康富强机场、安旬白二级路、石紫岚公路、汉江高等级航道整治项</w:t>
      </w:r>
      <w:r>
        <w:rPr>
          <w:rFonts w:hint="eastAsia" w:ascii="仿宋_GB2312" w:hAnsi="仿宋_GB2312" w:eastAsia="仿宋_GB2312" w:cs="仿宋_GB2312"/>
          <w:snapToGrid w:val="0"/>
          <w:color w:val="000000"/>
          <w:kern w:val="0"/>
          <w:sz w:val="32"/>
          <w:szCs w:val="32"/>
        </w:rPr>
        <w:t>目开工建</w:t>
      </w:r>
      <w:r>
        <w:rPr>
          <w:rFonts w:hint="eastAsia" w:eastAsia="仿宋_GB2312"/>
          <w:snapToGrid w:val="0"/>
          <w:color w:val="000000"/>
          <w:kern w:val="0"/>
          <w:sz w:val="32"/>
          <w:szCs w:val="32"/>
        </w:rPr>
        <w:t>设</w:t>
      </w:r>
      <w:r>
        <w:rPr>
          <w:rFonts w:hint="eastAsia" w:eastAsia="仿宋_GB2312"/>
          <w:snapToGrid w:val="0"/>
          <w:color w:val="000000"/>
          <w:kern w:val="0"/>
          <w:sz w:val="32"/>
          <w:szCs w:val="32"/>
          <w:lang w:eastAsia="zh-CN"/>
        </w:rPr>
        <w:t>，</w:t>
      </w:r>
      <w:r>
        <w:rPr>
          <w:rFonts w:hint="eastAsia" w:eastAsia="仿宋_GB2312"/>
          <w:snapToGrid w:val="0"/>
          <w:color w:val="000000"/>
          <w:kern w:val="0"/>
          <w:sz w:val="32"/>
          <w:szCs w:val="32"/>
        </w:rPr>
        <w:t>建成和在建</w:t>
      </w:r>
      <w:r>
        <w:rPr>
          <w:rFonts w:hint="eastAsia" w:ascii="仿宋_GB2312" w:hAnsi="仿宋_GB2312" w:eastAsia="仿宋_GB2312" w:cs="仿宋_GB2312"/>
          <w:snapToGrid w:val="0"/>
          <w:color w:val="000000"/>
          <w:kern w:val="0"/>
          <w:sz w:val="32"/>
          <w:szCs w:val="32"/>
        </w:rPr>
        <w:t>5</w:t>
      </w:r>
      <w:r>
        <w:rPr>
          <w:rFonts w:hint="eastAsia" w:eastAsia="仿宋_GB2312"/>
          <w:snapToGrid w:val="0"/>
          <w:color w:val="000000"/>
          <w:kern w:val="0"/>
          <w:sz w:val="32"/>
          <w:szCs w:val="32"/>
        </w:rPr>
        <w:t>座汉江大桥。实现</w:t>
      </w:r>
      <w:r>
        <w:rPr>
          <w:rFonts w:hint="eastAsia" w:ascii="仿宋_GB2312" w:hAnsi="仿宋_GB2312" w:eastAsia="仿宋_GB2312" w:cs="仿宋_GB2312"/>
          <w:snapToGrid w:val="0"/>
          <w:color w:val="000000"/>
          <w:kern w:val="0"/>
          <w:sz w:val="32"/>
          <w:szCs w:val="32"/>
        </w:rPr>
        <w:t>8</w:t>
      </w:r>
      <w:r>
        <w:rPr>
          <w:rFonts w:hint="eastAsia" w:eastAsia="仿宋_GB2312"/>
          <w:snapToGrid w:val="0"/>
          <w:color w:val="000000"/>
          <w:kern w:val="0"/>
          <w:sz w:val="32"/>
          <w:szCs w:val="32"/>
        </w:rPr>
        <w:t>县区通高速，全</w:t>
      </w:r>
      <w:r>
        <w:rPr>
          <w:rFonts w:hint="eastAsia" w:ascii="仿宋_GB2312" w:hAnsi="仿宋_GB2312" w:eastAsia="仿宋_GB2312" w:cs="仿宋_GB2312"/>
          <w:snapToGrid w:val="0"/>
          <w:color w:val="000000"/>
          <w:kern w:val="0"/>
          <w:sz w:val="32"/>
          <w:szCs w:val="32"/>
        </w:rPr>
        <w:t>市高速公路里程达到577公里，公路通车里程2.</w:t>
      </w:r>
      <w:r>
        <w:rPr>
          <w:rFonts w:hint="eastAsia" w:ascii="仿宋_GB2312" w:hAnsi="仿宋_GB2312" w:eastAsia="仿宋_GB2312" w:cs="仿宋_GB2312"/>
          <w:snapToGrid w:val="0"/>
          <w:color w:val="000000"/>
          <w:kern w:val="0"/>
          <w:sz w:val="32"/>
          <w:szCs w:val="32"/>
          <w:lang w:val="en-US" w:eastAsia="zh-CN"/>
        </w:rPr>
        <w:t>3</w:t>
      </w:r>
      <w:r>
        <w:rPr>
          <w:rFonts w:hint="eastAsia" w:ascii="仿宋_GB2312" w:hAnsi="仿宋_GB2312" w:eastAsia="仿宋_GB2312" w:cs="仿宋_GB2312"/>
          <w:snapToGrid w:val="0"/>
          <w:color w:val="000000"/>
          <w:kern w:val="0"/>
          <w:sz w:val="32"/>
          <w:szCs w:val="32"/>
        </w:rPr>
        <w:t>万公里，居全省第二</w:t>
      </w:r>
      <w:r>
        <w:rPr>
          <w:rFonts w:hint="eastAsia" w:ascii="仿宋_GB2312" w:hAnsi="仿宋_GB2312" w:eastAsia="仿宋_GB2312" w:cs="仿宋_GB2312"/>
          <w:snapToGrid w:val="0"/>
          <w:color w:val="000000"/>
          <w:kern w:val="0"/>
          <w:sz w:val="32"/>
          <w:szCs w:val="32"/>
          <w:lang w:eastAsia="zh-CN"/>
        </w:rPr>
        <w:t>，区域交通枢纽和物流中心逐步形成，长期制约安康发展的交通劣势正在向发展优势转变</w:t>
      </w:r>
      <w:r>
        <w:rPr>
          <w:rFonts w:hint="eastAsia" w:ascii="仿宋_GB2312" w:hAnsi="仿宋_GB2312" w:eastAsia="仿宋_GB2312" w:cs="仿宋_GB2312"/>
          <w:snapToGrid w:val="0"/>
          <w:color w:val="000000"/>
          <w:kern w:val="0"/>
          <w:sz w:val="32"/>
          <w:szCs w:val="32"/>
        </w:rPr>
        <w:t>，保障发展的支撑能力显著提升。安康城区东坝防洪工程建成投用</w:t>
      </w:r>
      <w:r>
        <w:rPr>
          <w:rFonts w:hint="eastAsia" w:ascii="仿宋_GB2312" w:hAnsi="仿宋_GB2312" w:eastAsia="仿宋_GB2312" w:cs="仿宋_GB2312"/>
          <w:snapToGrid w:val="0"/>
          <w:color w:val="000000"/>
          <w:kern w:val="0"/>
          <w:sz w:val="32"/>
          <w:szCs w:val="32"/>
          <w:lang w:eastAsia="zh-CN"/>
        </w:rPr>
        <w:t>，</w:t>
      </w:r>
      <w:r>
        <w:rPr>
          <w:rFonts w:hint="eastAsia" w:ascii="仿宋_GB2312" w:hAnsi="仿宋_GB2312" w:eastAsia="仿宋_GB2312" w:cs="仿宋_GB2312"/>
          <w:snapToGrid w:val="0"/>
          <w:color w:val="000000"/>
          <w:kern w:val="0"/>
          <w:sz w:val="32"/>
          <w:szCs w:val="32"/>
        </w:rPr>
        <w:t>汉阴洞河水库开工建设，</w:t>
      </w:r>
      <w:r>
        <w:rPr>
          <w:rFonts w:hint="eastAsia" w:ascii="仿宋_GB2312" w:hAnsi="仿宋_GB2312" w:eastAsia="仿宋_GB2312" w:cs="仿宋_GB2312"/>
          <w:snapToGrid w:val="0"/>
          <w:color w:val="000000"/>
          <w:kern w:val="0"/>
          <w:sz w:val="32"/>
          <w:szCs w:val="32"/>
          <w:lang w:eastAsia="zh-CN"/>
        </w:rPr>
        <w:t>“五城三镇”重点防洪工程加快推进，“小工程、大群体”等水利设施不断完善，</w:t>
      </w:r>
      <w:r>
        <w:rPr>
          <w:rFonts w:hint="eastAsia" w:ascii="仿宋_GB2312" w:hAnsi="仿宋_GB2312" w:eastAsia="仿宋_GB2312" w:cs="仿宋_GB2312"/>
          <w:snapToGrid w:val="0"/>
          <w:color w:val="000000"/>
          <w:kern w:val="0"/>
          <w:sz w:val="32"/>
          <w:szCs w:val="32"/>
        </w:rPr>
        <w:t>汉江综合整治、流域治理、水保生态和瀛湖湖泊治理取得阶段性成效，长年水患威胁得到有效缓解。</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b/>
          <w:bCs/>
          <w:snapToGrid w:val="0"/>
          <w:color w:val="000000"/>
          <w:kern w:val="0"/>
          <w:sz w:val="32"/>
          <w:szCs w:val="32"/>
        </w:rPr>
        <w:t>城乡面貌不断改善。</w:t>
      </w:r>
      <w:r>
        <w:rPr>
          <w:rFonts w:hint="eastAsia" w:ascii="仿宋_GB2312" w:hAnsi="仿宋_GB2312" w:eastAsia="仿宋_GB2312" w:cs="仿宋_GB2312"/>
          <w:snapToGrid w:val="0"/>
          <w:color w:val="000000"/>
          <w:kern w:val="0"/>
          <w:sz w:val="32"/>
          <w:szCs w:val="32"/>
          <w:lang w:eastAsia="zh-CN"/>
        </w:rPr>
        <w:t>坚持城乡统筹一体化发展，以月河川道城镇带为重点，</w:t>
      </w:r>
      <w:r>
        <w:rPr>
          <w:rFonts w:hint="eastAsia" w:ascii="仿宋_GB2312" w:hAnsi="仿宋_GB2312" w:eastAsia="仿宋_GB2312" w:cs="仿宋_GB2312"/>
          <w:snapToGrid w:val="0"/>
          <w:color w:val="000000"/>
          <w:kern w:val="0"/>
          <w:sz w:val="32"/>
          <w:szCs w:val="32"/>
        </w:rPr>
        <w:t>中心城市、县城、重点镇和农村新型社区加快建设，道路、供水、电网、通讯、环保等配套保障能力</w:t>
      </w:r>
      <w:r>
        <w:rPr>
          <w:rFonts w:hint="eastAsia" w:ascii="仿宋_GB2312" w:hAnsi="仿宋_GB2312" w:eastAsia="仿宋_GB2312" w:cs="仿宋_GB2312"/>
          <w:snapToGrid w:val="0"/>
          <w:color w:val="000000"/>
          <w:kern w:val="0"/>
          <w:sz w:val="32"/>
          <w:szCs w:val="32"/>
          <w:lang w:eastAsia="zh-CN"/>
        </w:rPr>
        <w:t>显著增强</w:t>
      </w:r>
      <w:r>
        <w:rPr>
          <w:rFonts w:hint="eastAsia" w:ascii="仿宋_GB2312" w:hAnsi="仿宋_GB2312" w:eastAsia="仿宋_GB2312" w:cs="仿宋_GB2312"/>
          <w:snapToGrid w:val="0"/>
          <w:color w:val="000000"/>
          <w:kern w:val="0"/>
          <w:sz w:val="32"/>
          <w:szCs w:val="32"/>
        </w:rPr>
        <w:t>，城市功能和品质得到提升</w:t>
      </w:r>
      <w:r>
        <w:rPr>
          <w:rFonts w:hint="eastAsia" w:ascii="仿宋_GB2312" w:hAnsi="仿宋_GB2312" w:eastAsia="仿宋_GB2312" w:cs="仿宋_GB2312"/>
          <w:snapToGrid w:val="0"/>
          <w:color w:val="000000"/>
          <w:kern w:val="0"/>
          <w:sz w:val="32"/>
          <w:szCs w:val="32"/>
          <w:lang w:eastAsia="zh-CN"/>
        </w:rPr>
        <w:t>，</w:t>
      </w:r>
      <w:r>
        <w:rPr>
          <w:rFonts w:hint="eastAsia" w:ascii="仿宋_GB2312" w:hAnsi="仿宋_GB2312" w:eastAsia="仿宋_GB2312" w:cs="仿宋_GB2312"/>
          <w:snapToGrid w:val="0"/>
          <w:color w:val="000000"/>
          <w:kern w:val="0"/>
          <w:sz w:val="32"/>
          <w:szCs w:val="32"/>
        </w:rPr>
        <w:t>五年累计完</w:t>
      </w:r>
      <w:r>
        <w:rPr>
          <w:rFonts w:hint="eastAsia" w:ascii="仿宋_GB2312" w:eastAsia="仿宋_GB2312"/>
          <w:color w:val="000000"/>
          <w:sz w:val="32"/>
          <w:szCs w:val="32"/>
        </w:rPr>
        <w:t>成城镇基础设施投资1</w:t>
      </w:r>
      <w:r>
        <w:rPr>
          <w:rFonts w:hint="eastAsia" w:ascii="仿宋_GB2312" w:eastAsia="仿宋_GB2312"/>
          <w:color w:val="000000"/>
          <w:sz w:val="32"/>
          <w:szCs w:val="32"/>
          <w:lang w:val="en-US" w:eastAsia="zh-CN"/>
        </w:rPr>
        <w:t>53</w:t>
      </w:r>
      <w:r>
        <w:rPr>
          <w:rFonts w:hint="eastAsia" w:ascii="仿宋_GB2312" w:eastAsia="仿宋_GB2312"/>
          <w:color w:val="000000"/>
          <w:sz w:val="32"/>
          <w:szCs w:val="32"/>
        </w:rPr>
        <w:t>亿元，是“十一五”的2.</w:t>
      </w:r>
      <w:r>
        <w:rPr>
          <w:rFonts w:hint="eastAsia" w:ascii="仿宋_GB2312" w:eastAsia="仿宋_GB2312"/>
          <w:color w:val="000000"/>
          <w:sz w:val="32"/>
          <w:szCs w:val="32"/>
          <w:lang w:val="en-US" w:eastAsia="zh-CN"/>
        </w:rPr>
        <w:t>6</w:t>
      </w:r>
      <w:r>
        <w:rPr>
          <w:rFonts w:hint="eastAsia" w:ascii="仿宋_GB2312" w:hAnsi="仿宋_GB2312" w:eastAsia="仿宋_GB2312" w:cs="仿宋_GB2312"/>
          <w:snapToGrid w:val="0"/>
          <w:color w:val="000000"/>
          <w:kern w:val="0"/>
          <w:sz w:val="32"/>
          <w:szCs w:val="32"/>
        </w:rPr>
        <w:t>倍。</w:t>
      </w:r>
      <w:r>
        <w:rPr>
          <w:rFonts w:hint="eastAsia" w:ascii="仿宋_GB2312" w:eastAsia="仿宋_GB2312"/>
          <w:color w:val="000000"/>
          <w:sz w:val="32"/>
          <w:szCs w:val="32"/>
        </w:rPr>
        <w:t>中心城区</w:t>
      </w:r>
      <w:r>
        <w:rPr>
          <w:rFonts w:hint="eastAsia" w:ascii="仿宋_GB2312" w:eastAsia="仿宋_GB2312"/>
          <w:color w:val="000000"/>
          <w:sz w:val="32"/>
          <w:szCs w:val="32"/>
          <w:lang w:eastAsia="zh-CN"/>
        </w:rPr>
        <w:t>道</w:t>
      </w:r>
      <w:r>
        <w:rPr>
          <w:rFonts w:hint="eastAsia" w:ascii="仿宋_GB2312" w:eastAsia="仿宋_GB2312"/>
          <w:color w:val="000000"/>
          <w:sz w:val="32"/>
          <w:szCs w:val="32"/>
        </w:rPr>
        <w:t>路和东坝、西坝、西南片区棚户区改造启动实施，高新区骨架路网基本成型，</w:t>
      </w:r>
      <w:r>
        <w:rPr>
          <w:rFonts w:hint="eastAsia" w:ascii="仿宋_GB2312" w:eastAsia="仿宋_GB2312"/>
          <w:color w:val="000000"/>
          <w:sz w:val="32"/>
          <w:szCs w:val="32"/>
          <w:lang w:eastAsia="zh-CN"/>
        </w:rPr>
        <w:t>江北新区</w:t>
      </w:r>
      <w:r>
        <w:rPr>
          <w:rFonts w:hint="eastAsia" w:ascii="仿宋_GB2312" w:eastAsia="仿宋_GB2312"/>
          <w:color w:val="000000"/>
          <w:sz w:val="32"/>
          <w:szCs w:val="32"/>
        </w:rPr>
        <w:t>发展空间大幅拓展，“一江两岸”山水园林城市风貌开始彰显，建成区面积39.5平方公里。成功创建1个国家卫生城市、5个国家卫生县城、3个国家园林县城</w:t>
      </w:r>
      <w:r>
        <w:rPr>
          <w:rFonts w:hint="eastAsia" w:ascii="仿宋_GB2312" w:eastAsia="仿宋_GB2312"/>
          <w:color w:val="000000"/>
          <w:sz w:val="32"/>
          <w:szCs w:val="32"/>
          <w:lang w:eastAsia="zh-CN"/>
        </w:rPr>
        <w:t>，</w:t>
      </w:r>
      <w:r>
        <w:rPr>
          <w:rFonts w:hint="eastAsia" w:ascii="仿宋_GB2312" w:eastAsia="仿宋_GB2312"/>
          <w:color w:val="000000"/>
          <w:sz w:val="32"/>
          <w:szCs w:val="32"/>
        </w:rPr>
        <w:t>城市人均公园绿地面积提</w:t>
      </w:r>
      <w:r>
        <w:rPr>
          <w:rFonts w:hint="eastAsia" w:ascii="仿宋_GB2312" w:eastAsia="仿宋_GB2312"/>
          <w:color w:val="000000"/>
          <w:sz w:val="32"/>
          <w:szCs w:val="32"/>
          <w:lang w:eastAsia="zh-CN"/>
        </w:rPr>
        <w:t>高</w:t>
      </w:r>
      <w:r>
        <w:rPr>
          <w:rFonts w:hint="eastAsia" w:ascii="仿宋_GB2312" w:eastAsia="仿宋_GB2312"/>
          <w:color w:val="000000"/>
          <w:sz w:val="32"/>
          <w:szCs w:val="32"/>
        </w:rPr>
        <w:t>3.3个百分点。9个县城、12个副中心镇、1个省级重点镇、4个省级文化旅游名镇（街区）</w:t>
      </w:r>
      <w:r>
        <w:rPr>
          <w:rFonts w:hint="eastAsia" w:ascii="仿宋_GB2312" w:eastAsia="仿宋_GB2312"/>
          <w:color w:val="000000"/>
          <w:sz w:val="32"/>
          <w:szCs w:val="32"/>
          <w:lang w:eastAsia="zh-CN"/>
        </w:rPr>
        <w:t>规模扩张、</w:t>
      </w:r>
      <w:r>
        <w:rPr>
          <w:rFonts w:hint="eastAsia" w:ascii="仿宋_GB2312" w:eastAsia="仿宋_GB2312"/>
          <w:color w:val="000000"/>
          <w:sz w:val="32"/>
          <w:szCs w:val="32"/>
        </w:rPr>
        <w:t>功能提升</w:t>
      </w:r>
      <w:r>
        <w:rPr>
          <w:rFonts w:hint="eastAsia" w:ascii="仿宋_GB2312" w:eastAsia="仿宋_GB2312"/>
          <w:color w:val="000000"/>
          <w:sz w:val="32"/>
          <w:szCs w:val="32"/>
          <w:lang w:eastAsia="zh-CN"/>
        </w:rPr>
        <w:t>、承载能力增强</w:t>
      </w:r>
      <w:r>
        <w:rPr>
          <w:rFonts w:hint="eastAsia" w:ascii="仿宋_GB2312" w:eastAsia="仿宋_GB2312"/>
          <w:color w:val="000000"/>
          <w:sz w:val="32"/>
          <w:szCs w:val="32"/>
        </w:rPr>
        <w:t>。新设恒口示范区和瀛湖生态旅游区。陕南避灾移民搬迁</w:t>
      </w:r>
      <w:r>
        <w:rPr>
          <w:rFonts w:hint="eastAsia" w:ascii="仿宋_GB2312" w:hAnsi="仿宋_GB2312" w:eastAsia="仿宋_GB2312" w:cs="仿宋_GB2312"/>
          <w:snapToGrid w:val="0"/>
          <w:color w:val="000000"/>
          <w:kern w:val="0"/>
          <w:sz w:val="32"/>
          <w:szCs w:val="32"/>
        </w:rPr>
        <w:t>累计安置</w:t>
      </w:r>
      <w:r>
        <w:rPr>
          <w:rFonts w:ascii="仿宋_GB2312" w:hAnsi="仿宋_GB2312" w:eastAsia="仿宋_GB2312" w:cs="仿宋_GB2312"/>
          <w:snapToGrid w:val="0"/>
          <w:color w:val="000000"/>
          <w:kern w:val="0"/>
          <w:sz w:val="32"/>
          <w:szCs w:val="32"/>
        </w:rPr>
        <w:t>1</w:t>
      </w:r>
      <w:r>
        <w:rPr>
          <w:rFonts w:hint="eastAsia" w:ascii="仿宋_GB2312" w:hAnsi="仿宋_GB2312" w:eastAsia="仿宋_GB2312" w:cs="仿宋_GB2312"/>
          <w:snapToGrid w:val="0"/>
          <w:color w:val="000000"/>
          <w:kern w:val="0"/>
          <w:sz w:val="32"/>
          <w:szCs w:val="32"/>
          <w:lang w:val="en-US" w:eastAsia="zh-CN"/>
        </w:rPr>
        <w:t>3</w:t>
      </w:r>
      <w:r>
        <w:rPr>
          <w:rFonts w:ascii="仿宋_GB2312" w:hAnsi="仿宋_GB2312" w:eastAsia="仿宋_GB2312" w:cs="仿宋_GB2312"/>
          <w:snapToGrid w:val="0"/>
          <w:color w:val="000000"/>
          <w:kern w:val="0"/>
          <w:sz w:val="32"/>
          <w:szCs w:val="32"/>
        </w:rPr>
        <w:t>.2</w:t>
      </w:r>
      <w:r>
        <w:rPr>
          <w:rFonts w:hint="eastAsia" w:ascii="仿宋_GB2312" w:hAnsi="仿宋_GB2312" w:eastAsia="仿宋_GB2312" w:cs="仿宋_GB2312"/>
          <w:snapToGrid w:val="0"/>
          <w:color w:val="000000"/>
          <w:kern w:val="0"/>
          <w:sz w:val="32"/>
          <w:szCs w:val="32"/>
        </w:rPr>
        <w:t>万户</w:t>
      </w:r>
      <w:r>
        <w:rPr>
          <w:rFonts w:hint="eastAsia" w:ascii="仿宋_GB2312" w:hAnsi="仿宋_GB2312" w:eastAsia="仿宋_GB2312" w:cs="仿宋_GB2312"/>
          <w:snapToGrid w:val="0"/>
          <w:color w:val="000000"/>
          <w:kern w:val="0"/>
          <w:sz w:val="32"/>
          <w:szCs w:val="32"/>
          <w:lang w:val="en-US" w:eastAsia="zh-CN"/>
        </w:rPr>
        <w:t>50.16</w:t>
      </w:r>
      <w:r>
        <w:rPr>
          <w:rFonts w:hint="eastAsia" w:ascii="仿宋_GB2312" w:hAnsi="仿宋_GB2312" w:eastAsia="仿宋_GB2312" w:cs="仿宋_GB2312"/>
          <w:snapToGrid w:val="0"/>
          <w:color w:val="000000"/>
          <w:kern w:val="0"/>
          <w:sz w:val="32"/>
          <w:szCs w:val="32"/>
        </w:rPr>
        <w:t>万人。常住人口城镇化率</w:t>
      </w:r>
      <w:r>
        <w:rPr>
          <w:rFonts w:ascii="仿宋_GB2312" w:hAnsi="仿宋_GB2312" w:eastAsia="仿宋_GB2312" w:cs="仿宋_GB2312"/>
          <w:snapToGrid w:val="0"/>
          <w:color w:val="000000"/>
          <w:kern w:val="0"/>
          <w:sz w:val="32"/>
          <w:szCs w:val="32"/>
        </w:rPr>
        <w:t>44</w:t>
      </w:r>
      <w:r>
        <w:rPr>
          <w:rFonts w:hint="eastAsia" w:ascii="仿宋_GB2312" w:hAnsi="仿宋_GB2312" w:eastAsia="仿宋_GB2312" w:cs="仿宋_GB2312"/>
          <w:snapToGrid w:val="0"/>
          <w:color w:val="000000"/>
          <w:kern w:val="0"/>
          <w:sz w:val="32"/>
          <w:szCs w:val="32"/>
          <w:lang w:val="en-US" w:eastAsia="zh-CN"/>
        </w:rPr>
        <w:t>.3</w:t>
      </w:r>
      <w:r>
        <w:rPr>
          <w:rFonts w:ascii="仿宋_GB2312" w:hAnsi="仿宋_GB2312" w:eastAsia="仿宋_GB2312" w:cs="仿宋_GB2312"/>
          <w:snapToGrid w:val="0"/>
          <w:color w:val="000000"/>
          <w:kern w:val="0"/>
          <w:sz w:val="32"/>
          <w:szCs w:val="32"/>
        </w:rPr>
        <w:t>%</w:t>
      </w:r>
      <w:r>
        <w:rPr>
          <w:rFonts w:hint="eastAsia" w:ascii="仿宋_GB2312" w:hAnsi="仿宋_GB2312" w:eastAsia="仿宋_GB2312" w:cs="仿宋_GB2312"/>
          <w:snapToGrid w:val="0"/>
          <w:color w:val="000000"/>
          <w:kern w:val="0"/>
          <w:sz w:val="32"/>
          <w:szCs w:val="32"/>
        </w:rPr>
        <w:t>，年均增长</w:t>
      </w:r>
      <w:r>
        <w:rPr>
          <w:rFonts w:ascii="仿宋_GB2312" w:hAnsi="仿宋_GB2312" w:eastAsia="仿宋_GB2312" w:cs="仿宋_GB2312"/>
          <w:snapToGrid w:val="0"/>
          <w:color w:val="000000"/>
          <w:kern w:val="0"/>
          <w:sz w:val="32"/>
          <w:szCs w:val="32"/>
        </w:rPr>
        <w:t>1.8</w:t>
      </w:r>
      <w:r>
        <w:rPr>
          <w:rFonts w:hint="eastAsia" w:ascii="仿宋_GB2312" w:hAnsi="仿宋_GB2312" w:eastAsia="仿宋_GB2312" w:cs="仿宋_GB2312"/>
          <w:snapToGrid w:val="0"/>
          <w:color w:val="000000"/>
          <w:kern w:val="0"/>
          <w:sz w:val="32"/>
          <w:szCs w:val="32"/>
        </w:rPr>
        <w:t>个百分点。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_GB2312" w:eastAsia="仿宋_GB2312" w:cs="仿宋_GB2312"/>
          <w:snapToGrid w:val="0"/>
          <w:color w:val="000000"/>
          <w:kern w:val="0"/>
          <w:sz w:val="32"/>
          <w:szCs w:val="32"/>
        </w:rPr>
      </w:pPr>
      <w:r>
        <w:rPr>
          <w:rFonts w:hint="eastAsia" w:eastAsia="仿宋_GB2312"/>
          <w:b/>
          <w:snapToGrid w:val="0"/>
          <w:color w:val="000000"/>
          <w:kern w:val="0"/>
          <w:sz w:val="32"/>
          <w:szCs w:val="32"/>
        </w:rPr>
        <w:t>民生福祉持续改善。</w:t>
      </w:r>
      <w:r>
        <w:rPr>
          <w:rFonts w:hint="eastAsia" w:ascii="仿宋_GB2312" w:hAnsi="仿宋_GB2312" w:eastAsia="仿宋_GB2312" w:cs="仿宋_GB2312"/>
          <w:snapToGrid w:val="0"/>
          <w:color w:val="000000"/>
          <w:kern w:val="0"/>
          <w:sz w:val="32"/>
          <w:szCs w:val="32"/>
        </w:rPr>
        <w:t>坚持财政支出和新增财力“两个</w:t>
      </w:r>
      <w:r>
        <w:rPr>
          <w:rFonts w:ascii="仿宋_GB2312" w:hAnsi="仿宋_GB2312" w:eastAsia="仿宋_GB2312" w:cs="仿宋_GB2312"/>
          <w:snapToGrid w:val="0"/>
          <w:color w:val="000000"/>
          <w:kern w:val="0"/>
          <w:sz w:val="32"/>
          <w:szCs w:val="32"/>
        </w:rPr>
        <w:t>80%</w:t>
      </w:r>
      <w:r>
        <w:rPr>
          <w:rFonts w:hint="eastAsia" w:ascii="仿宋_GB2312" w:hAnsi="仿宋_GB2312" w:eastAsia="仿宋_GB2312" w:cs="仿宋_GB2312"/>
          <w:snapToGrid w:val="0"/>
          <w:color w:val="000000"/>
          <w:kern w:val="0"/>
          <w:sz w:val="32"/>
          <w:szCs w:val="32"/>
        </w:rPr>
        <w:t>”用于民生建设，五年累计支出</w:t>
      </w:r>
      <w:r>
        <w:rPr>
          <w:rFonts w:ascii="仿宋_GB2312" w:hAnsi="仿宋_GB2312" w:eastAsia="仿宋_GB2312" w:cs="仿宋_GB2312"/>
          <w:snapToGrid w:val="0"/>
          <w:color w:val="000000"/>
          <w:kern w:val="0"/>
          <w:sz w:val="32"/>
          <w:szCs w:val="32"/>
        </w:rPr>
        <w:t>6</w:t>
      </w:r>
      <w:r>
        <w:rPr>
          <w:rFonts w:hint="eastAsia" w:ascii="仿宋_GB2312" w:hAnsi="仿宋_GB2312" w:eastAsia="仿宋_GB2312" w:cs="仿宋_GB2312"/>
          <w:snapToGrid w:val="0"/>
          <w:color w:val="000000"/>
          <w:kern w:val="0"/>
          <w:sz w:val="32"/>
          <w:szCs w:val="32"/>
          <w:lang w:val="en-US" w:eastAsia="zh-CN"/>
        </w:rPr>
        <w:t>98</w:t>
      </w:r>
      <w:r>
        <w:rPr>
          <w:rFonts w:hint="eastAsia" w:ascii="仿宋_GB2312" w:hAnsi="仿宋_GB2312" w:eastAsia="仿宋_GB2312" w:cs="仿宋_GB2312"/>
          <w:snapToGrid w:val="0"/>
          <w:color w:val="000000"/>
          <w:kern w:val="0"/>
          <w:sz w:val="32"/>
          <w:szCs w:val="32"/>
        </w:rPr>
        <w:t>亿元，</w:t>
      </w:r>
      <w:r>
        <w:rPr>
          <w:rFonts w:hint="eastAsia" w:ascii="仿宋_GB2312" w:hAnsi="仿宋_GB2312" w:eastAsia="仿宋_GB2312" w:cs="仿宋_GB2312"/>
          <w:snapToGrid w:val="0"/>
          <w:color w:val="000000"/>
          <w:kern w:val="0"/>
          <w:sz w:val="32"/>
          <w:szCs w:val="32"/>
          <w:lang w:eastAsia="zh-CN"/>
        </w:rPr>
        <w:t>是</w:t>
      </w:r>
      <w:r>
        <w:rPr>
          <w:rFonts w:hint="eastAsia" w:ascii="仿宋_GB2312" w:hAnsi="仿宋_GB2312" w:eastAsia="仿宋_GB2312" w:cs="仿宋_GB2312"/>
          <w:snapToGrid w:val="0"/>
          <w:color w:val="000000"/>
          <w:kern w:val="0"/>
          <w:sz w:val="32"/>
          <w:szCs w:val="32"/>
        </w:rPr>
        <w:t>“十一五”</w:t>
      </w:r>
      <w:r>
        <w:rPr>
          <w:rFonts w:hint="eastAsia" w:ascii="仿宋_GB2312" w:hAnsi="仿宋_GB2312" w:eastAsia="仿宋_GB2312" w:cs="仿宋_GB2312"/>
          <w:snapToGrid w:val="0"/>
          <w:color w:val="000000"/>
          <w:kern w:val="0"/>
          <w:sz w:val="32"/>
          <w:szCs w:val="32"/>
          <w:lang w:eastAsia="zh-CN"/>
        </w:rPr>
        <w:t>的</w:t>
      </w:r>
      <w:r>
        <w:rPr>
          <w:rFonts w:hint="eastAsia" w:ascii="仿宋_GB2312" w:hAnsi="仿宋_GB2312" w:eastAsia="仿宋_GB2312" w:cs="仿宋_GB2312"/>
          <w:snapToGrid w:val="0"/>
          <w:color w:val="000000"/>
          <w:kern w:val="0"/>
          <w:sz w:val="32"/>
          <w:szCs w:val="32"/>
          <w:lang w:val="en-US" w:eastAsia="zh-CN"/>
        </w:rPr>
        <w:t>3.5</w:t>
      </w:r>
      <w:r>
        <w:rPr>
          <w:rFonts w:hint="eastAsia" w:ascii="仿宋_GB2312" w:hAnsi="仿宋_GB2312" w:eastAsia="仿宋_GB2312" w:cs="仿宋_GB2312"/>
          <w:snapToGrid w:val="0"/>
          <w:color w:val="000000"/>
          <w:kern w:val="0"/>
          <w:sz w:val="32"/>
          <w:szCs w:val="32"/>
        </w:rPr>
        <w:t>倍</w:t>
      </w:r>
      <w:r>
        <w:rPr>
          <w:rFonts w:hint="eastAsia" w:ascii="仿宋_GB2312" w:hAnsi="仿宋_GB2312" w:eastAsia="仿宋_GB2312" w:cs="仿宋_GB2312"/>
          <w:snapToGrid w:val="0"/>
          <w:color w:val="000000"/>
          <w:kern w:val="0"/>
          <w:sz w:val="32"/>
          <w:szCs w:val="32"/>
          <w:lang w:eastAsia="zh-CN"/>
        </w:rPr>
        <w:t>，年均增长</w:t>
      </w:r>
      <w:r>
        <w:rPr>
          <w:rFonts w:hint="eastAsia" w:ascii="仿宋_GB2312" w:hAnsi="仿宋_GB2312" w:eastAsia="仿宋_GB2312" w:cs="仿宋_GB2312"/>
          <w:snapToGrid w:val="0"/>
          <w:color w:val="000000"/>
          <w:kern w:val="0"/>
          <w:sz w:val="32"/>
          <w:szCs w:val="32"/>
          <w:lang w:val="en-US" w:eastAsia="zh-CN"/>
        </w:rPr>
        <w:t>22%</w:t>
      </w:r>
      <w:r>
        <w:rPr>
          <w:rFonts w:hint="eastAsia" w:ascii="仿宋_GB2312" w:hAnsi="仿宋_GB2312" w:eastAsia="仿宋_GB2312" w:cs="仿宋_GB2312"/>
          <w:snapToGrid w:val="0"/>
          <w:color w:val="000000"/>
          <w:kern w:val="0"/>
          <w:sz w:val="32"/>
          <w:szCs w:val="32"/>
        </w:rPr>
        <w:t>。</w:t>
      </w:r>
      <w:r>
        <w:rPr>
          <w:rFonts w:hint="eastAsia" w:ascii="仿宋_GB2312" w:hAnsi="仿宋_GB2312" w:eastAsia="仿宋_GB2312" w:cs="仿宋_GB2312"/>
          <w:snapToGrid w:val="0"/>
          <w:color w:val="000000"/>
          <w:kern w:val="0"/>
          <w:sz w:val="32"/>
          <w:szCs w:val="32"/>
          <w:lang w:eastAsia="zh-CN"/>
        </w:rPr>
        <w:t>各类教育全面发展，</w:t>
      </w:r>
      <w:r>
        <w:rPr>
          <w:rFonts w:hint="eastAsia" w:ascii="仿宋_GB2312" w:hAnsi="仿宋_GB2312" w:eastAsia="仿宋_GB2312" w:cs="仿宋_GB2312"/>
          <w:snapToGrid w:val="0"/>
          <w:color w:val="000000"/>
          <w:kern w:val="0"/>
          <w:sz w:val="32"/>
          <w:szCs w:val="32"/>
        </w:rPr>
        <w:t>教育经费支出年均增长21%</w:t>
      </w:r>
      <w:r>
        <w:rPr>
          <w:rFonts w:hint="eastAsia" w:ascii="仿宋_GB2312" w:hAnsi="仿宋_GB2312" w:eastAsia="仿宋_GB2312" w:cs="仿宋_GB2312"/>
          <w:snapToGrid w:val="0"/>
          <w:color w:val="000000"/>
          <w:kern w:val="0"/>
          <w:sz w:val="32"/>
          <w:szCs w:val="32"/>
          <w:lang w:eastAsia="zh-CN"/>
        </w:rPr>
        <w:t>，中心城区教育资源整合实质推进</w:t>
      </w:r>
      <w:r>
        <w:rPr>
          <w:rFonts w:hint="eastAsia" w:ascii="仿宋_GB2312" w:hAnsi="仿宋_GB2312" w:eastAsia="仿宋_GB2312" w:cs="仿宋_GB2312"/>
          <w:snapToGrid w:val="0"/>
          <w:color w:val="000000"/>
          <w:kern w:val="0"/>
          <w:sz w:val="32"/>
          <w:szCs w:val="32"/>
        </w:rPr>
        <w:t>，</w:t>
      </w:r>
      <w:r>
        <w:rPr>
          <w:rFonts w:hint="eastAsia" w:ascii="仿宋_GB2312" w:eastAsia="仿宋_GB2312"/>
          <w:color w:val="000000"/>
          <w:sz w:val="32"/>
          <w:szCs w:val="32"/>
        </w:rPr>
        <w:t>安康学院和安康职业技术学院新校区建成投用。</w:t>
      </w:r>
      <w:r>
        <w:rPr>
          <w:rFonts w:hint="eastAsia" w:ascii="仿宋_GB2312" w:hAnsi="仿宋_GB2312" w:eastAsia="仿宋_GB2312" w:cs="仿宋_GB2312"/>
          <w:snapToGrid w:val="0"/>
          <w:color w:val="000000"/>
          <w:kern w:val="0"/>
          <w:sz w:val="32"/>
          <w:szCs w:val="32"/>
        </w:rPr>
        <w:t>从学前教育到高等教育的各项学生资助政策全面落实</w:t>
      </w:r>
      <w:r>
        <w:rPr>
          <w:rFonts w:hint="eastAsia" w:ascii="仿宋_GB2312" w:hAnsi="仿宋_GB2312" w:eastAsia="仿宋_GB2312" w:cs="仿宋_GB2312"/>
          <w:snapToGrid w:val="0"/>
          <w:color w:val="000000"/>
          <w:kern w:val="0"/>
          <w:sz w:val="32"/>
          <w:szCs w:val="32"/>
          <w:lang w:eastAsia="zh-CN"/>
        </w:rPr>
        <w:t>，学前三年入园率</w:t>
      </w:r>
      <w:r>
        <w:rPr>
          <w:rFonts w:hint="eastAsia" w:ascii="仿宋_GB2312" w:hAnsi="仿宋_GB2312" w:eastAsia="仿宋_GB2312" w:cs="仿宋_GB2312"/>
          <w:snapToGrid w:val="0"/>
          <w:color w:val="000000"/>
          <w:kern w:val="0"/>
          <w:sz w:val="32"/>
          <w:szCs w:val="32"/>
        </w:rPr>
        <w:t>比2010年提高42个百分点</w:t>
      </w:r>
      <w:r>
        <w:rPr>
          <w:rFonts w:hint="eastAsia" w:ascii="仿宋_GB2312" w:hAnsi="仿宋_GB2312" w:eastAsia="仿宋_GB2312" w:cs="仿宋_GB2312"/>
          <w:snapToGrid w:val="0"/>
          <w:color w:val="000000"/>
          <w:kern w:val="0"/>
          <w:sz w:val="32"/>
          <w:szCs w:val="32"/>
          <w:lang w:eastAsia="zh-CN"/>
        </w:rPr>
        <w:t>，</w:t>
      </w:r>
      <w:r>
        <w:rPr>
          <w:rFonts w:hint="eastAsia" w:ascii="仿宋_GB2312" w:hAnsi="仿宋_GB2312" w:eastAsia="仿宋_GB2312" w:cs="仿宋_GB2312"/>
          <w:snapToGrid w:val="0"/>
          <w:color w:val="000000"/>
          <w:kern w:val="0"/>
          <w:sz w:val="32"/>
          <w:szCs w:val="32"/>
        </w:rPr>
        <w:t>九年义务教育覆盖率</w:t>
      </w:r>
      <w:r>
        <w:rPr>
          <w:rFonts w:hint="eastAsia" w:ascii="仿宋_GB2312" w:hAnsi="仿宋_GB2312" w:eastAsia="仿宋_GB2312" w:cs="仿宋_GB2312"/>
          <w:snapToGrid w:val="0"/>
          <w:color w:val="000000"/>
          <w:kern w:val="0"/>
          <w:sz w:val="32"/>
          <w:szCs w:val="32"/>
          <w:lang w:eastAsia="zh-CN"/>
        </w:rPr>
        <w:t>和高中阶段毛入学率分</w:t>
      </w:r>
      <w:r>
        <w:rPr>
          <w:rFonts w:hint="eastAsia" w:ascii="仿宋_GB2312" w:eastAsia="仿宋_GB2312"/>
          <w:color w:val="000000"/>
          <w:sz w:val="32"/>
          <w:szCs w:val="32"/>
          <w:lang w:eastAsia="zh-CN"/>
        </w:rPr>
        <w:t>别达到</w:t>
      </w:r>
      <w:r>
        <w:rPr>
          <w:rFonts w:hint="eastAsia" w:ascii="仿宋_GB2312" w:eastAsia="仿宋_GB2312"/>
          <w:color w:val="000000"/>
          <w:sz w:val="32"/>
          <w:szCs w:val="32"/>
          <w:lang w:val="en-US" w:eastAsia="zh-CN"/>
        </w:rPr>
        <w:t>100%和</w:t>
      </w:r>
      <w:r>
        <w:rPr>
          <w:rFonts w:hint="eastAsia" w:ascii="仿宋_GB2312" w:eastAsia="仿宋_GB2312"/>
          <w:color w:val="000000"/>
          <w:sz w:val="32"/>
          <w:szCs w:val="32"/>
        </w:rPr>
        <w:t>96%</w:t>
      </w:r>
      <w:r>
        <w:rPr>
          <w:rFonts w:hint="eastAsia" w:ascii="仿宋_GB2312" w:eastAsia="仿宋_GB2312"/>
          <w:color w:val="000000"/>
          <w:sz w:val="32"/>
          <w:szCs w:val="32"/>
          <w:lang w:eastAsia="zh-CN"/>
        </w:rPr>
        <w:t>。医疗卫生服务体系基本建立，基础条件显著改善，服务模式不断创新，</w:t>
      </w:r>
      <w:r>
        <w:rPr>
          <w:rFonts w:hint="eastAsia" w:ascii="仿宋_GB2312" w:eastAsia="仿宋_GB2312"/>
          <w:color w:val="000000"/>
          <w:sz w:val="32"/>
          <w:szCs w:val="32"/>
        </w:rPr>
        <w:t>实施医疗服务一体化</w:t>
      </w:r>
      <w:r>
        <w:rPr>
          <w:rFonts w:hint="eastAsia" w:ascii="仿宋_GB2312" w:eastAsia="仿宋_GB2312"/>
          <w:color w:val="000000"/>
          <w:sz w:val="32"/>
          <w:szCs w:val="32"/>
          <w:lang w:eastAsia="zh-CN"/>
        </w:rPr>
        <w:t>和</w:t>
      </w:r>
      <w:r>
        <w:rPr>
          <w:rFonts w:hint="eastAsia" w:ascii="仿宋_GB2312" w:eastAsia="仿宋_GB2312"/>
          <w:color w:val="000000"/>
          <w:sz w:val="32"/>
          <w:szCs w:val="32"/>
        </w:rPr>
        <w:t>分级诊疗，组建“医联体”，“住院难”</w:t>
      </w:r>
      <w:r>
        <w:rPr>
          <w:rFonts w:hint="eastAsia" w:ascii="仿宋_GB2312" w:eastAsia="仿宋_GB2312"/>
          <w:color w:val="000000"/>
          <w:sz w:val="32"/>
          <w:szCs w:val="32"/>
          <w:lang w:eastAsia="zh-CN"/>
        </w:rPr>
        <w:t>和“看病贵”</w:t>
      </w:r>
      <w:r>
        <w:rPr>
          <w:rFonts w:hint="eastAsia" w:ascii="仿宋_GB2312" w:eastAsia="仿宋_GB2312"/>
          <w:color w:val="000000"/>
          <w:sz w:val="32"/>
          <w:szCs w:val="32"/>
        </w:rPr>
        <w:t>问题</w:t>
      </w:r>
      <w:r>
        <w:rPr>
          <w:rFonts w:hint="eastAsia" w:ascii="仿宋_GB2312" w:eastAsia="仿宋_GB2312"/>
          <w:color w:val="000000"/>
          <w:sz w:val="32"/>
          <w:szCs w:val="32"/>
          <w:lang w:eastAsia="zh-CN"/>
        </w:rPr>
        <w:t>得到有效</w:t>
      </w:r>
      <w:r>
        <w:rPr>
          <w:rFonts w:hint="eastAsia" w:ascii="仿宋_GB2312" w:eastAsia="仿宋_GB2312"/>
          <w:color w:val="000000"/>
          <w:sz w:val="32"/>
          <w:szCs w:val="32"/>
        </w:rPr>
        <w:t>缓解</w:t>
      </w:r>
      <w:r>
        <w:rPr>
          <w:rFonts w:hint="eastAsia" w:ascii="仿宋_GB2312" w:eastAsia="仿宋_GB2312"/>
          <w:color w:val="000000"/>
          <w:sz w:val="32"/>
          <w:szCs w:val="32"/>
          <w:lang w:eastAsia="zh-CN"/>
        </w:rPr>
        <w:t>。</w:t>
      </w:r>
      <w:r>
        <w:rPr>
          <w:rFonts w:hint="eastAsia" w:ascii="仿宋_GB2312" w:eastAsia="仿宋_GB2312"/>
          <w:color w:val="000000"/>
          <w:sz w:val="32"/>
          <w:szCs w:val="32"/>
        </w:rPr>
        <w:t>科技、文化、</w:t>
      </w:r>
      <w:r>
        <w:rPr>
          <w:rFonts w:hint="eastAsia" w:ascii="仿宋_GB2312" w:hAnsi="仿宋_GB2312" w:eastAsia="仿宋_GB2312" w:cs="仿宋_GB2312"/>
          <w:snapToGrid w:val="0"/>
          <w:color w:val="000000"/>
          <w:kern w:val="0"/>
          <w:sz w:val="32"/>
          <w:szCs w:val="32"/>
        </w:rPr>
        <w:t>体育和广播电视等各项</w:t>
      </w:r>
      <w:r>
        <w:rPr>
          <w:rFonts w:hint="eastAsia" w:ascii="仿宋_GB2312" w:eastAsia="仿宋_GB2312"/>
          <w:color w:val="000000"/>
          <w:sz w:val="32"/>
          <w:szCs w:val="32"/>
        </w:rPr>
        <w:t>事业全面发展。建设保障性住房16.5万套，</w:t>
      </w:r>
      <w:r>
        <w:rPr>
          <w:rFonts w:hint="eastAsia" w:ascii="仿宋_GB2312" w:eastAsia="仿宋_GB2312"/>
          <w:color w:val="000000"/>
          <w:sz w:val="32"/>
          <w:szCs w:val="32"/>
          <w:lang w:eastAsia="zh-CN"/>
        </w:rPr>
        <w:t>城市</w:t>
      </w:r>
      <w:r>
        <w:rPr>
          <w:rFonts w:hint="eastAsia" w:ascii="仿宋_GB2312" w:eastAsia="仿宋_GB2312"/>
          <w:color w:val="000000"/>
          <w:sz w:val="32"/>
          <w:szCs w:val="32"/>
        </w:rPr>
        <w:t>人均住房面积</w:t>
      </w:r>
      <w:r>
        <w:rPr>
          <w:rFonts w:hint="eastAsia" w:ascii="仿宋_GB2312" w:eastAsia="仿宋_GB2312"/>
          <w:color w:val="000000"/>
          <w:sz w:val="32"/>
          <w:szCs w:val="32"/>
          <w:lang w:val="en-US" w:eastAsia="zh-CN"/>
        </w:rPr>
        <w:t>31</w:t>
      </w:r>
      <w:r>
        <w:rPr>
          <w:rFonts w:hint="eastAsia" w:ascii="仿宋_GB2312" w:eastAsia="仿宋_GB2312"/>
          <w:color w:val="000000"/>
          <w:sz w:val="32"/>
          <w:szCs w:val="32"/>
        </w:rPr>
        <w:t>平方米。累计新增城镇就业8.</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万人次，较“十一五”增长62%</w:t>
      </w:r>
      <w:r>
        <w:rPr>
          <w:rFonts w:hint="eastAsia" w:ascii="仿宋_GB2312" w:eastAsia="仿宋_GB2312"/>
          <w:color w:val="000000"/>
          <w:sz w:val="32"/>
          <w:szCs w:val="32"/>
          <w:lang w:eastAsia="zh-CN"/>
        </w:rPr>
        <w:t>。</w:t>
      </w:r>
      <w:r>
        <w:rPr>
          <w:rFonts w:hint="eastAsia" w:ascii="仿宋_GB2312" w:eastAsia="仿宋_GB2312"/>
          <w:color w:val="000000"/>
          <w:sz w:val="32"/>
          <w:szCs w:val="32"/>
        </w:rPr>
        <w:t>转移农村富余劳动力就业64.3万人。城乡居民收入年均分别增长13.2%和15.</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%，收入差距进一步缩小。基本公共服务均等化步伐加快，城乡社会养老、基本医疗、社会救助以及工</w:t>
      </w:r>
      <w:r>
        <w:rPr>
          <w:rFonts w:hint="eastAsia" w:ascii="仿宋_GB2312" w:hAnsi="仿宋_GB2312" w:eastAsia="仿宋_GB2312" w:cs="仿宋_GB2312"/>
          <w:snapToGrid w:val="0"/>
          <w:color w:val="000000"/>
          <w:kern w:val="0"/>
          <w:sz w:val="32"/>
          <w:szCs w:val="32"/>
        </w:rPr>
        <w:t>伤</w:t>
      </w:r>
      <w:r>
        <w:rPr>
          <w:rFonts w:hint="eastAsia" w:ascii="仿宋_GB2312" w:hAnsi="仿宋_GB2312" w:eastAsia="仿宋_GB2312" w:cs="仿宋_GB2312"/>
          <w:snapToGrid w:val="0"/>
          <w:color w:val="000000"/>
          <w:kern w:val="0"/>
          <w:sz w:val="32"/>
          <w:szCs w:val="32"/>
          <w:lang w:eastAsia="zh-CN"/>
        </w:rPr>
        <w:t>、生育保险保障水平大幅提升。</w:t>
      </w:r>
      <w:r>
        <w:rPr>
          <w:rFonts w:hint="eastAsia" w:ascii="仿宋_GB2312" w:hAnsi="仿宋_GB2312" w:eastAsia="仿宋_GB2312" w:cs="仿宋_GB2312"/>
          <w:snapToGrid w:val="0"/>
          <w:color w:val="000000"/>
          <w:kern w:val="0"/>
          <w:sz w:val="32"/>
          <w:szCs w:val="32"/>
        </w:rPr>
        <w:t>累计脱贫人口</w:t>
      </w:r>
      <w:r>
        <w:rPr>
          <w:rFonts w:hint="eastAsia" w:ascii="仿宋_GB2312" w:hAnsi="仿宋_GB2312" w:eastAsia="仿宋_GB2312" w:cs="仿宋_GB2312"/>
          <w:snapToGrid w:val="0"/>
          <w:color w:val="000000"/>
          <w:kern w:val="0"/>
          <w:sz w:val="32"/>
          <w:szCs w:val="32"/>
          <w:lang w:val="en-US" w:eastAsia="zh-CN"/>
        </w:rPr>
        <w:t>42.4</w:t>
      </w:r>
      <w:r>
        <w:rPr>
          <w:rFonts w:hint="eastAsia" w:ascii="仿宋_GB2312" w:hAnsi="仿宋_GB2312" w:eastAsia="仿宋_GB2312" w:cs="仿宋_GB2312"/>
          <w:snapToGrid w:val="0"/>
          <w:color w:val="000000"/>
          <w:kern w:val="0"/>
          <w:sz w:val="32"/>
          <w:szCs w:val="32"/>
        </w:rPr>
        <w:t>万人，人民生活实现了“温饱型”向“小康型”转变。</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left"/>
        <w:textAlignment w:val="auto"/>
        <w:rPr>
          <w:rFonts w:hint="eastAsia" w:ascii="仿宋_GB2312" w:hAnsi="Times New Roman" w:eastAsia="仿宋_GB2312" w:cs="Times New Roman"/>
          <w:color w:val="000000"/>
          <w:kern w:val="2"/>
          <w:sz w:val="32"/>
          <w:szCs w:val="32"/>
          <w:lang w:val="en-US" w:eastAsia="zh-CN" w:bidi="ar-SA"/>
        </w:rPr>
      </w:pPr>
      <w:r>
        <w:rPr>
          <w:rFonts w:hint="eastAsia" w:eastAsia="仿宋_GB2312"/>
          <w:b/>
          <w:snapToGrid w:val="0"/>
          <w:color w:val="000000"/>
          <w:kern w:val="0"/>
          <w:sz w:val="32"/>
          <w:szCs w:val="32"/>
        </w:rPr>
        <w:t>生态建设成效明显。</w:t>
      </w:r>
      <w:r>
        <w:rPr>
          <w:rFonts w:hint="eastAsia" w:ascii="仿宋_GB2312" w:hAnsi="Times New Roman" w:eastAsia="仿宋_GB2312" w:cs="Times New Roman"/>
          <w:color w:val="000000"/>
          <w:kern w:val="2"/>
          <w:sz w:val="32"/>
          <w:szCs w:val="32"/>
          <w:lang w:val="en-US" w:eastAsia="zh-CN" w:bidi="ar-SA"/>
        </w:rPr>
        <w:t>国家主体功能区建设试点示范工作扎实推进。垃圾、污水无害化处理设施实现县城全覆盖，创建2个国家级和6个省级生态示范县，生态创建工作走在全省前列。工业点源和农村面源污染治理有序推进，汉江水质保护十大专项行动和“治污降霾·保卫蓝天”行动计划深入开展，关停高污染、高耗能企业300余家，综合治理小流域250条，治理水土流失面积4500平方公里，污染减排任务全面完成，汉江出境断面水质保持国家地表水Ⅱ类标准，饮用水源地水质达标率100%，空气质量持续改善。累计绿化造林326万亩，全市森林覆盖率达到65%，位居全省第一。“丹治”二期、坡耕地治理深入实施，美丽安康建设取得新进展，经济增长和资源环境的协调性显著增强。</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eastAsia="仿宋_GB2312"/>
          <w:snapToGrid w:val="0"/>
          <w:color w:val="000000"/>
          <w:kern w:val="0"/>
          <w:sz w:val="32"/>
          <w:szCs w:val="32"/>
        </w:rPr>
      </w:pPr>
      <w:r>
        <w:rPr>
          <w:rFonts w:hint="eastAsia" w:eastAsia="仿宋_GB2312"/>
          <w:b/>
          <w:snapToGrid w:val="0"/>
          <w:color w:val="000000"/>
          <w:kern w:val="0"/>
          <w:sz w:val="32"/>
          <w:szCs w:val="32"/>
        </w:rPr>
        <w:t>改革开放大步迈进。</w:t>
      </w:r>
      <w:r>
        <w:rPr>
          <w:rFonts w:hint="eastAsia" w:eastAsia="仿宋_GB2312"/>
          <w:snapToGrid w:val="0"/>
          <w:color w:val="000000"/>
          <w:kern w:val="0"/>
          <w:sz w:val="32"/>
          <w:szCs w:val="32"/>
        </w:rPr>
        <w:t>全面深化改革蹄疾步稳，行政体制、经济体制、生态文明、社会民生等领域改革协调推进，发展活力和潜能不断释放。镇村综合改革全面完成，权责清单制度及市县政务服务中心“全程代理”运行机制全面推行。特色改革先行先试，全国发展改革和全省深化农村改革试点市、恒口全国发展改革试点镇、镇级小城市综合改革试验区建设稳步推进，</w:t>
      </w:r>
      <w:r>
        <w:rPr>
          <w:rFonts w:hint="eastAsia" w:eastAsia="仿宋_GB2312"/>
          <w:snapToGrid w:val="0"/>
          <w:color w:val="000000"/>
          <w:kern w:val="0"/>
          <w:sz w:val="32"/>
          <w:szCs w:val="32"/>
          <w:lang w:eastAsia="zh-CN"/>
        </w:rPr>
        <w:t>以生态流向发展</w:t>
      </w:r>
      <w:r>
        <w:rPr>
          <w:rFonts w:hint="eastAsia" w:eastAsia="仿宋_GB2312"/>
          <w:snapToGrid w:val="0"/>
          <w:color w:val="000000"/>
          <w:kern w:val="0"/>
          <w:sz w:val="32"/>
          <w:szCs w:val="32"/>
        </w:rPr>
        <w:t>“飞地经济”模式得到中省肯定和支持，“三县一带”金融创新工程</w:t>
      </w:r>
      <w:r>
        <w:rPr>
          <w:rFonts w:hint="eastAsia" w:ascii="仿宋_GB2312" w:hAnsi="仿宋_GB2312" w:eastAsia="仿宋_GB2312" w:cs="仿宋_GB2312"/>
          <w:snapToGrid w:val="0"/>
          <w:color w:val="000000"/>
          <w:kern w:val="0"/>
          <w:sz w:val="32"/>
          <w:szCs w:val="32"/>
        </w:rPr>
        <w:t>深入实施，3户企业在上股交Q版挂牌，医改“茨沟模式”在中省引起较大反响，“三区一体化”基础教育改革、纪检监察派驻机构“统派直管”改革全面推开。</w:t>
      </w:r>
      <w:r>
        <w:rPr>
          <w:rFonts w:hint="eastAsia" w:ascii="仿宋_GB2312" w:hAnsi="仿宋_GB2312" w:eastAsia="仿宋_GB2312" w:cs="仿宋_GB2312"/>
          <w:snapToGrid w:val="0"/>
          <w:color w:val="000000"/>
          <w:kern w:val="0"/>
          <w:sz w:val="32"/>
          <w:szCs w:val="32"/>
          <w:lang w:eastAsia="zh-CN"/>
        </w:rPr>
        <w:t>与大专院校、科研院所的务实战略</w:t>
      </w:r>
      <w:r>
        <w:rPr>
          <w:rFonts w:hint="eastAsia" w:ascii="仿宋_GB2312" w:hAnsi="仿宋_GB2312" w:eastAsia="仿宋_GB2312" w:cs="仿宋_GB2312"/>
          <w:snapToGrid w:val="0"/>
          <w:color w:val="000000"/>
          <w:kern w:val="0"/>
          <w:sz w:val="32"/>
          <w:szCs w:val="32"/>
        </w:rPr>
        <w:t>合作</w:t>
      </w:r>
      <w:r>
        <w:rPr>
          <w:rFonts w:hint="eastAsia" w:ascii="仿宋_GB2312" w:hAnsi="仿宋_GB2312" w:eastAsia="仿宋_GB2312" w:cs="仿宋_GB2312"/>
          <w:snapToGrid w:val="0"/>
          <w:color w:val="000000"/>
          <w:kern w:val="0"/>
          <w:sz w:val="32"/>
          <w:szCs w:val="32"/>
          <w:lang w:eastAsia="zh-CN"/>
        </w:rPr>
        <w:t>深入推进，</w:t>
      </w:r>
      <w:r>
        <w:rPr>
          <w:rFonts w:hint="eastAsia" w:ascii="仿宋_GB2312" w:hAnsi="仿宋_GB2312" w:eastAsia="仿宋_GB2312" w:cs="仿宋_GB2312"/>
          <w:snapToGrid w:val="0"/>
          <w:color w:val="000000"/>
          <w:kern w:val="0"/>
          <w:sz w:val="32"/>
          <w:szCs w:val="32"/>
        </w:rPr>
        <w:t>招商引资、对口协作成效显著，招商引资累计到位资金1462亿元，30户中国500强及知名企业落户安康。非公有制经济占比</w:t>
      </w:r>
      <w:r>
        <w:rPr>
          <w:rFonts w:hint="eastAsia" w:eastAsia="仿宋_GB2312"/>
          <w:snapToGrid w:val="0"/>
          <w:color w:val="000000"/>
          <w:kern w:val="0"/>
          <w:sz w:val="32"/>
          <w:szCs w:val="32"/>
        </w:rPr>
        <w:t>达到</w:t>
      </w:r>
      <w:r>
        <w:rPr>
          <w:rFonts w:ascii="仿宋_GB2312" w:hAnsi="仿宋_GB2312" w:eastAsia="仿宋_GB2312" w:cs="仿宋_GB2312"/>
          <w:snapToGrid w:val="0"/>
          <w:color w:val="000000"/>
          <w:kern w:val="0"/>
          <w:sz w:val="32"/>
          <w:szCs w:val="32"/>
        </w:rPr>
        <w:t>54</w:t>
      </w:r>
      <w:r>
        <w:rPr>
          <w:rFonts w:hint="eastAsia" w:ascii="仿宋_GB2312" w:hAnsi="仿宋_GB2312" w:eastAsia="仿宋_GB2312" w:cs="仿宋_GB2312"/>
          <w:snapToGrid w:val="0"/>
          <w:color w:val="000000"/>
          <w:kern w:val="0"/>
          <w:sz w:val="32"/>
          <w:szCs w:val="32"/>
          <w:lang w:val="en-US" w:eastAsia="zh-CN"/>
        </w:rPr>
        <w:t>.2</w:t>
      </w:r>
      <w:r>
        <w:rPr>
          <w:rFonts w:ascii="仿宋_GB2312" w:hAnsi="仿宋_GB2312" w:eastAsia="仿宋_GB2312" w:cs="仿宋_GB2312"/>
          <w:snapToGrid w:val="0"/>
          <w:color w:val="000000"/>
          <w:kern w:val="0"/>
          <w:sz w:val="32"/>
          <w:szCs w:val="32"/>
        </w:rPr>
        <w:t>%</w:t>
      </w:r>
      <w:r>
        <w:rPr>
          <w:rFonts w:hint="eastAsia" w:eastAsia="仿宋_GB2312"/>
          <w:snapToGrid w:val="0"/>
          <w:color w:val="000000"/>
          <w:kern w:val="0"/>
          <w:sz w:val="32"/>
          <w:szCs w:val="32"/>
        </w:rPr>
        <w:t>。</w:t>
      </w:r>
    </w:p>
    <w:p>
      <w:pPr>
        <w:spacing w:line="560" w:lineRule="exact"/>
        <w:jc w:val="center"/>
        <w:rPr>
          <w:rFonts w:ascii="黑体" w:hAnsi="黑体" w:eastAsia="黑体" w:cs="黑体"/>
          <w:snapToGrid w:val="0"/>
          <w:color w:val="000000"/>
          <w:kern w:val="0"/>
          <w:sz w:val="28"/>
          <w:szCs w:val="28"/>
        </w:rPr>
      </w:pPr>
      <w:r>
        <w:rPr>
          <w:rFonts w:hint="eastAsia" w:ascii="黑体" w:hAnsi="黑体" w:eastAsia="黑体" w:cs="黑体"/>
          <w:snapToGrid w:val="0"/>
          <w:color w:val="000000"/>
          <w:kern w:val="0"/>
          <w:sz w:val="28"/>
          <w:szCs w:val="28"/>
        </w:rPr>
        <w:t>附表</w:t>
      </w:r>
      <w:r>
        <w:rPr>
          <w:rFonts w:ascii="黑体" w:hAnsi="黑体" w:eastAsia="黑体" w:cs="黑体"/>
          <w:snapToGrid w:val="0"/>
          <w:color w:val="000000"/>
          <w:kern w:val="0"/>
          <w:sz w:val="28"/>
          <w:szCs w:val="28"/>
        </w:rPr>
        <w:t>1</w:t>
      </w:r>
      <w:r>
        <w:rPr>
          <w:rFonts w:hint="eastAsia" w:ascii="黑体" w:hAnsi="黑体" w:eastAsia="黑体" w:cs="黑体"/>
          <w:snapToGrid w:val="0"/>
          <w:color w:val="000000"/>
          <w:kern w:val="0"/>
          <w:sz w:val="28"/>
          <w:szCs w:val="28"/>
        </w:rPr>
        <w:t>：“十二五”</w:t>
      </w:r>
      <w:r>
        <w:rPr>
          <w:rFonts w:hint="eastAsia" w:ascii="黑体" w:hAnsi="黑体" w:eastAsia="黑体" w:cs="黑体"/>
          <w:snapToGrid w:val="0"/>
          <w:color w:val="000000"/>
          <w:kern w:val="0"/>
          <w:sz w:val="28"/>
          <w:szCs w:val="28"/>
          <w:lang w:eastAsia="zh-CN"/>
        </w:rPr>
        <w:t>规划主要目标</w:t>
      </w:r>
      <w:r>
        <w:rPr>
          <w:rFonts w:hint="eastAsia" w:ascii="黑体" w:hAnsi="黑体" w:eastAsia="黑体" w:cs="黑体"/>
          <w:snapToGrid w:val="0"/>
          <w:color w:val="000000"/>
          <w:kern w:val="0"/>
          <w:sz w:val="28"/>
          <w:szCs w:val="28"/>
        </w:rPr>
        <w:t>完成情况</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
        <w:gridCol w:w="2720"/>
        <w:gridCol w:w="1228"/>
        <w:gridCol w:w="1241"/>
        <w:gridCol w:w="941"/>
        <w:gridCol w:w="1364"/>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06" w:hRule="atLeast"/>
          <w:jc w:val="center"/>
        </w:trPr>
        <w:tc>
          <w:tcPr>
            <w:tcW w:w="39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黑体" w:hAnsi="黑体" w:eastAsia="黑体" w:cs="黑体"/>
                <w:color w:val="000000"/>
                <w:kern w:val="0"/>
                <w:sz w:val="18"/>
                <w:szCs w:val="18"/>
              </w:rPr>
            </w:pPr>
            <w:r>
              <w:rPr>
                <w:rFonts w:hint="eastAsia" w:ascii="黑体" w:hAnsi="黑体" w:eastAsia="黑体" w:cs="黑体"/>
                <w:color w:val="000000"/>
                <w:kern w:val="0"/>
                <w:sz w:val="18"/>
                <w:szCs w:val="18"/>
              </w:rPr>
              <w:t>类别</w:t>
            </w:r>
          </w:p>
        </w:tc>
        <w:tc>
          <w:tcPr>
            <w:tcW w:w="272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黑体" w:hAnsi="黑体" w:eastAsia="黑体" w:cs="黑体"/>
                <w:color w:val="000000"/>
                <w:kern w:val="0"/>
                <w:sz w:val="18"/>
                <w:szCs w:val="18"/>
              </w:rPr>
            </w:pPr>
            <w:r>
              <w:rPr>
                <w:rFonts w:hint="eastAsia" w:ascii="黑体" w:hAnsi="黑体" w:eastAsia="黑体" w:cs="黑体"/>
                <w:color w:val="000000"/>
                <w:kern w:val="0"/>
                <w:sz w:val="18"/>
                <w:szCs w:val="18"/>
              </w:rPr>
              <w:t>指标名称</w:t>
            </w:r>
          </w:p>
        </w:tc>
        <w:tc>
          <w:tcPr>
            <w:tcW w:w="122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黑体" w:hAnsi="黑体" w:eastAsia="黑体" w:cs="黑体"/>
                <w:color w:val="000000"/>
                <w:kern w:val="0"/>
                <w:sz w:val="18"/>
                <w:szCs w:val="18"/>
              </w:rPr>
            </w:pPr>
            <w:r>
              <w:rPr>
                <w:rFonts w:ascii="黑体" w:hAnsi="黑体" w:eastAsia="黑体" w:cs="黑体"/>
                <w:color w:val="000000"/>
                <w:kern w:val="0"/>
                <w:sz w:val="18"/>
                <w:szCs w:val="18"/>
              </w:rPr>
              <w:t>2010</w:t>
            </w:r>
            <w:r>
              <w:rPr>
                <w:rFonts w:hint="eastAsia" w:ascii="黑体" w:hAnsi="黑体" w:eastAsia="黑体" w:cs="黑体"/>
                <w:color w:val="000000"/>
                <w:kern w:val="0"/>
                <w:sz w:val="18"/>
                <w:szCs w:val="18"/>
              </w:rPr>
              <w:t>年</w:t>
            </w:r>
          </w:p>
        </w:tc>
        <w:tc>
          <w:tcPr>
            <w:tcW w:w="218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黑体" w:hAnsi="黑体" w:eastAsia="黑体" w:cs="黑体"/>
                <w:color w:val="000000"/>
                <w:kern w:val="0"/>
                <w:sz w:val="18"/>
                <w:szCs w:val="18"/>
              </w:rPr>
            </w:pPr>
            <w:r>
              <w:rPr>
                <w:rFonts w:hint="eastAsia" w:ascii="黑体" w:hAnsi="黑体" w:eastAsia="黑体" w:cs="黑体"/>
                <w:color w:val="000000"/>
                <w:kern w:val="0"/>
                <w:sz w:val="18"/>
                <w:szCs w:val="18"/>
                <w:lang w:val="en-US" w:eastAsia="zh-CN"/>
              </w:rPr>
              <w:t>2015年预期</w:t>
            </w:r>
          </w:p>
        </w:tc>
        <w:tc>
          <w:tcPr>
            <w:tcW w:w="2317"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黑体" w:hAnsi="黑体" w:eastAsia="黑体" w:cs="黑体"/>
                <w:color w:val="000000"/>
                <w:kern w:val="0"/>
                <w:sz w:val="18"/>
                <w:szCs w:val="18"/>
              </w:rPr>
            </w:pPr>
            <w:r>
              <w:rPr>
                <w:rFonts w:hint="eastAsia" w:ascii="黑体" w:hAnsi="黑体" w:eastAsia="黑体" w:cs="黑体"/>
                <w:color w:val="000000"/>
                <w:kern w:val="0"/>
                <w:sz w:val="18"/>
                <w:szCs w:val="18"/>
                <w:lang w:val="en-US" w:eastAsia="zh-CN"/>
              </w:rPr>
              <w:t>2015年</w:t>
            </w:r>
            <w:r>
              <w:rPr>
                <w:rFonts w:hint="eastAsia" w:ascii="黑体" w:hAnsi="黑体" w:eastAsia="黑体" w:cs="黑体"/>
                <w:color w:val="000000"/>
                <w:kern w:val="0"/>
                <w:sz w:val="18"/>
                <w:szCs w:val="18"/>
                <w:lang w:eastAsia="zh-CN"/>
              </w:rPr>
              <w:t>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80" w:hRule="atLeast"/>
          <w:jc w:val="center"/>
        </w:trPr>
        <w:tc>
          <w:tcPr>
            <w:tcW w:w="39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黑体" w:hAnsi="黑体" w:eastAsia="黑体" w:cs="黑体"/>
                <w:color w:val="000000"/>
                <w:sz w:val="18"/>
                <w:szCs w:val="18"/>
              </w:rPr>
            </w:pPr>
          </w:p>
        </w:tc>
        <w:tc>
          <w:tcPr>
            <w:tcW w:w="272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ascii="黑体" w:hAnsi="黑体" w:eastAsia="黑体" w:cs="黑体"/>
                <w:color w:val="000000"/>
                <w:sz w:val="18"/>
                <w:szCs w:val="18"/>
              </w:rPr>
            </w:pPr>
          </w:p>
        </w:tc>
        <w:tc>
          <w:tcPr>
            <w:tcW w:w="122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黑体" w:hAnsi="黑体" w:eastAsia="黑体" w:cs="黑体"/>
                <w:color w:val="000000"/>
                <w:sz w:val="18"/>
                <w:szCs w:val="18"/>
              </w:rPr>
            </w:pPr>
          </w:p>
        </w:tc>
        <w:tc>
          <w:tcPr>
            <w:tcW w:w="1241"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ascii="黑体" w:hAnsi="黑体" w:eastAsia="黑体" w:cs="黑体"/>
                <w:color w:val="000000"/>
                <w:kern w:val="0"/>
                <w:sz w:val="18"/>
                <w:szCs w:val="18"/>
              </w:rPr>
            </w:pPr>
            <w:r>
              <w:rPr>
                <w:rFonts w:hint="eastAsia" w:ascii="黑体" w:hAnsi="黑体" w:eastAsia="黑体" w:cs="黑体"/>
                <w:color w:val="000000"/>
                <w:kern w:val="0"/>
                <w:sz w:val="18"/>
                <w:szCs w:val="18"/>
                <w:lang w:eastAsia="zh-CN"/>
              </w:rPr>
              <w:t>预期</w:t>
            </w:r>
            <w:r>
              <w:rPr>
                <w:rFonts w:hint="eastAsia" w:ascii="黑体" w:hAnsi="黑体" w:eastAsia="黑体" w:cs="黑体"/>
                <w:color w:val="000000"/>
                <w:kern w:val="0"/>
                <w:sz w:val="18"/>
                <w:szCs w:val="18"/>
              </w:rPr>
              <w:t>目标</w:t>
            </w:r>
          </w:p>
        </w:tc>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ascii="黑体" w:hAnsi="黑体" w:eastAsia="黑体" w:cs="黑体"/>
                <w:color w:val="000000"/>
                <w:kern w:val="0"/>
                <w:sz w:val="18"/>
                <w:szCs w:val="18"/>
              </w:rPr>
            </w:pPr>
            <w:r>
              <w:rPr>
                <w:rFonts w:hint="eastAsia" w:ascii="黑体" w:hAnsi="黑体" w:eastAsia="黑体" w:cs="黑体"/>
                <w:color w:val="000000"/>
                <w:kern w:val="0"/>
                <w:sz w:val="18"/>
                <w:szCs w:val="18"/>
              </w:rPr>
              <w:t>年均增长（</w:t>
            </w:r>
            <w:r>
              <w:rPr>
                <w:rFonts w:ascii="黑体" w:hAnsi="黑体" w:eastAsia="黑体" w:cs="黑体"/>
                <w:color w:val="000000"/>
                <w:kern w:val="0"/>
                <w:sz w:val="18"/>
                <w:szCs w:val="18"/>
              </w:rPr>
              <w:t>%</w:t>
            </w:r>
            <w:r>
              <w:rPr>
                <w:rFonts w:hint="eastAsia" w:ascii="黑体" w:hAnsi="黑体" w:eastAsia="黑体" w:cs="黑体"/>
                <w:color w:val="000000"/>
                <w:kern w:val="0"/>
                <w:sz w:val="18"/>
                <w:szCs w:val="18"/>
              </w:rPr>
              <w:t>）</w:t>
            </w:r>
          </w:p>
        </w:tc>
        <w:tc>
          <w:tcPr>
            <w:tcW w:w="1364"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黑体" w:hAnsi="黑体" w:eastAsia="黑体" w:cs="黑体"/>
                <w:color w:val="000000"/>
                <w:kern w:val="0"/>
                <w:sz w:val="18"/>
                <w:szCs w:val="18"/>
                <w:lang w:eastAsia="zh-CN"/>
              </w:rPr>
            </w:pPr>
            <w:r>
              <w:rPr>
                <w:rFonts w:hint="eastAsia" w:ascii="黑体" w:hAnsi="黑体" w:eastAsia="黑体" w:cs="黑体"/>
                <w:color w:val="000000"/>
                <w:kern w:val="0"/>
                <w:sz w:val="18"/>
                <w:szCs w:val="18"/>
                <w:lang w:eastAsia="zh-CN"/>
              </w:rPr>
              <w:t>实际完成</w:t>
            </w:r>
          </w:p>
        </w:tc>
        <w:tc>
          <w:tcPr>
            <w:tcW w:w="953"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ascii="黑体" w:hAnsi="黑体" w:eastAsia="黑体" w:cs="黑体"/>
                <w:color w:val="000000"/>
                <w:kern w:val="0"/>
                <w:sz w:val="18"/>
                <w:szCs w:val="18"/>
              </w:rPr>
            </w:pPr>
            <w:r>
              <w:rPr>
                <w:rFonts w:hint="eastAsia" w:ascii="黑体" w:hAnsi="黑体" w:eastAsia="黑体" w:cs="黑体"/>
                <w:color w:val="000000"/>
                <w:kern w:val="0"/>
                <w:sz w:val="18"/>
                <w:szCs w:val="18"/>
              </w:rPr>
              <w:t>年均增长（</w:t>
            </w:r>
            <w:r>
              <w:rPr>
                <w:rFonts w:ascii="黑体" w:hAnsi="黑体" w:eastAsia="黑体" w:cs="黑体"/>
                <w:color w:val="000000"/>
                <w:kern w:val="0"/>
                <w:sz w:val="18"/>
                <w:szCs w:val="18"/>
              </w:rPr>
              <w:t>%</w:t>
            </w:r>
            <w:r>
              <w:rPr>
                <w:rFonts w:hint="eastAsia" w:ascii="黑体" w:hAnsi="黑体" w:eastAsia="黑体" w:cs="黑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34" w:hRule="atLeast"/>
          <w:jc w:val="center"/>
        </w:trPr>
        <w:tc>
          <w:tcPr>
            <w:tcW w:w="39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00" w:lineRule="atLeast"/>
              <w:ind w:left="0" w:leftChars="0" w:right="0" w:rightChars="0" w:firstLine="0" w:firstLineChars="0"/>
              <w:jc w:val="both"/>
              <w:textAlignment w:val="auto"/>
              <w:outlineLvl w:val="9"/>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经济</w:t>
            </w:r>
            <w:r>
              <w:rPr>
                <w:rFonts w:hint="eastAsia" w:ascii="黑体" w:hAnsi="黑体" w:eastAsia="黑体" w:cs="黑体"/>
                <w:color w:val="000000"/>
                <w:kern w:val="0"/>
                <w:sz w:val="18"/>
                <w:szCs w:val="18"/>
                <w:lang w:eastAsia="zh-CN"/>
              </w:rPr>
              <w:t>发展</w:t>
            </w:r>
          </w:p>
        </w:tc>
        <w:tc>
          <w:tcPr>
            <w:tcW w:w="272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宋体" w:cs="宋体"/>
                <w:color w:val="000000"/>
                <w:kern w:val="0"/>
                <w:sz w:val="18"/>
                <w:szCs w:val="18"/>
              </w:rPr>
            </w:pPr>
            <w:r>
              <w:rPr>
                <w:rFonts w:hint="eastAsia" w:ascii="宋体" w:hAnsi="宋体" w:cs="宋体"/>
                <w:color w:val="000000"/>
                <w:kern w:val="0"/>
                <w:sz w:val="18"/>
                <w:szCs w:val="18"/>
              </w:rPr>
              <w:t>生产总值（亿元）</w:t>
            </w:r>
          </w:p>
        </w:tc>
        <w:tc>
          <w:tcPr>
            <w:tcW w:w="12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000000"/>
                <w:kern w:val="0"/>
                <w:sz w:val="18"/>
                <w:szCs w:val="18"/>
              </w:rPr>
            </w:pPr>
            <w:r>
              <w:rPr>
                <w:rFonts w:ascii="宋体" w:hAnsi="宋体" w:cs="宋体"/>
                <w:color w:val="000000"/>
                <w:kern w:val="0"/>
                <w:sz w:val="18"/>
                <w:szCs w:val="18"/>
              </w:rPr>
              <w:t>327.06</w:t>
            </w:r>
          </w:p>
        </w:tc>
        <w:tc>
          <w:tcPr>
            <w:tcW w:w="124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000000"/>
                <w:kern w:val="0"/>
                <w:sz w:val="18"/>
                <w:szCs w:val="18"/>
              </w:rPr>
            </w:pPr>
            <w:r>
              <w:rPr>
                <w:rFonts w:ascii="宋体" w:hAnsi="宋体" w:cs="宋体"/>
                <w:color w:val="000000"/>
                <w:kern w:val="0"/>
                <w:sz w:val="18"/>
                <w:szCs w:val="18"/>
              </w:rPr>
              <w:t>700</w:t>
            </w:r>
            <w:r>
              <w:rPr>
                <w:rFonts w:hint="eastAsia" w:ascii="宋体" w:hAnsi="宋体" w:cs="宋体"/>
                <w:color w:val="000000"/>
                <w:kern w:val="0"/>
                <w:sz w:val="18"/>
                <w:szCs w:val="18"/>
              </w:rPr>
              <w:t>左右</w:t>
            </w:r>
          </w:p>
        </w:tc>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000000"/>
                <w:kern w:val="0"/>
                <w:sz w:val="18"/>
                <w:szCs w:val="18"/>
              </w:rPr>
            </w:pPr>
            <w:r>
              <w:rPr>
                <w:rFonts w:ascii="宋体" w:hAnsi="宋体" w:cs="宋体"/>
                <w:color w:val="000000"/>
                <w:kern w:val="0"/>
                <w:sz w:val="18"/>
                <w:szCs w:val="18"/>
              </w:rPr>
              <w:t>13</w:t>
            </w:r>
            <w:r>
              <w:rPr>
                <w:rFonts w:hint="eastAsia" w:ascii="宋体" w:hAnsi="宋体" w:cs="宋体"/>
                <w:color w:val="000000"/>
                <w:kern w:val="0"/>
                <w:sz w:val="18"/>
                <w:szCs w:val="18"/>
              </w:rPr>
              <w:t>左右</w:t>
            </w:r>
          </w:p>
        </w:tc>
        <w:tc>
          <w:tcPr>
            <w:tcW w:w="136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eastAsia="宋体" w:cs="宋体"/>
                <w:color w:val="000000"/>
                <w:kern w:val="0"/>
                <w:sz w:val="18"/>
                <w:szCs w:val="18"/>
                <w:lang w:eastAsia="zh-CN"/>
              </w:rPr>
            </w:pPr>
            <w:r>
              <w:rPr>
                <w:rFonts w:hint="eastAsia" w:ascii="宋体" w:eastAsia="宋体" w:cs="宋体"/>
                <w:color w:val="000000"/>
                <w:kern w:val="0"/>
                <w:sz w:val="18"/>
                <w:szCs w:val="18"/>
                <w:lang w:val="en-US" w:eastAsia="zh-CN"/>
              </w:rPr>
              <w:t>772.46</w:t>
            </w:r>
          </w:p>
        </w:tc>
        <w:tc>
          <w:tcPr>
            <w:tcW w:w="95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hAnsi="宋体" w:cs="宋体"/>
                <w:color w:val="000000"/>
                <w:kern w:val="0"/>
                <w:sz w:val="18"/>
                <w:szCs w:val="18"/>
              </w:rPr>
            </w:pPr>
            <w:r>
              <w:rPr>
                <w:rFonts w:ascii="宋体" w:hAnsi="宋体" w:cs="宋体"/>
                <w:color w:val="000000"/>
                <w:kern w:val="0"/>
                <w:sz w:val="18"/>
                <w:szCs w:val="18"/>
              </w:rPr>
              <w:t>13.</w:t>
            </w:r>
            <w:r>
              <w:rPr>
                <w:rFonts w:hint="eastAsia" w:ascii="宋体" w:hAnsi="宋体" w:cs="宋体"/>
                <w:color w:val="000000"/>
                <w:kern w:val="0"/>
                <w:sz w:val="18"/>
                <w:szCs w:val="18"/>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02" w:hRule="atLeast"/>
          <w:jc w:val="center"/>
        </w:trPr>
        <w:tc>
          <w:tcPr>
            <w:tcW w:w="39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00" w:lineRule="atLeast"/>
              <w:ind w:left="0" w:leftChars="0" w:right="0" w:rightChars="0" w:firstLine="0" w:firstLineChars="0"/>
              <w:jc w:val="both"/>
              <w:textAlignment w:val="auto"/>
              <w:outlineLvl w:val="9"/>
              <w:rPr>
                <w:rFonts w:hint="eastAsia" w:ascii="黑体" w:hAnsi="黑体" w:eastAsia="黑体" w:cs="黑体"/>
                <w:color w:val="000000"/>
                <w:kern w:val="0"/>
                <w:sz w:val="18"/>
                <w:szCs w:val="18"/>
              </w:rPr>
            </w:pPr>
          </w:p>
        </w:tc>
        <w:tc>
          <w:tcPr>
            <w:tcW w:w="272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宋体" w:cs="宋体"/>
                <w:color w:val="000000"/>
                <w:kern w:val="0"/>
                <w:sz w:val="18"/>
                <w:szCs w:val="18"/>
              </w:rPr>
            </w:pPr>
            <w:r>
              <w:rPr>
                <w:rFonts w:hint="eastAsia" w:ascii="宋体" w:hAnsi="宋体" w:cs="宋体"/>
                <w:color w:val="000000"/>
                <w:kern w:val="0"/>
                <w:sz w:val="18"/>
                <w:szCs w:val="18"/>
              </w:rPr>
              <w:t>其中：规模工业增加值</w:t>
            </w:r>
          </w:p>
        </w:tc>
        <w:tc>
          <w:tcPr>
            <w:tcW w:w="12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eastAsia="宋体" w:cs="宋体"/>
                <w:color w:val="000000"/>
                <w:kern w:val="0"/>
                <w:sz w:val="18"/>
                <w:szCs w:val="18"/>
              </w:rPr>
            </w:pPr>
            <w:r>
              <w:rPr>
                <w:rFonts w:hint="eastAsia" w:ascii="宋体" w:hAnsi="宋体" w:cs="宋体"/>
                <w:color w:val="000000"/>
                <w:kern w:val="0"/>
                <w:sz w:val="18"/>
                <w:szCs w:val="18"/>
              </w:rPr>
              <w:t>73.7</w:t>
            </w:r>
          </w:p>
        </w:tc>
        <w:tc>
          <w:tcPr>
            <w:tcW w:w="124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000000"/>
                <w:kern w:val="0"/>
                <w:sz w:val="18"/>
                <w:szCs w:val="18"/>
              </w:rPr>
            </w:pPr>
            <w:r>
              <w:rPr>
                <w:rFonts w:ascii="宋体" w:hAnsi="宋体" w:cs="宋体"/>
                <w:color w:val="000000"/>
                <w:kern w:val="0"/>
                <w:sz w:val="18"/>
                <w:szCs w:val="18"/>
              </w:rPr>
              <w:t>240</w:t>
            </w:r>
          </w:p>
        </w:tc>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000000"/>
                <w:kern w:val="0"/>
                <w:sz w:val="18"/>
                <w:szCs w:val="18"/>
              </w:rPr>
            </w:pPr>
            <w:r>
              <w:rPr>
                <w:rFonts w:ascii="宋体" w:hAnsi="宋体" w:cs="宋体"/>
                <w:color w:val="000000"/>
                <w:kern w:val="0"/>
                <w:sz w:val="18"/>
                <w:szCs w:val="18"/>
              </w:rPr>
              <w:t>22</w:t>
            </w:r>
            <w:r>
              <w:rPr>
                <w:rFonts w:hint="eastAsia" w:ascii="宋体" w:hAnsi="宋体" w:cs="宋体"/>
                <w:color w:val="000000"/>
                <w:kern w:val="0"/>
                <w:sz w:val="18"/>
                <w:szCs w:val="18"/>
              </w:rPr>
              <w:t>左右</w:t>
            </w:r>
          </w:p>
        </w:tc>
        <w:tc>
          <w:tcPr>
            <w:tcW w:w="136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000000"/>
                <w:kern w:val="0"/>
                <w:sz w:val="18"/>
                <w:szCs w:val="18"/>
              </w:rPr>
            </w:pPr>
            <w:r>
              <w:rPr>
                <w:rFonts w:ascii="宋体" w:hAnsi="宋体" w:cs="宋体"/>
                <w:color w:val="000000"/>
                <w:kern w:val="0"/>
                <w:sz w:val="18"/>
                <w:szCs w:val="18"/>
              </w:rPr>
              <w:t>3</w:t>
            </w:r>
            <w:r>
              <w:rPr>
                <w:rFonts w:hint="eastAsia" w:ascii="宋体" w:hAnsi="宋体" w:cs="宋体"/>
                <w:color w:val="000000"/>
                <w:kern w:val="0"/>
                <w:sz w:val="18"/>
                <w:szCs w:val="18"/>
              </w:rPr>
              <w:t>2</w:t>
            </w:r>
            <w:r>
              <w:rPr>
                <w:rFonts w:hint="eastAsia" w:ascii="宋体" w:hAnsi="宋体" w:cs="宋体"/>
                <w:color w:val="000000"/>
                <w:kern w:val="0"/>
                <w:sz w:val="18"/>
                <w:szCs w:val="18"/>
                <w:lang w:val="en-US" w:eastAsia="zh-CN"/>
              </w:rPr>
              <w:t>1.2</w:t>
            </w:r>
          </w:p>
        </w:tc>
        <w:tc>
          <w:tcPr>
            <w:tcW w:w="95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hAnsi="宋体" w:cs="宋体"/>
                <w:color w:val="000000"/>
                <w:kern w:val="0"/>
                <w:sz w:val="18"/>
                <w:szCs w:val="18"/>
              </w:rPr>
            </w:pPr>
            <w:r>
              <w:rPr>
                <w:rFonts w:hint="eastAsia" w:ascii="宋体" w:hAnsi="宋体" w:cs="宋体"/>
                <w:color w:val="000000"/>
                <w:kern w:val="0"/>
                <w:sz w:val="18"/>
                <w:szCs w:val="18"/>
                <w:lang w:val="en-US" w:eastAsia="zh-CN"/>
              </w:rPr>
              <w:t>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04" w:hRule="atLeast"/>
          <w:jc w:val="center"/>
        </w:trPr>
        <w:tc>
          <w:tcPr>
            <w:tcW w:w="39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00" w:lineRule="atLeast"/>
              <w:ind w:left="0" w:leftChars="0" w:right="0" w:rightChars="0" w:firstLine="0" w:firstLineChars="0"/>
              <w:jc w:val="both"/>
              <w:textAlignment w:val="auto"/>
              <w:outlineLvl w:val="9"/>
              <w:rPr>
                <w:rFonts w:hint="eastAsia" w:ascii="黑体" w:hAnsi="黑体" w:eastAsia="黑体" w:cs="黑体"/>
                <w:color w:val="000000"/>
                <w:kern w:val="0"/>
                <w:sz w:val="18"/>
                <w:szCs w:val="18"/>
              </w:rPr>
            </w:pPr>
          </w:p>
        </w:tc>
        <w:tc>
          <w:tcPr>
            <w:tcW w:w="272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宋体" w:cs="宋体"/>
                <w:color w:val="000000"/>
                <w:kern w:val="0"/>
                <w:sz w:val="18"/>
                <w:szCs w:val="18"/>
              </w:rPr>
            </w:pPr>
            <w:r>
              <w:rPr>
                <w:rFonts w:hint="eastAsia" w:ascii="宋体" w:hAnsi="宋体" w:cs="宋体"/>
                <w:color w:val="000000"/>
                <w:kern w:val="0"/>
                <w:sz w:val="18"/>
                <w:szCs w:val="18"/>
              </w:rPr>
              <w:t>财政一般预算收入（亿元）</w:t>
            </w:r>
          </w:p>
        </w:tc>
        <w:tc>
          <w:tcPr>
            <w:tcW w:w="12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000000"/>
                <w:kern w:val="0"/>
                <w:sz w:val="18"/>
                <w:szCs w:val="18"/>
              </w:rPr>
            </w:pPr>
            <w:r>
              <w:rPr>
                <w:rFonts w:ascii="宋体" w:hAnsi="宋体" w:cs="宋体"/>
                <w:color w:val="000000"/>
                <w:kern w:val="0"/>
                <w:sz w:val="18"/>
                <w:szCs w:val="18"/>
              </w:rPr>
              <w:t>13.2</w:t>
            </w:r>
          </w:p>
        </w:tc>
        <w:tc>
          <w:tcPr>
            <w:tcW w:w="124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000000"/>
                <w:kern w:val="0"/>
                <w:sz w:val="18"/>
                <w:szCs w:val="18"/>
              </w:rPr>
            </w:pPr>
            <w:r>
              <w:rPr>
                <w:rFonts w:ascii="宋体" w:hAnsi="宋体" w:cs="宋体"/>
                <w:color w:val="000000"/>
                <w:kern w:val="0"/>
                <w:sz w:val="18"/>
                <w:szCs w:val="18"/>
              </w:rPr>
              <w:t>33</w:t>
            </w:r>
          </w:p>
        </w:tc>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000000"/>
                <w:kern w:val="0"/>
                <w:sz w:val="18"/>
                <w:szCs w:val="18"/>
              </w:rPr>
            </w:pPr>
            <w:r>
              <w:rPr>
                <w:rFonts w:ascii="宋体" w:hAnsi="宋体" w:cs="宋体"/>
                <w:color w:val="000000"/>
                <w:kern w:val="0"/>
                <w:sz w:val="18"/>
                <w:szCs w:val="18"/>
              </w:rPr>
              <w:t>20</w:t>
            </w:r>
          </w:p>
        </w:tc>
        <w:tc>
          <w:tcPr>
            <w:tcW w:w="136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eastAsia="宋体" w:cs="宋体"/>
                <w:color w:val="000000"/>
                <w:kern w:val="0"/>
                <w:sz w:val="18"/>
                <w:szCs w:val="18"/>
                <w:lang w:eastAsia="zh-CN"/>
              </w:rPr>
            </w:pPr>
            <w:r>
              <w:rPr>
                <w:rFonts w:hint="eastAsia" w:ascii="宋体" w:hAnsi="宋体" w:cs="宋体"/>
                <w:color w:val="000000"/>
                <w:kern w:val="0"/>
                <w:sz w:val="18"/>
                <w:szCs w:val="18"/>
                <w:lang w:val="en-US" w:eastAsia="zh-CN"/>
              </w:rPr>
              <w:t>30.8</w:t>
            </w:r>
          </w:p>
        </w:tc>
        <w:tc>
          <w:tcPr>
            <w:tcW w:w="95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hAnsi="宋体" w:cs="宋体"/>
                <w:color w:val="000000"/>
                <w:kern w:val="0"/>
                <w:sz w:val="18"/>
                <w:szCs w:val="18"/>
              </w:rPr>
            </w:pPr>
            <w:r>
              <w:rPr>
                <w:rFonts w:hint="eastAsia" w:ascii="宋体" w:hAnsi="宋体" w:cs="宋体"/>
                <w:color w:val="000000"/>
                <w:kern w:val="0"/>
                <w:sz w:val="18"/>
                <w:szCs w:val="18"/>
                <w:lang w:val="en-US" w:eastAsia="zh-CN"/>
              </w:rPr>
              <w:t>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7" w:hRule="atLeast"/>
          <w:jc w:val="center"/>
        </w:trPr>
        <w:tc>
          <w:tcPr>
            <w:tcW w:w="39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00" w:lineRule="atLeast"/>
              <w:ind w:left="0" w:leftChars="0" w:right="0" w:rightChars="0" w:firstLine="0" w:firstLineChars="0"/>
              <w:jc w:val="both"/>
              <w:textAlignment w:val="auto"/>
              <w:outlineLvl w:val="9"/>
              <w:rPr>
                <w:rFonts w:hint="eastAsia" w:ascii="黑体" w:hAnsi="黑体" w:eastAsia="黑体" w:cs="黑体"/>
                <w:color w:val="000000"/>
                <w:kern w:val="0"/>
                <w:sz w:val="18"/>
                <w:szCs w:val="18"/>
              </w:rPr>
            </w:pPr>
          </w:p>
        </w:tc>
        <w:tc>
          <w:tcPr>
            <w:tcW w:w="2720"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ascii="宋体" w:cs="宋体"/>
                <w:color w:val="000000"/>
                <w:kern w:val="0"/>
                <w:sz w:val="18"/>
                <w:szCs w:val="18"/>
              </w:rPr>
            </w:pPr>
            <w:r>
              <w:rPr>
                <w:rFonts w:hint="eastAsia" w:ascii="宋体" w:hAnsi="宋体" w:cs="宋体"/>
                <w:color w:val="000000"/>
                <w:kern w:val="0"/>
                <w:sz w:val="18"/>
                <w:szCs w:val="18"/>
              </w:rPr>
              <w:t>五年累计完成全社会固定资产投资（亿元）</w:t>
            </w:r>
          </w:p>
        </w:tc>
        <w:tc>
          <w:tcPr>
            <w:tcW w:w="12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000000"/>
                <w:kern w:val="0"/>
                <w:sz w:val="18"/>
                <w:szCs w:val="18"/>
              </w:rPr>
            </w:pPr>
            <w:r>
              <w:rPr>
                <w:rFonts w:hint="eastAsia" w:ascii="宋体" w:hAnsi="宋体" w:cs="宋体"/>
                <w:snapToGrid w:val="0"/>
                <w:color w:val="000000"/>
                <w:kern w:val="0"/>
                <w:sz w:val="21"/>
                <w:szCs w:val="21"/>
              </w:rPr>
              <w:t>【</w:t>
            </w:r>
            <w:r>
              <w:rPr>
                <w:rFonts w:ascii="宋体" w:hAnsi="宋体" w:cs="宋体"/>
                <w:color w:val="000000"/>
                <w:kern w:val="0"/>
                <w:sz w:val="18"/>
                <w:szCs w:val="18"/>
              </w:rPr>
              <w:t>1089.5</w:t>
            </w:r>
            <w:r>
              <w:rPr>
                <w:rFonts w:hint="eastAsia" w:ascii="宋体" w:hAnsi="宋体" w:cs="宋体"/>
                <w:snapToGrid w:val="0"/>
                <w:color w:val="000000"/>
                <w:kern w:val="0"/>
                <w:sz w:val="21"/>
                <w:szCs w:val="21"/>
              </w:rPr>
              <w:t>】</w:t>
            </w:r>
          </w:p>
        </w:tc>
        <w:tc>
          <w:tcPr>
            <w:tcW w:w="124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000000"/>
                <w:kern w:val="0"/>
                <w:sz w:val="18"/>
                <w:szCs w:val="18"/>
              </w:rPr>
            </w:pPr>
            <w:r>
              <w:rPr>
                <w:rFonts w:hint="eastAsia" w:ascii="宋体" w:hAnsi="宋体" w:cs="宋体"/>
                <w:snapToGrid w:val="0"/>
                <w:color w:val="000000"/>
                <w:kern w:val="0"/>
                <w:sz w:val="20"/>
                <w:szCs w:val="20"/>
              </w:rPr>
              <w:t>【</w:t>
            </w:r>
            <w:r>
              <w:rPr>
                <w:rFonts w:ascii="宋体" w:hAnsi="宋体" w:cs="宋体"/>
                <w:color w:val="000000"/>
                <w:kern w:val="0"/>
                <w:sz w:val="16"/>
                <w:szCs w:val="16"/>
              </w:rPr>
              <w:t>2500</w:t>
            </w:r>
            <w:r>
              <w:rPr>
                <w:rFonts w:hint="eastAsia" w:ascii="宋体" w:hAnsi="宋体" w:cs="宋体"/>
                <w:color w:val="000000"/>
                <w:kern w:val="0"/>
                <w:sz w:val="16"/>
                <w:szCs w:val="16"/>
              </w:rPr>
              <w:t>左右</w:t>
            </w:r>
            <w:r>
              <w:rPr>
                <w:rFonts w:hint="eastAsia" w:ascii="宋体" w:hAnsi="宋体" w:cs="宋体"/>
                <w:snapToGrid w:val="0"/>
                <w:color w:val="000000"/>
                <w:kern w:val="0"/>
                <w:sz w:val="20"/>
                <w:szCs w:val="20"/>
              </w:rPr>
              <w:t>】</w:t>
            </w:r>
          </w:p>
        </w:tc>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000000"/>
                <w:kern w:val="0"/>
                <w:sz w:val="18"/>
                <w:szCs w:val="18"/>
              </w:rPr>
            </w:pPr>
            <w:r>
              <w:rPr>
                <w:rFonts w:ascii="宋体" w:hAnsi="宋体" w:cs="宋体"/>
                <w:color w:val="000000"/>
                <w:kern w:val="0"/>
                <w:sz w:val="18"/>
                <w:szCs w:val="18"/>
              </w:rPr>
              <w:t>20</w:t>
            </w:r>
            <w:r>
              <w:rPr>
                <w:rFonts w:hint="eastAsia" w:ascii="宋体" w:hAnsi="宋体" w:cs="宋体"/>
                <w:color w:val="000000"/>
                <w:kern w:val="0"/>
                <w:sz w:val="18"/>
                <w:szCs w:val="18"/>
              </w:rPr>
              <w:t>左右</w:t>
            </w:r>
            <w:r>
              <w:rPr>
                <w:rFonts w:hint="eastAsia" w:ascii="宋体" w:hAnsi="宋体" w:cs="宋体"/>
                <w:b/>
                <w:bCs/>
                <w:color w:val="000000"/>
                <w:kern w:val="0"/>
                <w:sz w:val="16"/>
                <w:szCs w:val="16"/>
              </w:rPr>
              <w:t>＊</w:t>
            </w:r>
          </w:p>
        </w:tc>
        <w:tc>
          <w:tcPr>
            <w:tcW w:w="136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000000"/>
                <w:kern w:val="0"/>
                <w:sz w:val="18"/>
                <w:szCs w:val="18"/>
              </w:rPr>
            </w:pPr>
            <w:r>
              <w:rPr>
                <w:rFonts w:hint="eastAsia" w:ascii="宋体" w:hAnsi="宋体" w:cs="宋体"/>
                <w:snapToGrid w:val="0"/>
                <w:color w:val="000000"/>
                <w:kern w:val="0"/>
                <w:sz w:val="21"/>
                <w:szCs w:val="21"/>
              </w:rPr>
              <w:t>【</w:t>
            </w:r>
            <w:r>
              <w:rPr>
                <w:rFonts w:ascii="宋体" w:hAnsi="宋体" w:cs="宋体"/>
                <w:color w:val="000000"/>
                <w:kern w:val="0"/>
                <w:sz w:val="18"/>
                <w:szCs w:val="18"/>
              </w:rPr>
              <w:t>25</w:t>
            </w:r>
            <w:r>
              <w:rPr>
                <w:rFonts w:hint="eastAsia" w:ascii="宋体" w:hAnsi="宋体" w:cs="宋体"/>
                <w:color w:val="000000"/>
                <w:kern w:val="0"/>
                <w:sz w:val="18"/>
                <w:szCs w:val="18"/>
                <w:lang w:val="en-US" w:eastAsia="zh-CN"/>
              </w:rPr>
              <w:t>31</w:t>
            </w:r>
            <w:r>
              <w:rPr>
                <w:rFonts w:hint="eastAsia" w:ascii="宋体" w:hAnsi="宋体" w:cs="宋体"/>
                <w:snapToGrid w:val="0"/>
                <w:color w:val="000000"/>
                <w:kern w:val="0"/>
                <w:sz w:val="21"/>
                <w:szCs w:val="21"/>
              </w:rPr>
              <w:t>】</w:t>
            </w:r>
          </w:p>
        </w:tc>
        <w:tc>
          <w:tcPr>
            <w:tcW w:w="95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6" w:hRule="atLeast"/>
          <w:jc w:val="center"/>
        </w:trPr>
        <w:tc>
          <w:tcPr>
            <w:tcW w:w="39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00" w:lineRule="atLeast"/>
              <w:ind w:left="0" w:leftChars="0" w:right="0" w:rightChars="0" w:firstLine="0" w:firstLineChars="0"/>
              <w:jc w:val="both"/>
              <w:textAlignment w:val="auto"/>
              <w:outlineLvl w:val="9"/>
              <w:rPr>
                <w:rFonts w:hint="eastAsia" w:ascii="黑体" w:hAnsi="黑体" w:eastAsia="黑体" w:cs="黑体"/>
                <w:color w:val="000000"/>
                <w:kern w:val="0"/>
                <w:sz w:val="18"/>
                <w:szCs w:val="18"/>
              </w:rPr>
            </w:pPr>
          </w:p>
        </w:tc>
        <w:tc>
          <w:tcPr>
            <w:tcW w:w="272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宋体" w:cs="宋体"/>
                <w:color w:val="000000"/>
                <w:sz w:val="18"/>
                <w:szCs w:val="18"/>
              </w:rPr>
            </w:pPr>
            <w:r>
              <w:rPr>
                <w:rFonts w:hint="eastAsia" w:ascii="宋体" w:hAnsi="宋体" w:cs="宋体"/>
                <w:color w:val="000000"/>
                <w:sz w:val="18"/>
                <w:szCs w:val="18"/>
              </w:rPr>
              <w:t>接待游客人数（万人）</w:t>
            </w:r>
          </w:p>
        </w:tc>
        <w:tc>
          <w:tcPr>
            <w:tcW w:w="12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000000"/>
                <w:kern w:val="0"/>
                <w:sz w:val="18"/>
                <w:szCs w:val="18"/>
              </w:rPr>
            </w:pPr>
            <w:r>
              <w:rPr>
                <w:rFonts w:ascii="宋体" w:hAnsi="宋体" w:cs="宋体"/>
                <w:color w:val="000000"/>
                <w:kern w:val="0"/>
                <w:sz w:val="18"/>
                <w:szCs w:val="18"/>
              </w:rPr>
              <w:t>1200</w:t>
            </w:r>
          </w:p>
        </w:tc>
        <w:tc>
          <w:tcPr>
            <w:tcW w:w="124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000000"/>
                <w:kern w:val="0"/>
                <w:sz w:val="18"/>
                <w:szCs w:val="18"/>
              </w:rPr>
            </w:pPr>
            <w:r>
              <w:rPr>
                <w:rFonts w:ascii="宋体" w:hAnsi="宋体" w:cs="宋体"/>
                <w:color w:val="000000"/>
                <w:kern w:val="0"/>
                <w:sz w:val="18"/>
                <w:szCs w:val="18"/>
              </w:rPr>
              <w:t>2500</w:t>
            </w:r>
          </w:p>
        </w:tc>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eastAsia="宋体" w:cs="宋体"/>
                <w:color w:val="auto"/>
                <w:kern w:val="0"/>
                <w:sz w:val="18"/>
                <w:szCs w:val="18"/>
                <w:lang w:eastAsia="zh-CN"/>
              </w:rPr>
            </w:pPr>
            <w:r>
              <w:rPr>
                <w:rFonts w:hint="eastAsia" w:ascii="宋体" w:hAnsi="宋体" w:cs="宋体"/>
                <w:color w:val="auto"/>
                <w:kern w:val="0"/>
                <w:sz w:val="18"/>
                <w:szCs w:val="18"/>
                <w:lang w:val="en-US" w:eastAsia="zh-CN"/>
              </w:rPr>
              <w:t>16</w:t>
            </w:r>
          </w:p>
        </w:tc>
        <w:tc>
          <w:tcPr>
            <w:tcW w:w="136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auto"/>
                <w:kern w:val="0"/>
                <w:sz w:val="18"/>
                <w:szCs w:val="18"/>
              </w:rPr>
            </w:pPr>
            <w:r>
              <w:rPr>
                <w:rFonts w:ascii="宋体" w:hAnsi="宋体" w:cs="宋体"/>
                <w:color w:val="auto"/>
                <w:kern w:val="0"/>
                <w:sz w:val="18"/>
                <w:szCs w:val="18"/>
              </w:rPr>
              <w:t>2</w:t>
            </w:r>
            <w:r>
              <w:rPr>
                <w:rFonts w:hint="eastAsia" w:ascii="宋体" w:hAnsi="宋体" w:cs="宋体"/>
                <w:color w:val="auto"/>
                <w:kern w:val="0"/>
                <w:sz w:val="18"/>
                <w:szCs w:val="18"/>
                <w:lang w:val="en-US" w:eastAsia="zh-CN"/>
              </w:rPr>
              <w:t>851</w:t>
            </w:r>
          </w:p>
        </w:tc>
        <w:tc>
          <w:tcPr>
            <w:tcW w:w="95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auto"/>
                <w:kern w:val="0"/>
                <w:sz w:val="18"/>
                <w:szCs w:val="18"/>
              </w:rPr>
            </w:pPr>
            <w:r>
              <w:rPr>
                <w:rFonts w:hint="eastAsia" w:ascii="宋体" w:hAnsi="宋体" w:cs="宋体"/>
                <w:color w:val="auto"/>
                <w:kern w:val="0"/>
                <w:sz w:val="18"/>
                <w:szCs w:val="18"/>
                <w:lang w:val="en-US" w:eastAsia="zh-CN"/>
              </w:rPr>
              <w:t>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03" w:hRule="atLeast"/>
          <w:jc w:val="center"/>
        </w:trPr>
        <w:tc>
          <w:tcPr>
            <w:tcW w:w="39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00" w:lineRule="atLeast"/>
              <w:ind w:left="0" w:leftChars="0" w:right="0" w:rightChars="0" w:firstLine="0" w:firstLineChars="0"/>
              <w:jc w:val="both"/>
              <w:textAlignment w:val="auto"/>
              <w:outlineLvl w:val="9"/>
              <w:rPr>
                <w:rFonts w:hint="eastAsia" w:ascii="黑体" w:hAnsi="黑体" w:eastAsia="黑体" w:cs="黑体"/>
                <w:color w:val="000000"/>
                <w:kern w:val="0"/>
                <w:sz w:val="18"/>
                <w:szCs w:val="18"/>
              </w:rPr>
            </w:pPr>
          </w:p>
        </w:tc>
        <w:tc>
          <w:tcPr>
            <w:tcW w:w="272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宋体" w:cs="宋体"/>
                <w:color w:val="000000"/>
                <w:sz w:val="18"/>
                <w:szCs w:val="18"/>
              </w:rPr>
            </w:pPr>
            <w:r>
              <w:rPr>
                <w:rFonts w:hint="eastAsia" w:ascii="宋体" w:hAnsi="宋体" w:cs="宋体"/>
                <w:color w:val="000000"/>
                <w:sz w:val="18"/>
                <w:szCs w:val="18"/>
              </w:rPr>
              <w:t>旅游</w:t>
            </w:r>
            <w:r>
              <w:rPr>
                <w:rFonts w:hint="eastAsia" w:ascii="宋体" w:hAnsi="宋体" w:cs="宋体"/>
                <w:color w:val="000000"/>
                <w:sz w:val="18"/>
                <w:szCs w:val="18"/>
                <w:lang w:eastAsia="zh-CN"/>
              </w:rPr>
              <w:t>综合</w:t>
            </w:r>
            <w:r>
              <w:rPr>
                <w:rFonts w:hint="eastAsia" w:ascii="宋体" w:hAnsi="宋体" w:cs="宋体"/>
                <w:color w:val="000000"/>
                <w:sz w:val="18"/>
                <w:szCs w:val="18"/>
              </w:rPr>
              <w:t>收入（</w:t>
            </w:r>
            <w:r>
              <w:rPr>
                <w:rFonts w:hint="eastAsia" w:ascii="宋体" w:hAnsi="宋体" w:cs="宋体"/>
                <w:color w:val="000000"/>
                <w:kern w:val="0"/>
                <w:sz w:val="18"/>
                <w:szCs w:val="18"/>
              </w:rPr>
              <w:t>亿元）</w:t>
            </w:r>
          </w:p>
        </w:tc>
        <w:tc>
          <w:tcPr>
            <w:tcW w:w="12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000000"/>
                <w:kern w:val="0"/>
                <w:sz w:val="18"/>
                <w:szCs w:val="18"/>
              </w:rPr>
            </w:pPr>
            <w:r>
              <w:rPr>
                <w:rFonts w:ascii="宋体" w:hAnsi="宋体" w:cs="宋体"/>
                <w:color w:val="000000"/>
                <w:kern w:val="0"/>
                <w:sz w:val="18"/>
                <w:szCs w:val="18"/>
              </w:rPr>
              <w:t>47</w:t>
            </w:r>
          </w:p>
        </w:tc>
        <w:tc>
          <w:tcPr>
            <w:tcW w:w="124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000000"/>
                <w:kern w:val="0"/>
                <w:sz w:val="18"/>
                <w:szCs w:val="18"/>
              </w:rPr>
            </w:pPr>
            <w:r>
              <w:rPr>
                <w:rFonts w:ascii="宋体" w:hAnsi="宋体" w:cs="宋体"/>
                <w:color w:val="000000"/>
                <w:kern w:val="0"/>
                <w:sz w:val="18"/>
                <w:szCs w:val="18"/>
              </w:rPr>
              <w:t>100</w:t>
            </w:r>
          </w:p>
        </w:tc>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auto"/>
                <w:kern w:val="0"/>
                <w:sz w:val="18"/>
                <w:szCs w:val="18"/>
              </w:rPr>
            </w:pPr>
            <w:r>
              <w:rPr>
                <w:rFonts w:ascii="宋体" w:hAnsi="宋体" w:cs="宋体"/>
                <w:color w:val="auto"/>
                <w:kern w:val="0"/>
                <w:sz w:val="18"/>
                <w:szCs w:val="18"/>
              </w:rPr>
              <w:t>17</w:t>
            </w:r>
          </w:p>
        </w:tc>
        <w:tc>
          <w:tcPr>
            <w:tcW w:w="136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eastAsia="宋体" w:cs="宋体"/>
                <w:color w:val="auto"/>
                <w:kern w:val="0"/>
                <w:sz w:val="18"/>
                <w:szCs w:val="18"/>
                <w:lang w:eastAsia="zh-CN"/>
              </w:rPr>
            </w:pPr>
            <w:r>
              <w:rPr>
                <w:rFonts w:hint="eastAsia" w:ascii="宋体" w:hAnsi="宋体" w:cs="宋体"/>
                <w:color w:val="auto"/>
                <w:kern w:val="0"/>
                <w:sz w:val="18"/>
                <w:szCs w:val="18"/>
                <w:lang w:val="en-US" w:eastAsia="zh-CN"/>
              </w:rPr>
              <w:t>145</w:t>
            </w:r>
          </w:p>
        </w:tc>
        <w:tc>
          <w:tcPr>
            <w:tcW w:w="95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auto"/>
                <w:kern w:val="0"/>
                <w:sz w:val="18"/>
                <w:szCs w:val="18"/>
              </w:rPr>
            </w:pPr>
            <w:r>
              <w:rPr>
                <w:rFonts w:hint="eastAsia" w:ascii="宋体" w:hAnsi="宋体" w:cs="宋体"/>
                <w:color w:val="auto"/>
                <w:kern w:val="0"/>
                <w:sz w:val="18"/>
                <w:szCs w:val="18"/>
                <w:lang w:val="en-US" w:eastAsia="zh-CN"/>
              </w:rPr>
              <w:t>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34" w:hRule="atLeast"/>
          <w:jc w:val="center"/>
        </w:trPr>
        <w:tc>
          <w:tcPr>
            <w:tcW w:w="39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00" w:lineRule="atLeast"/>
              <w:ind w:left="0" w:leftChars="0" w:right="0" w:rightChars="0" w:firstLine="0" w:firstLineChars="0"/>
              <w:jc w:val="both"/>
              <w:textAlignment w:val="auto"/>
              <w:outlineLvl w:val="9"/>
              <w:rPr>
                <w:rFonts w:hint="eastAsia" w:ascii="黑体" w:hAnsi="黑体" w:eastAsia="黑体" w:cs="黑体"/>
                <w:color w:val="000000"/>
                <w:kern w:val="0"/>
                <w:sz w:val="18"/>
                <w:szCs w:val="18"/>
              </w:rPr>
            </w:pPr>
          </w:p>
        </w:tc>
        <w:tc>
          <w:tcPr>
            <w:tcW w:w="272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宋体" w:cs="宋体"/>
                <w:color w:val="000000"/>
                <w:sz w:val="18"/>
                <w:szCs w:val="18"/>
              </w:rPr>
            </w:pPr>
            <w:r>
              <w:rPr>
                <w:rFonts w:hint="eastAsia" w:ascii="宋体" w:hAnsi="宋体" w:cs="宋体"/>
                <w:color w:val="000000"/>
                <w:sz w:val="18"/>
                <w:szCs w:val="18"/>
              </w:rPr>
              <w:t>招商引资实际到位资金（亿元）</w:t>
            </w:r>
          </w:p>
        </w:tc>
        <w:tc>
          <w:tcPr>
            <w:tcW w:w="12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000000"/>
                <w:kern w:val="0"/>
                <w:sz w:val="18"/>
                <w:szCs w:val="18"/>
              </w:rPr>
            </w:pPr>
            <w:r>
              <w:rPr>
                <w:rFonts w:hint="eastAsia" w:ascii="宋体" w:hAnsi="宋体" w:cs="宋体"/>
                <w:snapToGrid w:val="0"/>
                <w:color w:val="000000"/>
                <w:kern w:val="0"/>
                <w:sz w:val="21"/>
                <w:szCs w:val="21"/>
              </w:rPr>
              <w:t>【</w:t>
            </w:r>
            <w:r>
              <w:rPr>
                <w:rFonts w:ascii="宋体" w:hAnsi="宋体" w:cs="宋体"/>
                <w:color w:val="000000"/>
                <w:kern w:val="0"/>
                <w:sz w:val="18"/>
                <w:szCs w:val="18"/>
              </w:rPr>
              <w:t>260</w:t>
            </w:r>
            <w:r>
              <w:rPr>
                <w:rFonts w:hint="eastAsia" w:ascii="宋体" w:hAnsi="宋体" w:cs="宋体"/>
                <w:snapToGrid w:val="0"/>
                <w:color w:val="000000"/>
                <w:kern w:val="0"/>
                <w:sz w:val="21"/>
                <w:szCs w:val="21"/>
              </w:rPr>
              <w:t>】</w:t>
            </w:r>
          </w:p>
        </w:tc>
        <w:tc>
          <w:tcPr>
            <w:tcW w:w="124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000000"/>
                <w:kern w:val="0"/>
                <w:sz w:val="18"/>
                <w:szCs w:val="18"/>
              </w:rPr>
            </w:pPr>
            <w:r>
              <w:rPr>
                <w:rFonts w:hint="eastAsia" w:ascii="宋体" w:hAnsi="宋体" w:cs="宋体"/>
                <w:snapToGrid w:val="0"/>
                <w:color w:val="000000"/>
                <w:kern w:val="0"/>
                <w:sz w:val="21"/>
                <w:szCs w:val="21"/>
              </w:rPr>
              <w:t>【</w:t>
            </w:r>
            <w:r>
              <w:rPr>
                <w:rFonts w:ascii="宋体" w:hAnsi="宋体" w:cs="宋体"/>
                <w:color w:val="000000"/>
                <w:kern w:val="0"/>
                <w:sz w:val="18"/>
                <w:szCs w:val="18"/>
              </w:rPr>
              <w:t>600</w:t>
            </w:r>
            <w:r>
              <w:rPr>
                <w:rFonts w:hint="eastAsia" w:ascii="宋体" w:hAnsi="宋体" w:cs="宋体"/>
                <w:snapToGrid w:val="0"/>
                <w:color w:val="000000"/>
                <w:kern w:val="0"/>
                <w:sz w:val="21"/>
                <w:szCs w:val="21"/>
              </w:rPr>
              <w:t>】</w:t>
            </w:r>
          </w:p>
        </w:tc>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auto"/>
                <w:sz w:val="18"/>
                <w:szCs w:val="18"/>
              </w:rPr>
            </w:pPr>
          </w:p>
        </w:tc>
        <w:tc>
          <w:tcPr>
            <w:tcW w:w="136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eastAsia="宋体" w:cs="宋体"/>
                <w:color w:val="auto"/>
                <w:kern w:val="0"/>
                <w:sz w:val="18"/>
                <w:szCs w:val="18"/>
              </w:rPr>
            </w:pPr>
            <w:r>
              <w:rPr>
                <w:rFonts w:hint="eastAsia" w:ascii="宋体" w:hAnsi="宋体" w:cs="宋体"/>
                <w:snapToGrid w:val="0"/>
                <w:color w:val="000000"/>
                <w:kern w:val="0"/>
                <w:sz w:val="21"/>
                <w:szCs w:val="21"/>
              </w:rPr>
              <w:t>【</w:t>
            </w:r>
            <w:r>
              <w:rPr>
                <w:rFonts w:hint="eastAsia" w:ascii="宋体" w:hAnsi="宋体" w:eastAsia="宋体" w:cs="宋体"/>
                <w:color w:val="auto"/>
                <w:kern w:val="0"/>
                <w:sz w:val="18"/>
                <w:szCs w:val="18"/>
              </w:rPr>
              <w:t>1462</w:t>
            </w:r>
            <w:r>
              <w:rPr>
                <w:rFonts w:hint="eastAsia" w:ascii="宋体" w:hAnsi="宋体" w:cs="宋体"/>
                <w:snapToGrid w:val="0"/>
                <w:color w:val="000000"/>
                <w:kern w:val="0"/>
                <w:sz w:val="21"/>
                <w:szCs w:val="21"/>
              </w:rPr>
              <w:t>】</w:t>
            </w:r>
          </w:p>
        </w:tc>
        <w:tc>
          <w:tcPr>
            <w:tcW w:w="95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4" w:hRule="atLeast"/>
          <w:jc w:val="center"/>
        </w:trPr>
        <w:tc>
          <w:tcPr>
            <w:tcW w:w="39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00" w:lineRule="atLeast"/>
              <w:ind w:left="0" w:leftChars="0" w:right="0" w:rightChars="0" w:firstLine="0" w:firstLineChars="0"/>
              <w:jc w:val="both"/>
              <w:textAlignment w:val="auto"/>
              <w:outlineLvl w:val="9"/>
              <w:rPr>
                <w:rFonts w:hint="eastAsia" w:ascii="黑体" w:hAnsi="黑体" w:eastAsia="黑体" w:cs="黑体"/>
                <w:color w:val="000000"/>
                <w:kern w:val="0"/>
                <w:sz w:val="18"/>
                <w:szCs w:val="18"/>
              </w:rPr>
            </w:pPr>
          </w:p>
        </w:tc>
        <w:tc>
          <w:tcPr>
            <w:tcW w:w="272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宋体" w:cs="宋体"/>
                <w:color w:val="000000"/>
                <w:sz w:val="18"/>
                <w:szCs w:val="18"/>
              </w:rPr>
            </w:pPr>
            <w:r>
              <w:rPr>
                <w:rFonts w:hint="eastAsia" w:ascii="宋体" w:hAnsi="宋体" w:cs="宋体"/>
                <w:color w:val="000000"/>
                <w:sz w:val="18"/>
                <w:szCs w:val="18"/>
              </w:rPr>
              <w:t>进出口贸易总额（万美元）</w:t>
            </w:r>
          </w:p>
        </w:tc>
        <w:tc>
          <w:tcPr>
            <w:tcW w:w="12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eastAsia="宋体" w:cs="宋体"/>
                <w:color w:val="000000"/>
                <w:kern w:val="0"/>
                <w:sz w:val="18"/>
                <w:szCs w:val="18"/>
              </w:rPr>
            </w:pPr>
            <w:r>
              <w:rPr>
                <w:rFonts w:hint="eastAsia" w:ascii="宋体" w:cs="宋体"/>
                <w:color w:val="000000"/>
                <w:kern w:val="0"/>
                <w:sz w:val="18"/>
                <w:szCs w:val="18"/>
              </w:rPr>
              <w:t>1651</w:t>
            </w:r>
          </w:p>
        </w:tc>
        <w:tc>
          <w:tcPr>
            <w:tcW w:w="124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000000"/>
                <w:kern w:val="0"/>
                <w:sz w:val="18"/>
                <w:szCs w:val="18"/>
              </w:rPr>
            </w:pPr>
            <w:r>
              <w:rPr>
                <w:rFonts w:ascii="宋体" w:hAnsi="宋体" w:cs="宋体"/>
                <w:color w:val="000000"/>
                <w:kern w:val="0"/>
                <w:sz w:val="18"/>
                <w:szCs w:val="18"/>
              </w:rPr>
              <w:t>10000</w:t>
            </w:r>
          </w:p>
        </w:tc>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auto"/>
                <w:kern w:val="0"/>
                <w:sz w:val="18"/>
                <w:szCs w:val="18"/>
              </w:rPr>
            </w:pPr>
            <w:r>
              <w:rPr>
                <w:rFonts w:ascii="宋体" w:hAnsi="宋体" w:cs="宋体"/>
                <w:snapToGrid w:val="0"/>
                <w:color w:val="auto"/>
                <w:kern w:val="0"/>
                <w:sz w:val="18"/>
                <w:szCs w:val="18"/>
              </w:rPr>
              <w:t>—</w:t>
            </w:r>
          </w:p>
        </w:tc>
        <w:tc>
          <w:tcPr>
            <w:tcW w:w="136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eastAsia="宋体" w:cs="宋体"/>
                <w:color w:val="auto"/>
                <w:kern w:val="0"/>
                <w:sz w:val="18"/>
                <w:szCs w:val="18"/>
              </w:rPr>
            </w:pPr>
            <w:r>
              <w:rPr>
                <w:rFonts w:hint="eastAsia" w:ascii="宋体" w:cs="宋体"/>
                <w:color w:val="auto"/>
                <w:kern w:val="0"/>
                <w:sz w:val="18"/>
                <w:szCs w:val="18"/>
                <w:lang w:val="en-US" w:eastAsia="zh-CN"/>
              </w:rPr>
              <w:t>4767</w:t>
            </w:r>
          </w:p>
        </w:tc>
        <w:tc>
          <w:tcPr>
            <w:tcW w:w="95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auto"/>
                <w:kern w:val="0"/>
                <w:sz w:val="18"/>
                <w:szCs w:val="18"/>
              </w:rPr>
            </w:pPr>
            <w:r>
              <w:rPr>
                <w:rFonts w:ascii="宋体" w:hAnsi="宋体" w:cs="宋体"/>
                <w:color w:val="auto"/>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38" w:hRule="atLeast"/>
          <w:jc w:val="center"/>
        </w:trPr>
        <w:tc>
          <w:tcPr>
            <w:tcW w:w="39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00" w:lineRule="atLeast"/>
              <w:ind w:left="0" w:leftChars="0" w:right="0" w:rightChars="0" w:firstLine="0" w:firstLineChars="0"/>
              <w:jc w:val="both"/>
              <w:textAlignment w:val="auto"/>
              <w:outlineLvl w:val="9"/>
              <w:rPr>
                <w:rFonts w:hint="eastAsia" w:ascii="黑体" w:hAnsi="黑体" w:eastAsia="黑体" w:cs="黑体"/>
                <w:color w:val="000000"/>
                <w:kern w:val="0"/>
                <w:sz w:val="18"/>
                <w:szCs w:val="18"/>
              </w:rPr>
            </w:pPr>
            <w:r>
              <w:rPr>
                <w:rFonts w:hint="eastAsia" w:ascii="黑体" w:hAnsi="黑体" w:eastAsia="黑体" w:cs="黑体"/>
                <w:color w:val="000000"/>
                <w:sz w:val="18"/>
                <w:szCs w:val="18"/>
              </w:rPr>
              <w:t>经济</w:t>
            </w:r>
            <w:r>
              <w:rPr>
                <w:rFonts w:hint="eastAsia" w:ascii="黑体" w:hAnsi="黑体" w:eastAsia="黑体" w:cs="黑体"/>
                <w:color w:val="000000"/>
                <w:kern w:val="0"/>
                <w:sz w:val="18"/>
                <w:szCs w:val="18"/>
              </w:rPr>
              <w:t>结构</w:t>
            </w:r>
          </w:p>
        </w:tc>
        <w:tc>
          <w:tcPr>
            <w:tcW w:w="272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宋体" w:cs="宋体"/>
                <w:color w:val="000000"/>
                <w:kern w:val="0"/>
                <w:sz w:val="18"/>
                <w:szCs w:val="18"/>
              </w:rPr>
            </w:pPr>
            <w:r>
              <w:rPr>
                <w:rFonts w:hint="eastAsia" w:ascii="宋体" w:hAnsi="宋体" w:cs="宋体"/>
                <w:color w:val="000000"/>
                <w:kern w:val="0"/>
                <w:sz w:val="18"/>
                <w:szCs w:val="18"/>
              </w:rPr>
              <w:t>三次产业结构</w:t>
            </w:r>
          </w:p>
        </w:tc>
        <w:tc>
          <w:tcPr>
            <w:tcW w:w="12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000000"/>
                <w:kern w:val="0"/>
                <w:sz w:val="18"/>
                <w:szCs w:val="18"/>
              </w:rPr>
            </w:pPr>
            <w:r>
              <w:rPr>
                <w:rFonts w:ascii="宋体" w:hAnsi="宋体" w:cs="宋体"/>
                <w:color w:val="000000"/>
                <w:kern w:val="0"/>
                <w:sz w:val="16"/>
                <w:szCs w:val="16"/>
              </w:rPr>
              <w:t>20.5:40:39.5</w:t>
            </w:r>
          </w:p>
        </w:tc>
        <w:tc>
          <w:tcPr>
            <w:tcW w:w="124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000000"/>
                <w:kern w:val="0"/>
                <w:sz w:val="18"/>
                <w:szCs w:val="18"/>
              </w:rPr>
            </w:pPr>
            <w:r>
              <w:rPr>
                <w:rFonts w:ascii="宋体" w:hAnsi="宋体" w:cs="宋体"/>
                <w:color w:val="000000"/>
                <w:kern w:val="0"/>
                <w:sz w:val="18"/>
                <w:szCs w:val="18"/>
              </w:rPr>
              <w:t>14:47:39</w:t>
            </w:r>
          </w:p>
        </w:tc>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auto"/>
                <w:kern w:val="0"/>
                <w:sz w:val="18"/>
                <w:szCs w:val="18"/>
              </w:rPr>
            </w:pPr>
            <w:r>
              <w:rPr>
                <w:rFonts w:ascii="宋体" w:hAnsi="宋体" w:cs="宋体"/>
                <w:snapToGrid w:val="0"/>
                <w:color w:val="auto"/>
                <w:kern w:val="0"/>
                <w:sz w:val="18"/>
                <w:szCs w:val="18"/>
              </w:rPr>
              <w:t>—</w:t>
            </w:r>
          </w:p>
        </w:tc>
        <w:tc>
          <w:tcPr>
            <w:tcW w:w="136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auto"/>
                <w:kern w:val="0"/>
                <w:sz w:val="16"/>
                <w:szCs w:val="16"/>
              </w:rPr>
            </w:pPr>
            <w:r>
              <w:rPr>
                <w:rFonts w:ascii="宋体" w:hAnsi="宋体" w:cs="宋体"/>
                <w:color w:val="auto"/>
                <w:kern w:val="0"/>
                <w:sz w:val="16"/>
                <w:szCs w:val="16"/>
              </w:rPr>
              <w:t>1</w:t>
            </w:r>
            <w:r>
              <w:rPr>
                <w:rFonts w:hint="eastAsia" w:ascii="宋体" w:hAnsi="宋体" w:cs="宋体"/>
                <w:color w:val="auto"/>
                <w:kern w:val="0"/>
                <w:sz w:val="16"/>
                <w:szCs w:val="16"/>
                <w:lang w:val="en-US" w:eastAsia="zh-CN"/>
              </w:rPr>
              <w:t>2.4</w:t>
            </w:r>
            <w:r>
              <w:rPr>
                <w:rFonts w:ascii="宋体" w:hAnsi="宋体" w:cs="宋体"/>
                <w:color w:val="auto"/>
                <w:kern w:val="0"/>
                <w:sz w:val="16"/>
                <w:szCs w:val="16"/>
              </w:rPr>
              <w:t>:5</w:t>
            </w:r>
            <w:r>
              <w:rPr>
                <w:rFonts w:hint="eastAsia" w:ascii="宋体" w:hAnsi="宋体" w:cs="宋体"/>
                <w:color w:val="auto"/>
                <w:kern w:val="0"/>
                <w:sz w:val="16"/>
                <w:szCs w:val="16"/>
                <w:lang w:val="en-US" w:eastAsia="zh-CN"/>
              </w:rPr>
              <w:t>5.3</w:t>
            </w:r>
            <w:r>
              <w:rPr>
                <w:rFonts w:ascii="宋体" w:hAnsi="宋体" w:cs="宋体"/>
                <w:color w:val="auto"/>
                <w:kern w:val="0"/>
                <w:sz w:val="16"/>
                <w:szCs w:val="16"/>
              </w:rPr>
              <w:t>:</w:t>
            </w:r>
            <w:r>
              <w:rPr>
                <w:rFonts w:hint="eastAsia" w:ascii="宋体" w:hAnsi="宋体" w:cs="宋体"/>
                <w:color w:val="auto"/>
                <w:kern w:val="0"/>
                <w:sz w:val="16"/>
                <w:szCs w:val="16"/>
                <w:lang w:val="en-US" w:eastAsia="zh-CN"/>
              </w:rPr>
              <w:t>32.3</w:t>
            </w:r>
          </w:p>
        </w:tc>
        <w:tc>
          <w:tcPr>
            <w:tcW w:w="95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auto"/>
                <w:kern w:val="0"/>
                <w:sz w:val="18"/>
                <w:szCs w:val="18"/>
              </w:rPr>
            </w:pPr>
            <w:r>
              <w:rPr>
                <w:rFonts w:ascii="宋体" w:hAnsi="宋体" w:cs="宋体"/>
                <w:snapToGrid w:val="0"/>
                <w:color w:val="auto"/>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2" w:hRule="atLeast"/>
          <w:jc w:val="center"/>
        </w:trPr>
        <w:tc>
          <w:tcPr>
            <w:tcW w:w="39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00" w:lineRule="atLeast"/>
              <w:ind w:left="0" w:leftChars="0" w:right="0" w:rightChars="0" w:firstLine="0" w:firstLineChars="0"/>
              <w:jc w:val="both"/>
              <w:textAlignment w:val="auto"/>
              <w:outlineLvl w:val="9"/>
              <w:rPr>
                <w:rFonts w:hint="eastAsia" w:ascii="黑体" w:hAnsi="黑体" w:eastAsia="黑体" w:cs="黑体"/>
                <w:color w:val="000000"/>
                <w:kern w:val="0"/>
                <w:sz w:val="18"/>
                <w:szCs w:val="18"/>
              </w:rPr>
            </w:pPr>
          </w:p>
        </w:tc>
        <w:tc>
          <w:tcPr>
            <w:tcW w:w="272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宋体" w:cs="宋体"/>
                <w:color w:val="000000"/>
                <w:sz w:val="18"/>
                <w:szCs w:val="18"/>
              </w:rPr>
            </w:pPr>
            <w:r>
              <w:rPr>
                <w:rFonts w:hint="eastAsia" w:ascii="宋体" w:hAnsi="宋体" w:cs="宋体"/>
                <w:color w:val="000000"/>
                <w:sz w:val="18"/>
                <w:szCs w:val="18"/>
              </w:rPr>
              <w:t>城镇化率（</w:t>
            </w:r>
            <w:r>
              <w:rPr>
                <w:rFonts w:ascii="宋体" w:hAnsi="宋体" w:cs="宋体"/>
                <w:color w:val="000000"/>
                <w:kern w:val="0"/>
                <w:sz w:val="18"/>
                <w:szCs w:val="18"/>
              </w:rPr>
              <w:t>%</w:t>
            </w:r>
            <w:r>
              <w:rPr>
                <w:rFonts w:hint="eastAsia" w:ascii="宋体" w:hAnsi="宋体" w:cs="宋体"/>
                <w:color w:val="000000"/>
                <w:kern w:val="0"/>
                <w:sz w:val="18"/>
                <w:szCs w:val="18"/>
              </w:rPr>
              <w:t>）</w:t>
            </w:r>
          </w:p>
        </w:tc>
        <w:tc>
          <w:tcPr>
            <w:tcW w:w="12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000000"/>
                <w:kern w:val="0"/>
                <w:sz w:val="18"/>
                <w:szCs w:val="18"/>
              </w:rPr>
            </w:pPr>
            <w:r>
              <w:rPr>
                <w:rFonts w:ascii="宋体" w:hAnsi="宋体" w:cs="宋体"/>
                <w:color w:val="000000"/>
                <w:kern w:val="0"/>
                <w:sz w:val="18"/>
                <w:szCs w:val="18"/>
              </w:rPr>
              <w:t>35</w:t>
            </w:r>
          </w:p>
        </w:tc>
        <w:tc>
          <w:tcPr>
            <w:tcW w:w="124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000000"/>
                <w:kern w:val="0"/>
                <w:sz w:val="18"/>
                <w:szCs w:val="18"/>
              </w:rPr>
            </w:pPr>
            <w:r>
              <w:rPr>
                <w:rFonts w:ascii="宋体" w:hAnsi="宋体" w:cs="宋体"/>
                <w:color w:val="000000"/>
                <w:kern w:val="0"/>
                <w:sz w:val="18"/>
                <w:szCs w:val="18"/>
              </w:rPr>
              <w:t>46</w:t>
            </w:r>
          </w:p>
        </w:tc>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auto"/>
                <w:kern w:val="0"/>
                <w:sz w:val="18"/>
                <w:szCs w:val="18"/>
              </w:rPr>
            </w:pPr>
            <w:r>
              <w:rPr>
                <w:rFonts w:ascii="宋体" w:hAnsi="宋体" w:cs="宋体"/>
                <w:snapToGrid w:val="0"/>
                <w:color w:val="auto"/>
                <w:kern w:val="0"/>
                <w:sz w:val="18"/>
                <w:szCs w:val="18"/>
              </w:rPr>
              <w:t>—</w:t>
            </w:r>
          </w:p>
        </w:tc>
        <w:tc>
          <w:tcPr>
            <w:tcW w:w="136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eastAsia="宋体" w:cs="宋体"/>
                <w:color w:val="auto"/>
                <w:kern w:val="0"/>
                <w:sz w:val="18"/>
                <w:szCs w:val="18"/>
              </w:rPr>
            </w:pPr>
            <w:r>
              <w:rPr>
                <w:rFonts w:hint="eastAsia" w:ascii="宋体" w:hAnsi="宋体" w:eastAsia="宋体" w:cs="宋体"/>
                <w:color w:val="auto"/>
                <w:kern w:val="0"/>
                <w:sz w:val="18"/>
                <w:szCs w:val="18"/>
              </w:rPr>
              <w:t>44</w:t>
            </w:r>
            <w:r>
              <w:rPr>
                <w:rFonts w:hint="eastAsia" w:ascii="宋体" w:hAnsi="宋体" w:eastAsia="宋体" w:cs="宋体"/>
                <w:color w:val="auto"/>
                <w:kern w:val="0"/>
                <w:sz w:val="18"/>
                <w:szCs w:val="18"/>
                <w:lang w:val="en-US" w:eastAsia="zh-CN"/>
              </w:rPr>
              <w:t>.3</w:t>
            </w:r>
          </w:p>
        </w:tc>
        <w:tc>
          <w:tcPr>
            <w:tcW w:w="95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auto"/>
                <w:kern w:val="0"/>
                <w:sz w:val="18"/>
                <w:szCs w:val="18"/>
              </w:rPr>
            </w:pPr>
            <w:r>
              <w:rPr>
                <w:rFonts w:ascii="宋体" w:hAnsi="宋体" w:cs="宋体"/>
                <w:snapToGrid w:val="0"/>
                <w:color w:val="auto"/>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2" w:hRule="atLeast"/>
          <w:jc w:val="center"/>
        </w:trPr>
        <w:tc>
          <w:tcPr>
            <w:tcW w:w="39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00" w:lineRule="atLeast"/>
              <w:ind w:left="0" w:leftChars="0" w:right="0" w:rightChars="0" w:firstLine="0" w:firstLineChars="0"/>
              <w:jc w:val="both"/>
              <w:textAlignment w:val="auto"/>
              <w:outlineLvl w:val="9"/>
              <w:rPr>
                <w:rFonts w:hint="eastAsia" w:ascii="黑体" w:hAnsi="黑体" w:eastAsia="黑体" w:cs="黑体"/>
                <w:color w:val="000000"/>
                <w:kern w:val="0"/>
                <w:sz w:val="18"/>
                <w:szCs w:val="18"/>
              </w:rPr>
            </w:pPr>
          </w:p>
        </w:tc>
        <w:tc>
          <w:tcPr>
            <w:tcW w:w="272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宋体" w:cs="宋体"/>
                <w:color w:val="000000"/>
                <w:sz w:val="18"/>
                <w:szCs w:val="18"/>
              </w:rPr>
            </w:pPr>
            <w:r>
              <w:rPr>
                <w:rFonts w:hint="eastAsia" w:ascii="宋体" w:hAnsi="宋体" w:cs="宋体"/>
                <w:color w:val="000000"/>
                <w:sz w:val="18"/>
                <w:szCs w:val="18"/>
              </w:rPr>
              <w:t>非公有制经济比重</w:t>
            </w:r>
            <w:r>
              <w:rPr>
                <w:rFonts w:hint="eastAsia" w:ascii="宋体" w:hAnsi="宋体" w:cs="宋体"/>
                <w:color w:val="000000"/>
                <w:kern w:val="0"/>
                <w:sz w:val="18"/>
                <w:szCs w:val="18"/>
              </w:rPr>
              <w:t>（</w:t>
            </w:r>
            <w:r>
              <w:rPr>
                <w:rFonts w:ascii="宋体" w:hAnsi="宋体" w:cs="宋体"/>
                <w:color w:val="000000"/>
                <w:kern w:val="0"/>
                <w:sz w:val="18"/>
                <w:szCs w:val="18"/>
              </w:rPr>
              <w:t>%</w:t>
            </w:r>
            <w:r>
              <w:rPr>
                <w:rFonts w:hint="eastAsia" w:ascii="宋体" w:hAnsi="宋体" w:cs="宋体"/>
                <w:color w:val="000000"/>
                <w:kern w:val="0"/>
                <w:sz w:val="18"/>
                <w:szCs w:val="18"/>
              </w:rPr>
              <w:t>）</w:t>
            </w:r>
          </w:p>
        </w:tc>
        <w:tc>
          <w:tcPr>
            <w:tcW w:w="12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000000"/>
                <w:kern w:val="0"/>
                <w:sz w:val="18"/>
                <w:szCs w:val="18"/>
              </w:rPr>
            </w:pPr>
            <w:r>
              <w:rPr>
                <w:rFonts w:ascii="宋体" w:hAnsi="宋体" w:cs="宋体"/>
                <w:color w:val="000000"/>
                <w:kern w:val="0"/>
                <w:sz w:val="18"/>
                <w:szCs w:val="18"/>
              </w:rPr>
              <w:t>47.86</w:t>
            </w:r>
          </w:p>
        </w:tc>
        <w:tc>
          <w:tcPr>
            <w:tcW w:w="124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000000"/>
                <w:kern w:val="0"/>
                <w:sz w:val="18"/>
                <w:szCs w:val="18"/>
              </w:rPr>
            </w:pPr>
            <w:r>
              <w:rPr>
                <w:rFonts w:ascii="宋体" w:hAnsi="宋体" w:cs="宋体"/>
                <w:color w:val="000000"/>
                <w:kern w:val="0"/>
                <w:sz w:val="18"/>
                <w:szCs w:val="18"/>
              </w:rPr>
              <w:t>52</w:t>
            </w:r>
          </w:p>
        </w:tc>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auto"/>
                <w:kern w:val="0"/>
                <w:sz w:val="18"/>
                <w:szCs w:val="18"/>
              </w:rPr>
            </w:pPr>
            <w:r>
              <w:rPr>
                <w:rFonts w:ascii="宋体" w:hAnsi="宋体" w:cs="宋体"/>
                <w:snapToGrid w:val="0"/>
                <w:color w:val="auto"/>
                <w:kern w:val="0"/>
                <w:sz w:val="18"/>
                <w:szCs w:val="18"/>
              </w:rPr>
              <w:t>—</w:t>
            </w:r>
          </w:p>
        </w:tc>
        <w:tc>
          <w:tcPr>
            <w:tcW w:w="136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eastAsia="宋体" w:cs="宋体"/>
                <w:color w:val="auto"/>
                <w:kern w:val="0"/>
                <w:sz w:val="18"/>
                <w:szCs w:val="18"/>
                <w:lang w:val="en-US" w:eastAsia="zh-CN"/>
              </w:rPr>
            </w:pPr>
            <w:r>
              <w:rPr>
                <w:rFonts w:hint="eastAsia" w:ascii="宋体" w:cs="宋体"/>
                <w:color w:val="auto"/>
                <w:kern w:val="0"/>
                <w:sz w:val="18"/>
                <w:szCs w:val="18"/>
                <w:lang w:val="en-US" w:eastAsia="zh-CN"/>
              </w:rPr>
              <w:t>54.2</w:t>
            </w:r>
          </w:p>
        </w:tc>
        <w:tc>
          <w:tcPr>
            <w:tcW w:w="95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auto"/>
                <w:kern w:val="0"/>
                <w:sz w:val="18"/>
                <w:szCs w:val="18"/>
              </w:rPr>
            </w:pPr>
            <w:r>
              <w:rPr>
                <w:rFonts w:ascii="宋体" w:hAnsi="宋体" w:cs="宋体"/>
                <w:snapToGrid w:val="0"/>
                <w:color w:val="auto"/>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2" w:hRule="atLeast"/>
          <w:jc w:val="center"/>
        </w:trPr>
        <w:tc>
          <w:tcPr>
            <w:tcW w:w="39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00" w:lineRule="atLeast"/>
              <w:ind w:left="0" w:leftChars="0" w:right="0" w:rightChars="0" w:firstLine="0" w:firstLineChars="0"/>
              <w:jc w:val="both"/>
              <w:textAlignment w:val="auto"/>
              <w:outlineLvl w:val="9"/>
              <w:rPr>
                <w:rFonts w:hint="eastAsia" w:ascii="黑体" w:hAnsi="黑体" w:eastAsia="黑体" w:cs="黑体"/>
                <w:color w:val="000000"/>
                <w:kern w:val="0"/>
                <w:sz w:val="18"/>
                <w:szCs w:val="18"/>
              </w:rPr>
            </w:pPr>
            <w:r>
              <w:rPr>
                <w:rFonts w:hint="eastAsia" w:ascii="黑体" w:hAnsi="黑体" w:eastAsia="黑体" w:cs="黑体"/>
                <w:color w:val="000000"/>
                <w:sz w:val="18"/>
                <w:szCs w:val="18"/>
              </w:rPr>
              <w:t>社会事业</w:t>
            </w:r>
          </w:p>
        </w:tc>
        <w:tc>
          <w:tcPr>
            <w:tcW w:w="272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宋体" w:cs="宋体"/>
                <w:color w:val="000000"/>
                <w:sz w:val="18"/>
                <w:szCs w:val="18"/>
              </w:rPr>
            </w:pPr>
            <w:r>
              <w:rPr>
                <w:rFonts w:hint="eastAsia" w:ascii="宋体" w:hAnsi="宋体" w:cs="宋体"/>
                <w:color w:val="000000"/>
                <w:sz w:val="18"/>
                <w:szCs w:val="18"/>
              </w:rPr>
              <w:t>科技贡献率（</w:t>
            </w:r>
            <w:r>
              <w:rPr>
                <w:rFonts w:ascii="宋体" w:hAnsi="宋体" w:cs="宋体"/>
                <w:color w:val="000000"/>
                <w:kern w:val="0"/>
                <w:sz w:val="18"/>
                <w:szCs w:val="18"/>
              </w:rPr>
              <w:t>%</w:t>
            </w:r>
            <w:r>
              <w:rPr>
                <w:rFonts w:hint="eastAsia" w:ascii="宋体" w:hAnsi="宋体" w:cs="宋体"/>
                <w:color w:val="000000"/>
                <w:kern w:val="0"/>
                <w:sz w:val="18"/>
                <w:szCs w:val="18"/>
              </w:rPr>
              <w:t>）</w:t>
            </w:r>
          </w:p>
        </w:tc>
        <w:tc>
          <w:tcPr>
            <w:tcW w:w="12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000000"/>
                <w:kern w:val="0"/>
                <w:sz w:val="18"/>
                <w:szCs w:val="18"/>
              </w:rPr>
            </w:pPr>
            <w:r>
              <w:rPr>
                <w:rFonts w:ascii="宋体" w:hAnsi="宋体" w:cs="宋体"/>
                <w:color w:val="000000"/>
                <w:kern w:val="0"/>
                <w:sz w:val="18"/>
                <w:szCs w:val="18"/>
              </w:rPr>
              <w:t>43</w:t>
            </w:r>
          </w:p>
        </w:tc>
        <w:tc>
          <w:tcPr>
            <w:tcW w:w="124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000000"/>
                <w:kern w:val="0"/>
                <w:sz w:val="18"/>
                <w:szCs w:val="18"/>
              </w:rPr>
            </w:pPr>
            <w:r>
              <w:rPr>
                <w:rFonts w:ascii="宋体" w:hAnsi="宋体" w:cs="宋体"/>
                <w:color w:val="000000"/>
                <w:kern w:val="0"/>
                <w:sz w:val="18"/>
                <w:szCs w:val="18"/>
              </w:rPr>
              <w:t>48</w:t>
            </w:r>
          </w:p>
        </w:tc>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auto"/>
                <w:kern w:val="0"/>
                <w:sz w:val="18"/>
                <w:szCs w:val="18"/>
              </w:rPr>
            </w:pPr>
            <w:r>
              <w:rPr>
                <w:rFonts w:ascii="宋体" w:hAnsi="宋体" w:cs="宋体"/>
                <w:snapToGrid w:val="0"/>
                <w:color w:val="auto"/>
                <w:kern w:val="0"/>
                <w:sz w:val="18"/>
                <w:szCs w:val="18"/>
              </w:rPr>
              <w:t>—</w:t>
            </w:r>
          </w:p>
        </w:tc>
        <w:tc>
          <w:tcPr>
            <w:tcW w:w="136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auto"/>
                <w:kern w:val="0"/>
                <w:sz w:val="18"/>
                <w:szCs w:val="18"/>
              </w:rPr>
            </w:pPr>
            <w:r>
              <w:rPr>
                <w:rFonts w:ascii="宋体" w:hAnsi="宋体" w:cs="宋体"/>
                <w:color w:val="auto"/>
                <w:kern w:val="0"/>
                <w:sz w:val="18"/>
                <w:szCs w:val="18"/>
              </w:rPr>
              <w:t>48</w:t>
            </w:r>
          </w:p>
        </w:tc>
        <w:tc>
          <w:tcPr>
            <w:tcW w:w="95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auto"/>
                <w:kern w:val="0"/>
                <w:sz w:val="18"/>
                <w:szCs w:val="18"/>
              </w:rPr>
            </w:pPr>
            <w:r>
              <w:rPr>
                <w:rFonts w:ascii="宋体" w:hAnsi="宋体" w:cs="宋体"/>
                <w:snapToGrid w:val="0"/>
                <w:color w:val="auto"/>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4" w:hRule="atLeast"/>
          <w:jc w:val="center"/>
        </w:trPr>
        <w:tc>
          <w:tcPr>
            <w:tcW w:w="39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00" w:lineRule="atLeast"/>
              <w:ind w:left="0" w:leftChars="0" w:right="0" w:rightChars="0" w:firstLine="0" w:firstLineChars="0"/>
              <w:jc w:val="both"/>
              <w:textAlignment w:val="auto"/>
              <w:outlineLvl w:val="9"/>
              <w:rPr>
                <w:rFonts w:hint="eastAsia" w:ascii="黑体" w:hAnsi="黑体" w:eastAsia="黑体" w:cs="黑体"/>
                <w:color w:val="000000"/>
                <w:kern w:val="0"/>
                <w:sz w:val="18"/>
                <w:szCs w:val="18"/>
              </w:rPr>
            </w:pPr>
          </w:p>
        </w:tc>
        <w:tc>
          <w:tcPr>
            <w:tcW w:w="272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宋体" w:cs="宋体"/>
                <w:color w:val="000000"/>
                <w:sz w:val="18"/>
                <w:szCs w:val="18"/>
              </w:rPr>
            </w:pPr>
            <w:r>
              <w:rPr>
                <w:rFonts w:hint="eastAsia" w:ascii="宋体" w:hAnsi="宋体" w:cs="宋体"/>
                <w:color w:val="000000"/>
                <w:kern w:val="0"/>
                <w:sz w:val="18"/>
                <w:szCs w:val="18"/>
              </w:rPr>
              <w:t>高中阶段毛入学率</w:t>
            </w:r>
            <w:r>
              <w:rPr>
                <w:rFonts w:hint="eastAsia" w:ascii="宋体" w:hAnsi="宋体" w:cs="宋体"/>
                <w:color w:val="000000"/>
                <w:sz w:val="18"/>
                <w:szCs w:val="18"/>
              </w:rPr>
              <w:t>（</w:t>
            </w:r>
            <w:r>
              <w:rPr>
                <w:rFonts w:ascii="宋体" w:hAnsi="宋体" w:cs="宋体"/>
                <w:color w:val="000000"/>
                <w:kern w:val="0"/>
                <w:sz w:val="18"/>
                <w:szCs w:val="18"/>
              </w:rPr>
              <w:t>%</w:t>
            </w:r>
            <w:r>
              <w:rPr>
                <w:rFonts w:hint="eastAsia" w:ascii="宋体" w:hAnsi="宋体" w:cs="宋体"/>
                <w:color w:val="000000"/>
                <w:kern w:val="0"/>
                <w:sz w:val="18"/>
                <w:szCs w:val="18"/>
              </w:rPr>
              <w:t>）</w:t>
            </w:r>
          </w:p>
        </w:tc>
        <w:tc>
          <w:tcPr>
            <w:tcW w:w="12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000000"/>
                <w:kern w:val="0"/>
                <w:sz w:val="18"/>
                <w:szCs w:val="18"/>
              </w:rPr>
            </w:pPr>
            <w:r>
              <w:rPr>
                <w:rFonts w:ascii="宋体" w:hAnsi="宋体" w:cs="宋体"/>
                <w:color w:val="000000"/>
                <w:kern w:val="0"/>
                <w:sz w:val="18"/>
                <w:szCs w:val="18"/>
              </w:rPr>
              <w:t>78.73</w:t>
            </w:r>
          </w:p>
        </w:tc>
        <w:tc>
          <w:tcPr>
            <w:tcW w:w="124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000000"/>
                <w:kern w:val="0"/>
                <w:sz w:val="18"/>
                <w:szCs w:val="18"/>
              </w:rPr>
            </w:pPr>
            <w:r>
              <w:rPr>
                <w:rFonts w:ascii="宋体" w:hAnsi="宋体" w:cs="宋体"/>
                <w:color w:val="000000"/>
                <w:kern w:val="0"/>
                <w:sz w:val="18"/>
                <w:szCs w:val="18"/>
              </w:rPr>
              <w:t>96</w:t>
            </w:r>
          </w:p>
        </w:tc>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auto"/>
                <w:kern w:val="0"/>
                <w:sz w:val="18"/>
                <w:szCs w:val="18"/>
              </w:rPr>
            </w:pPr>
            <w:r>
              <w:rPr>
                <w:rFonts w:ascii="宋体" w:hAnsi="宋体" w:cs="宋体"/>
                <w:snapToGrid w:val="0"/>
                <w:color w:val="auto"/>
                <w:kern w:val="0"/>
                <w:sz w:val="18"/>
                <w:szCs w:val="18"/>
              </w:rPr>
              <w:t>—</w:t>
            </w:r>
          </w:p>
        </w:tc>
        <w:tc>
          <w:tcPr>
            <w:tcW w:w="136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eastAsia="宋体" w:cs="宋体"/>
                <w:color w:val="auto"/>
                <w:kern w:val="0"/>
                <w:sz w:val="18"/>
                <w:szCs w:val="18"/>
                <w:lang w:eastAsia="zh-CN"/>
              </w:rPr>
            </w:pPr>
            <w:r>
              <w:rPr>
                <w:rFonts w:hint="eastAsia" w:ascii="宋体" w:hAnsi="宋体" w:cs="宋体"/>
                <w:color w:val="auto"/>
                <w:kern w:val="0"/>
                <w:sz w:val="18"/>
                <w:szCs w:val="18"/>
                <w:lang w:val="en-US" w:eastAsia="zh-CN"/>
              </w:rPr>
              <w:t>96</w:t>
            </w:r>
          </w:p>
        </w:tc>
        <w:tc>
          <w:tcPr>
            <w:tcW w:w="95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auto"/>
                <w:kern w:val="0"/>
                <w:sz w:val="18"/>
                <w:szCs w:val="18"/>
              </w:rPr>
            </w:pPr>
            <w:r>
              <w:rPr>
                <w:rFonts w:ascii="宋体" w:hAnsi="宋体" w:cs="宋体"/>
                <w:snapToGrid w:val="0"/>
                <w:color w:val="auto"/>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08" w:hRule="atLeast"/>
          <w:jc w:val="center"/>
        </w:trPr>
        <w:tc>
          <w:tcPr>
            <w:tcW w:w="39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00" w:lineRule="atLeast"/>
              <w:ind w:left="0" w:leftChars="0" w:right="0" w:rightChars="0" w:firstLine="0" w:firstLineChars="0"/>
              <w:jc w:val="both"/>
              <w:textAlignment w:val="auto"/>
              <w:outlineLvl w:val="9"/>
              <w:rPr>
                <w:rFonts w:hint="eastAsia" w:ascii="黑体" w:hAnsi="黑体" w:eastAsia="黑体" w:cs="黑体"/>
                <w:color w:val="000000"/>
                <w:sz w:val="18"/>
                <w:szCs w:val="18"/>
              </w:rPr>
            </w:pPr>
          </w:p>
        </w:tc>
        <w:tc>
          <w:tcPr>
            <w:tcW w:w="272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宋体" w:cs="宋体"/>
                <w:color w:val="000000"/>
                <w:kern w:val="0"/>
                <w:sz w:val="18"/>
                <w:szCs w:val="18"/>
              </w:rPr>
            </w:pPr>
            <w:r>
              <w:rPr>
                <w:rFonts w:hint="eastAsia" w:ascii="宋体" w:hAnsi="宋体" w:cs="宋体"/>
                <w:color w:val="000000"/>
                <w:kern w:val="0"/>
                <w:sz w:val="18"/>
                <w:szCs w:val="18"/>
              </w:rPr>
              <w:t>人口自然增长率（‰）</w:t>
            </w:r>
          </w:p>
        </w:tc>
        <w:tc>
          <w:tcPr>
            <w:tcW w:w="12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000000"/>
                <w:kern w:val="0"/>
                <w:sz w:val="18"/>
                <w:szCs w:val="18"/>
              </w:rPr>
            </w:pPr>
            <w:r>
              <w:rPr>
                <w:rFonts w:ascii="宋体" w:hAnsi="宋体" w:cs="宋体"/>
                <w:color w:val="000000"/>
                <w:kern w:val="0"/>
                <w:sz w:val="18"/>
                <w:szCs w:val="18"/>
              </w:rPr>
              <w:t>2.62</w:t>
            </w:r>
          </w:p>
        </w:tc>
        <w:tc>
          <w:tcPr>
            <w:tcW w:w="124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000000"/>
                <w:kern w:val="0"/>
                <w:sz w:val="18"/>
                <w:szCs w:val="18"/>
              </w:rPr>
            </w:pPr>
            <w:r>
              <w:rPr>
                <w:rFonts w:ascii="宋体" w:hAnsi="宋体" w:cs="宋体"/>
                <w:color w:val="000000"/>
                <w:kern w:val="0"/>
                <w:sz w:val="18"/>
                <w:szCs w:val="18"/>
              </w:rPr>
              <w:t>5</w:t>
            </w:r>
            <w:r>
              <w:rPr>
                <w:rFonts w:hint="eastAsia" w:ascii="宋体" w:hAnsi="宋体" w:cs="宋体"/>
                <w:color w:val="000000"/>
                <w:kern w:val="0"/>
                <w:sz w:val="18"/>
                <w:szCs w:val="18"/>
              </w:rPr>
              <w:t>以内</w:t>
            </w:r>
          </w:p>
        </w:tc>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auto"/>
                <w:kern w:val="0"/>
                <w:sz w:val="18"/>
                <w:szCs w:val="18"/>
              </w:rPr>
            </w:pPr>
            <w:r>
              <w:rPr>
                <w:rFonts w:ascii="宋体" w:hAnsi="宋体" w:cs="宋体"/>
                <w:snapToGrid w:val="0"/>
                <w:color w:val="auto"/>
                <w:kern w:val="0"/>
                <w:sz w:val="18"/>
                <w:szCs w:val="18"/>
              </w:rPr>
              <w:t>—</w:t>
            </w:r>
          </w:p>
        </w:tc>
        <w:tc>
          <w:tcPr>
            <w:tcW w:w="136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eastAsia="宋体" w:cs="宋体"/>
                <w:color w:val="auto"/>
                <w:kern w:val="0"/>
                <w:sz w:val="18"/>
                <w:szCs w:val="18"/>
                <w:lang w:val="en-US" w:eastAsia="zh-CN"/>
              </w:rPr>
            </w:pPr>
            <w:r>
              <w:rPr>
                <w:rFonts w:hint="eastAsia" w:ascii="宋体" w:cs="宋体"/>
                <w:color w:val="auto"/>
                <w:kern w:val="0"/>
                <w:sz w:val="18"/>
                <w:szCs w:val="18"/>
                <w:lang w:val="en-US" w:eastAsia="zh-CN"/>
              </w:rPr>
              <w:t>2.32</w:t>
            </w:r>
          </w:p>
        </w:tc>
        <w:tc>
          <w:tcPr>
            <w:tcW w:w="95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auto"/>
                <w:kern w:val="0"/>
                <w:sz w:val="18"/>
                <w:szCs w:val="18"/>
              </w:rPr>
            </w:pPr>
            <w:r>
              <w:rPr>
                <w:rFonts w:ascii="宋体" w:hAnsi="宋体" w:cs="宋体"/>
                <w:snapToGrid w:val="0"/>
                <w:color w:val="auto"/>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3" w:hRule="atLeast"/>
          <w:jc w:val="center"/>
        </w:trPr>
        <w:tc>
          <w:tcPr>
            <w:tcW w:w="39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00" w:lineRule="atLeast"/>
              <w:ind w:left="0" w:leftChars="0" w:right="0" w:rightChars="0" w:firstLine="0" w:firstLineChars="0"/>
              <w:jc w:val="both"/>
              <w:textAlignment w:val="auto"/>
              <w:outlineLvl w:val="9"/>
              <w:rPr>
                <w:rFonts w:hint="eastAsia" w:ascii="黑体" w:hAnsi="黑体" w:eastAsia="黑体" w:cs="黑体"/>
                <w:color w:val="000000"/>
                <w:sz w:val="18"/>
                <w:szCs w:val="18"/>
              </w:rPr>
            </w:pPr>
            <w:r>
              <w:rPr>
                <w:rFonts w:hint="eastAsia" w:ascii="黑体" w:hAnsi="黑体" w:eastAsia="黑体" w:cs="黑体"/>
                <w:color w:val="000000"/>
                <w:sz w:val="18"/>
                <w:szCs w:val="18"/>
              </w:rPr>
              <w:t>资源环境</w:t>
            </w:r>
          </w:p>
        </w:tc>
        <w:tc>
          <w:tcPr>
            <w:tcW w:w="272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宋体" w:cs="宋体"/>
                <w:color w:val="000000"/>
                <w:kern w:val="0"/>
                <w:sz w:val="18"/>
                <w:szCs w:val="18"/>
              </w:rPr>
            </w:pPr>
            <w:r>
              <w:rPr>
                <w:rFonts w:hint="eastAsia" w:ascii="宋体" w:hAnsi="宋体" w:cs="宋体"/>
                <w:color w:val="000000"/>
                <w:kern w:val="0"/>
                <w:sz w:val="16"/>
                <w:szCs w:val="16"/>
              </w:rPr>
              <w:t>五年单位生产总值能耗降低（%）</w:t>
            </w:r>
          </w:p>
        </w:tc>
        <w:tc>
          <w:tcPr>
            <w:tcW w:w="12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000000"/>
                <w:kern w:val="0"/>
                <w:sz w:val="18"/>
                <w:szCs w:val="18"/>
              </w:rPr>
            </w:pPr>
            <w:r>
              <w:rPr>
                <w:rFonts w:ascii="宋体" w:hAnsi="宋体" w:cs="宋体"/>
                <w:color w:val="000000"/>
                <w:kern w:val="0"/>
                <w:sz w:val="18"/>
                <w:szCs w:val="18"/>
              </w:rPr>
              <w:t>20</w:t>
            </w:r>
          </w:p>
        </w:tc>
        <w:tc>
          <w:tcPr>
            <w:tcW w:w="124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000000"/>
                <w:kern w:val="0"/>
                <w:sz w:val="18"/>
                <w:szCs w:val="18"/>
              </w:rPr>
            </w:pPr>
            <w:r>
              <w:rPr>
                <w:rFonts w:ascii="宋体" w:hAnsi="宋体" w:cs="宋体"/>
                <w:color w:val="000000"/>
                <w:kern w:val="0"/>
                <w:sz w:val="18"/>
                <w:szCs w:val="18"/>
              </w:rPr>
              <w:t>15</w:t>
            </w:r>
          </w:p>
        </w:tc>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auto"/>
                <w:kern w:val="0"/>
                <w:sz w:val="18"/>
                <w:szCs w:val="18"/>
              </w:rPr>
            </w:pPr>
            <w:r>
              <w:rPr>
                <w:rFonts w:ascii="宋体" w:hAnsi="宋体" w:cs="宋体"/>
                <w:snapToGrid w:val="0"/>
                <w:color w:val="auto"/>
                <w:kern w:val="0"/>
                <w:sz w:val="18"/>
                <w:szCs w:val="18"/>
              </w:rPr>
              <w:t>—</w:t>
            </w:r>
          </w:p>
        </w:tc>
        <w:tc>
          <w:tcPr>
            <w:tcW w:w="136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eastAsia="宋体" w:cs="宋体"/>
                <w:color w:val="auto"/>
                <w:kern w:val="0"/>
                <w:sz w:val="18"/>
                <w:szCs w:val="18"/>
                <w:lang w:eastAsia="zh-CN"/>
              </w:rPr>
            </w:pPr>
            <w:r>
              <w:rPr>
                <w:rFonts w:hint="eastAsia" w:ascii="宋体" w:hAnsi="宋体" w:cs="宋体"/>
                <w:color w:val="000000"/>
                <w:kern w:val="0"/>
                <w:sz w:val="18"/>
                <w:szCs w:val="18"/>
                <w:lang w:val="en-US" w:eastAsia="zh-CN"/>
              </w:rPr>
              <w:t>16.6</w:t>
            </w:r>
          </w:p>
        </w:tc>
        <w:tc>
          <w:tcPr>
            <w:tcW w:w="95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auto"/>
                <w:kern w:val="0"/>
                <w:sz w:val="18"/>
                <w:szCs w:val="18"/>
              </w:rPr>
            </w:pPr>
            <w:r>
              <w:rPr>
                <w:rFonts w:ascii="宋体" w:hAnsi="宋体" w:cs="宋体"/>
                <w:snapToGrid w:val="0"/>
                <w:color w:val="auto"/>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9" w:hRule="atLeast"/>
          <w:jc w:val="center"/>
        </w:trPr>
        <w:tc>
          <w:tcPr>
            <w:tcW w:w="39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00" w:lineRule="atLeast"/>
              <w:ind w:left="0" w:leftChars="0" w:right="0" w:rightChars="0" w:firstLine="0" w:firstLineChars="0"/>
              <w:jc w:val="both"/>
              <w:textAlignment w:val="auto"/>
              <w:outlineLvl w:val="9"/>
              <w:rPr>
                <w:rFonts w:ascii="宋体" w:cs="宋体"/>
                <w:color w:val="000000"/>
                <w:kern w:val="0"/>
                <w:sz w:val="18"/>
                <w:szCs w:val="18"/>
              </w:rPr>
            </w:pPr>
          </w:p>
        </w:tc>
        <w:tc>
          <w:tcPr>
            <w:tcW w:w="272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宋体" w:cs="宋体"/>
                <w:color w:val="000000"/>
                <w:kern w:val="0"/>
                <w:sz w:val="15"/>
                <w:szCs w:val="15"/>
              </w:rPr>
            </w:pPr>
            <w:r>
              <w:rPr>
                <w:rFonts w:hint="eastAsia" w:ascii="宋体" w:hAnsi="宋体" w:cs="宋体"/>
                <w:color w:val="000000"/>
                <w:kern w:val="0"/>
                <w:sz w:val="15"/>
                <w:szCs w:val="15"/>
              </w:rPr>
              <w:t>化学需氧量及氨氮排放总量削减（</w:t>
            </w:r>
            <w:r>
              <w:rPr>
                <w:rFonts w:ascii="宋体" w:hAnsi="宋体" w:cs="宋体"/>
                <w:color w:val="000000"/>
                <w:kern w:val="0"/>
                <w:sz w:val="15"/>
                <w:szCs w:val="15"/>
              </w:rPr>
              <w:t>%</w:t>
            </w:r>
            <w:r>
              <w:rPr>
                <w:rFonts w:hint="eastAsia" w:ascii="宋体" w:hAnsi="宋体" w:cs="宋体"/>
                <w:color w:val="000000"/>
                <w:kern w:val="0"/>
                <w:sz w:val="15"/>
                <w:szCs w:val="15"/>
              </w:rPr>
              <w:t>）</w:t>
            </w:r>
          </w:p>
        </w:tc>
        <w:tc>
          <w:tcPr>
            <w:tcW w:w="12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000000"/>
                <w:kern w:val="0"/>
                <w:sz w:val="18"/>
                <w:szCs w:val="18"/>
              </w:rPr>
            </w:pPr>
            <w:r>
              <w:rPr>
                <w:rFonts w:ascii="宋体" w:hAnsi="宋体" w:cs="宋体"/>
                <w:snapToGrid w:val="0"/>
                <w:color w:val="000000"/>
                <w:kern w:val="0"/>
                <w:sz w:val="18"/>
                <w:szCs w:val="18"/>
              </w:rPr>
              <w:t>—</w:t>
            </w:r>
          </w:p>
        </w:tc>
        <w:tc>
          <w:tcPr>
            <w:tcW w:w="124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000000"/>
                <w:sz w:val="16"/>
                <w:szCs w:val="16"/>
              </w:rPr>
            </w:pPr>
            <w:r>
              <w:rPr>
                <w:rFonts w:hint="eastAsia" w:ascii="宋体" w:hAnsi="宋体" w:cs="宋体"/>
                <w:color w:val="000000"/>
                <w:kern w:val="0"/>
                <w:sz w:val="16"/>
                <w:szCs w:val="16"/>
              </w:rPr>
              <w:t>完成省定目标</w:t>
            </w:r>
          </w:p>
        </w:tc>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auto"/>
                <w:kern w:val="0"/>
                <w:sz w:val="16"/>
                <w:szCs w:val="16"/>
              </w:rPr>
            </w:pPr>
            <w:r>
              <w:rPr>
                <w:rFonts w:ascii="宋体" w:hAnsi="宋体" w:cs="宋体"/>
                <w:snapToGrid w:val="0"/>
                <w:color w:val="auto"/>
                <w:kern w:val="0"/>
                <w:sz w:val="16"/>
                <w:szCs w:val="16"/>
              </w:rPr>
              <w:t>—</w:t>
            </w:r>
          </w:p>
        </w:tc>
        <w:tc>
          <w:tcPr>
            <w:tcW w:w="136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auto"/>
                <w:kern w:val="0"/>
                <w:sz w:val="16"/>
                <w:szCs w:val="16"/>
              </w:rPr>
            </w:pPr>
            <w:r>
              <w:rPr>
                <w:rFonts w:hint="eastAsia" w:ascii="宋体" w:hAnsi="宋体" w:cs="宋体"/>
                <w:color w:val="auto"/>
                <w:kern w:val="0"/>
                <w:sz w:val="16"/>
                <w:szCs w:val="16"/>
              </w:rPr>
              <w:t>完成省定目标</w:t>
            </w:r>
          </w:p>
        </w:tc>
        <w:tc>
          <w:tcPr>
            <w:tcW w:w="95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auto"/>
                <w:kern w:val="0"/>
                <w:sz w:val="18"/>
                <w:szCs w:val="18"/>
              </w:rPr>
            </w:pPr>
            <w:r>
              <w:rPr>
                <w:rFonts w:ascii="宋体" w:hAnsi="宋体" w:cs="宋体"/>
                <w:snapToGrid w:val="0"/>
                <w:color w:val="auto"/>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32" w:hRule="atLeast"/>
          <w:jc w:val="center"/>
        </w:trPr>
        <w:tc>
          <w:tcPr>
            <w:tcW w:w="39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00" w:lineRule="atLeast"/>
              <w:ind w:left="0" w:leftChars="0" w:right="0" w:rightChars="0" w:firstLine="0" w:firstLineChars="0"/>
              <w:jc w:val="both"/>
              <w:textAlignment w:val="auto"/>
              <w:outlineLvl w:val="9"/>
              <w:rPr>
                <w:rFonts w:ascii="宋体" w:cs="宋体"/>
                <w:color w:val="000000"/>
                <w:kern w:val="0"/>
                <w:sz w:val="18"/>
                <w:szCs w:val="18"/>
              </w:rPr>
            </w:pPr>
          </w:p>
        </w:tc>
        <w:tc>
          <w:tcPr>
            <w:tcW w:w="272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宋体" w:cs="宋体"/>
                <w:color w:val="000000"/>
                <w:kern w:val="0"/>
                <w:sz w:val="15"/>
                <w:szCs w:val="15"/>
              </w:rPr>
            </w:pPr>
            <w:r>
              <w:rPr>
                <w:rFonts w:hint="eastAsia" w:ascii="宋体" w:hAnsi="宋体" w:cs="宋体"/>
                <w:color w:val="000000"/>
                <w:kern w:val="0"/>
                <w:sz w:val="15"/>
                <w:szCs w:val="15"/>
              </w:rPr>
              <w:t>二氧化硫及氮氧化物排放总量削减（</w:t>
            </w:r>
            <w:r>
              <w:rPr>
                <w:rFonts w:ascii="宋体" w:hAnsi="宋体" w:cs="宋体"/>
                <w:color w:val="000000"/>
                <w:kern w:val="0"/>
                <w:sz w:val="15"/>
                <w:szCs w:val="15"/>
              </w:rPr>
              <w:t>%</w:t>
            </w:r>
            <w:r>
              <w:rPr>
                <w:rFonts w:hint="eastAsia" w:ascii="宋体" w:hAnsi="宋体" w:cs="宋体"/>
                <w:color w:val="000000"/>
                <w:kern w:val="0"/>
                <w:sz w:val="15"/>
                <w:szCs w:val="15"/>
              </w:rPr>
              <w:t>）</w:t>
            </w:r>
          </w:p>
        </w:tc>
        <w:tc>
          <w:tcPr>
            <w:tcW w:w="12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000000"/>
                <w:kern w:val="0"/>
                <w:sz w:val="18"/>
                <w:szCs w:val="18"/>
              </w:rPr>
            </w:pPr>
            <w:r>
              <w:rPr>
                <w:rFonts w:ascii="宋体" w:hAnsi="宋体" w:cs="宋体"/>
                <w:snapToGrid w:val="0"/>
                <w:color w:val="000000"/>
                <w:kern w:val="0"/>
                <w:sz w:val="18"/>
                <w:szCs w:val="18"/>
              </w:rPr>
              <w:t>—</w:t>
            </w:r>
          </w:p>
        </w:tc>
        <w:tc>
          <w:tcPr>
            <w:tcW w:w="124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000000"/>
                <w:sz w:val="16"/>
                <w:szCs w:val="16"/>
              </w:rPr>
            </w:pPr>
            <w:r>
              <w:rPr>
                <w:rFonts w:hint="eastAsia" w:ascii="宋体" w:hAnsi="宋体" w:cs="宋体"/>
                <w:color w:val="000000"/>
                <w:kern w:val="0"/>
                <w:sz w:val="16"/>
                <w:szCs w:val="16"/>
              </w:rPr>
              <w:t>完成省定目标</w:t>
            </w:r>
          </w:p>
        </w:tc>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auto"/>
                <w:kern w:val="0"/>
                <w:sz w:val="16"/>
                <w:szCs w:val="16"/>
              </w:rPr>
            </w:pPr>
            <w:r>
              <w:rPr>
                <w:rFonts w:ascii="宋体" w:hAnsi="宋体" w:cs="宋体"/>
                <w:snapToGrid w:val="0"/>
                <w:color w:val="auto"/>
                <w:kern w:val="0"/>
                <w:sz w:val="16"/>
                <w:szCs w:val="16"/>
              </w:rPr>
              <w:t>—</w:t>
            </w:r>
          </w:p>
        </w:tc>
        <w:tc>
          <w:tcPr>
            <w:tcW w:w="136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auto"/>
                <w:kern w:val="0"/>
                <w:sz w:val="16"/>
                <w:szCs w:val="16"/>
              </w:rPr>
            </w:pPr>
            <w:r>
              <w:rPr>
                <w:rFonts w:hint="eastAsia" w:ascii="宋体" w:hAnsi="宋体" w:cs="宋体"/>
                <w:color w:val="auto"/>
                <w:kern w:val="0"/>
                <w:sz w:val="16"/>
                <w:szCs w:val="16"/>
              </w:rPr>
              <w:t>完成省定目标</w:t>
            </w:r>
          </w:p>
        </w:tc>
        <w:tc>
          <w:tcPr>
            <w:tcW w:w="95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auto"/>
                <w:kern w:val="0"/>
                <w:sz w:val="18"/>
                <w:szCs w:val="18"/>
              </w:rPr>
            </w:pPr>
            <w:r>
              <w:rPr>
                <w:rFonts w:ascii="宋体" w:hAnsi="宋体" w:cs="宋体"/>
                <w:snapToGrid w:val="0"/>
                <w:color w:val="auto"/>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63" w:hRule="atLeast"/>
          <w:jc w:val="center"/>
        </w:trPr>
        <w:tc>
          <w:tcPr>
            <w:tcW w:w="39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00" w:lineRule="atLeast"/>
              <w:ind w:left="0" w:leftChars="0" w:right="0" w:rightChars="0" w:firstLine="0" w:firstLineChars="0"/>
              <w:jc w:val="both"/>
              <w:textAlignment w:val="auto"/>
              <w:outlineLvl w:val="9"/>
              <w:rPr>
                <w:rFonts w:ascii="宋体" w:cs="宋体"/>
                <w:color w:val="000000"/>
                <w:kern w:val="0"/>
                <w:sz w:val="18"/>
                <w:szCs w:val="18"/>
              </w:rPr>
            </w:pPr>
          </w:p>
        </w:tc>
        <w:tc>
          <w:tcPr>
            <w:tcW w:w="272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宋体" w:cs="宋体"/>
                <w:color w:val="000000"/>
                <w:kern w:val="0"/>
                <w:sz w:val="18"/>
                <w:szCs w:val="18"/>
              </w:rPr>
            </w:pPr>
            <w:r>
              <w:rPr>
                <w:rFonts w:hint="eastAsia" w:ascii="宋体" w:hAnsi="宋体" w:cs="宋体"/>
                <w:color w:val="000000"/>
                <w:kern w:val="0"/>
                <w:sz w:val="18"/>
                <w:szCs w:val="18"/>
              </w:rPr>
              <w:t>森林覆盖率</w:t>
            </w:r>
            <w:r>
              <w:rPr>
                <w:rFonts w:hint="eastAsia" w:ascii="宋体" w:hAnsi="宋体" w:cs="宋体"/>
                <w:color w:val="000000"/>
                <w:sz w:val="18"/>
                <w:szCs w:val="18"/>
              </w:rPr>
              <w:t>（</w:t>
            </w:r>
            <w:r>
              <w:rPr>
                <w:rFonts w:ascii="宋体" w:hAnsi="宋体" w:cs="宋体"/>
                <w:color w:val="000000"/>
                <w:kern w:val="0"/>
                <w:sz w:val="18"/>
                <w:szCs w:val="18"/>
              </w:rPr>
              <w:t>%</w:t>
            </w:r>
            <w:r>
              <w:rPr>
                <w:rFonts w:hint="eastAsia" w:ascii="宋体" w:hAnsi="宋体" w:cs="宋体"/>
                <w:color w:val="000000"/>
                <w:kern w:val="0"/>
                <w:sz w:val="18"/>
                <w:szCs w:val="18"/>
              </w:rPr>
              <w:t>）</w:t>
            </w:r>
          </w:p>
        </w:tc>
        <w:tc>
          <w:tcPr>
            <w:tcW w:w="12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000000"/>
                <w:kern w:val="0"/>
                <w:sz w:val="18"/>
                <w:szCs w:val="18"/>
              </w:rPr>
            </w:pPr>
            <w:r>
              <w:rPr>
                <w:rFonts w:ascii="宋体" w:hAnsi="宋体" w:cs="宋体"/>
                <w:color w:val="000000"/>
                <w:kern w:val="0"/>
                <w:sz w:val="18"/>
                <w:szCs w:val="18"/>
              </w:rPr>
              <w:t>59.9</w:t>
            </w:r>
          </w:p>
        </w:tc>
        <w:tc>
          <w:tcPr>
            <w:tcW w:w="124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000000"/>
                <w:kern w:val="0"/>
                <w:sz w:val="18"/>
                <w:szCs w:val="18"/>
              </w:rPr>
            </w:pPr>
            <w:r>
              <w:rPr>
                <w:rFonts w:ascii="宋体" w:hAnsi="宋体" w:cs="宋体"/>
                <w:color w:val="000000"/>
                <w:kern w:val="0"/>
                <w:sz w:val="18"/>
                <w:szCs w:val="18"/>
              </w:rPr>
              <w:t>62</w:t>
            </w:r>
          </w:p>
        </w:tc>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auto"/>
                <w:kern w:val="0"/>
                <w:sz w:val="18"/>
                <w:szCs w:val="18"/>
              </w:rPr>
            </w:pPr>
            <w:r>
              <w:rPr>
                <w:rFonts w:ascii="宋体" w:hAnsi="宋体" w:cs="宋体"/>
                <w:snapToGrid w:val="0"/>
                <w:color w:val="auto"/>
                <w:kern w:val="0"/>
                <w:sz w:val="18"/>
                <w:szCs w:val="18"/>
              </w:rPr>
              <w:t>—</w:t>
            </w:r>
          </w:p>
        </w:tc>
        <w:tc>
          <w:tcPr>
            <w:tcW w:w="136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auto"/>
                <w:kern w:val="0"/>
                <w:sz w:val="18"/>
                <w:szCs w:val="18"/>
              </w:rPr>
            </w:pPr>
            <w:r>
              <w:rPr>
                <w:rFonts w:ascii="宋体" w:hAnsi="宋体" w:cs="宋体"/>
                <w:color w:val="auto"/>
                <w:kern w:val="0"/>
                <w:sz w:val="18"/>
                <w:szCs w:val="18"/>
              </w:rPr>
              <w:t>65</w:t>
            </w:r>
          </w:p>
        </w:tc>
        <w:tc>
          <w:tcPr>
            <w:tcW w:w="95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auto"/>
                <w:kern w:val="0"/>
                <w:sz w:val="18"/>
                <w:szCs w:val="18"/>
              </w:rPr>
            </w:pPr>
            <w:r>
              <w:rPr>
                <w:rFonts w:ascii="宋体" w:hAnsi="宋体" w:cs="宋体"/>
                <w:snapToGrid w:val="0"/>
                <w:color w:val="auto"/>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32" w:hRule="atLeast"/>
          <w:jc w:val="center"/>
        </w:trPr>
        <w:tc>
          <w:tcPr>
            <w:tcW w:w="39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00" w:lineRule="atLeast"/>
              <w:ind w:left="0" w:leftChars="0" w:right="0" w:rightChars="0" w:firstLine="0" w:firstLineChars="0"/>
              <w:jc w:val="both"/>
              <w:textAlignment w:val="auto"/>
              <w:outlineLvl w:val="9"/>
              <w:rPr>
                <w:rFonts w:ascii="宋体" w:cs="宋体"/>
                <w:color w:val="000000"/>
                <w:sz w:val="18"/>
                <w:szCs w:val="18"/>
              </w:rPr>
            </w:pPr>
          </w:p>
        </w:tc>
        <w:tc>
          <w:tcPr>
            <w:tcW w:w="272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宋体" w:cs="宋体"/>
                <w:color w:val="000000"/>
                <w:sz w:val="18"/>
                <w:szCs w:val="18"/>
              </w:rPr>
            </w:pPr>
            <w:r>
              <w:rPr>
                <w:rFonts w:hint="eastAsia" w:ascii="宋体" w:hAnsi="宋体" w:cs="宋体"/>
                <w:color w:val="000000"/>
                <w:sz w:val="18"/>
                <w:szCs w:val="18"/>
              </w:rPr>
              <w:t>汉江出境断面水质</w:t>
            </w:r>
          </w:p>
        </w:tc>
        <w:tc>
          <w:tcPr>
            <w:tcW w:w="12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000000"/>
                <w:sz w:val="18"/>
                <w:szCs w:val="18"/>
              </w:rPr>
            </w:pPr>
            <w:r>
              <w:rPr>
                <w:rFonts w:hint="eastAsia" w:ascii="宋体" w:hAnsi="宋体" w:cs="宋体"/>
                <w:color w:val="000000"/>
                <w:kern w:val="0"/>
                <w:sz w:val="16"/>
                <w:szCs w:val="16"/>
              </w:rPr>
              <w:t>保持Ⅱ类标准</w:t>
            </w:r>
          </w:p>
        </w:tc>
        <w:tc>
          <w:tcPr>
            <w:tcW w:w="124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color w:val="000000"/>
                <w:kern w:val="0"/>
                <w:sz w:val="16"/>
                <w:szCs w:val="16"/>
              </w:rPr>
            </w:pPr>
            <w:r>
              <w:rPr>
                <w:rFonts w:hint="eastAsia" w:ascii="宋体" w:hAnsi="宋体" w:cs="宋体"/>
                <w:color w:val="000000"/>
                <w:kern w:val="0"/>
                <w:sz w:val="16"/>
                <w:szCs w:val="16"/>
              </w:rPr>
              <w:t>保持Ⅱ类标准</w:t>
            </w:r>
          </w:p>
        </w:tc>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color w:val="auto"/>
                <w:kern w:val="0"/>
                <w:sz w:val="16"/>
                <w:szCs w:val="16"/>
              </w:rPr>
            </w:pPr>
            <w:r>
              <w:rPr>
                <w:rFonts w:hint="eastAsia" w:ascii="宋体" w:hAnsi="宋体" w:cs="宋体"/>
                <w:color w:val="auto"/>
                <w:kern w:val="0"/>
                <w:sz w:val="16"/>
                <w:szCs w:val="16"/>
              </w:rPr>
              <w:t>—</w:t>
            </w:r>
          </w:p>
        </w:tc>
        <w:tc>
          <w:tcPr>
            <w:tcW w:w="136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color w:val="auto"/>
                <w:kern w:val="0"/>
                <w:sz w:val="16"/>
                <w:szCs w:val="16"/>
              </w:rPr>
            </w:pPr>
            <w:r>
              <w:rPr>
                <w:rFonts w:hint="eastAsia" w:ascii="宋体" w:hAnsi="宋体" w:cs="宋体"/>
                <w:color w:val="auto"/>
                <w:kern w:val="0"/>
                <w:sz w:val="16"/>
                <w:szCs w:val="16"/>
              </w:rPr>
              <w:t>保持Ⅱ类标准</w:t>
            </w:r>
          </w:p>
        </w:tc>
        <w:tc>
          <w:tcPr>
            <w:tcW w:w="95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auto"/>
                <w:kern w:val="0"/>
                <w:sz w:val="18"/>
                <w:szCs w:val="18"/>
              </w:rPr>
            </w:pPr>
            <w:r>
              <w:rPr>
                <w:rFonts w:ascii="宋体" w:hAnsi="宋体" w:cs="宋体"/>
                <w:snapToGrid w:val="0"/>
                <w:color w:val="auto"/>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98" w:hRule="atLeast"/>
          <w:jc w:val="center"/>
        </w:trPr>
        <w:tc>
          <w:tcPr>
            <w:tcW w:w="39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00" w:lineRule="atLeast"/>
              <w:ind w:left="0" w:leftChars="0" w:right="0" w:rightChars="0" w:firstLine="0" w:firstLineChars="0"/>
              <w:jc w:val="both"/>
              <w:textAlignment w:val="auto"/>
              <w:outlineLvl w:val="9"/>
              <w:rPr>
                <w:rFonts w:ascii="宋体" w:cs="宋体"/>
                <w:color w:val="000000"/>
                <w:sz w:val="18"/>
                <w:szCs w:val="18"/>
              </w:rPr>
            </w:pPr>
            <w:r>
              <w:rPr>
                <w:rFonts w:hint="eastAsia" w:ascii="黑体" w:hAnsi="黑体" w:eastAsia="黑体" w:cs="黑体"/>
                <w:color w:val="000000"/>
                <w:sz w:val="18"/>
                <w:szCs w:val="18"/>
              </w:rPr>
              <w:t>人民生活</w:t>
            </w:r>
          </w:p>
        </w:tc>
        <w:tc>
          <w:tcPr>
            <w:tcW w:w="272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宋体" w:cs="宋体"/>
                <w:color w:val="000000"/>
                <w:kern w:val="0"/>
                <w:sz w:val="18"/>
                <w:szCs w:val="18"/>
              </w:rPr>
            </w:pPr>
            <w:r>
              <w:rPr>
                <w:rFonts w:hint="eastAsia" w:ascii="宋体" w:hAnsi="宋体" w:cs="宋体"/>
                <w:color w:val="000000"/>
                <w:kern w:val="0"/>
                <w:sz w:val="18"/>
                <w:szCs w:val="18"/>
              </w:rPr>
              <w:t>城镇居民可支配收入（元）</w:t>
            </w:r>
          </w:p>
        </w:tc>
        <w:tc>
          <w:tcPr>
            <w:tcW w:w="12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000000"/>
                <w:kern w:val="0"/>
                <w:sz w:val="18"/>
                <w:szCs w:val="18"/>
              </w:rPr>
            </w:pPr>
            <w:r>
              <w:rPr>
                <w:rFonts w:ascii="宋体" w:hAnsi="宋体" w:cs="宋体"/>
                <w:color w:val="000000"/>
                <w:kern w:val="0"/>
                <w:sz w:val="18"/>
                <w:szCs w:val="18"/>
              </w:rPr>
              <w:t>14642</w:t>
            </w:r>
          </w:p>
        </w:tc>
        <w:tc>
          <w:tcPr>
            <w:tcW w:w="124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000000"/>
                <w:kern w:val="0"/>
                <w:sz w:val="18"/>
                <w:szCs w:val="18"/>
              </w:rPr>
            </w:pPr>
            <w:r>
              <w:rPr>
                <w:rFonts w:ascii="宋体" w:hAnsi="宋体" w:cs="宋体"/>
                <w:color w:val="000000"/>
                <w:kern w:val="0"/>
                <w:sz w:val="18"/>
                <w:szCs w:val="18"/>
              </w:rPr>
              <w:t>29500</w:t>
            </w:r>
          </w:p>
        </w:tc>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auto"/>
                <w:kern w:val="0"/>
                <w:sz w:val="18"/>
                <w:szCs w:val="18"/>
              </w:rPr>
            </w:pPr>
            <w:r>
              <w:rPr>
                <w:rFonts w:ascii="宋体" w:hAnsi="宋体" w:cs="宋体"/>
                <w:color w:val="auto"/>
                <w:kern w:val="0"/>
                <w:sz w:val="18"/>
                <w:szCs w:val="18"/>
              </w:rPr>
              <w:t>15</w:t>
            </w:r>
            <w:r>
              <w:rPr>
                <w:rFonts w:hint="eastAsia" w:ascii="宋体" w:hAnsi="宋体" w:cs="宋体"/>
                <w:color w:val="auto"/>
                <w:kern w:val="0"/>
                <w:sz w:val="18"/>
                <w:szCs w:val="18"/>
              </w:rPr>
              <w:t>左右</w:t>
            </w:r>
          </w:p>
        </w:tc>
        <w:tc>
          <w:tcPr>
            <w:tcW w:w="136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eastAsia="宋体" w:cs="宋体"/>
                <w:color w:val="auto"/>
                <w:kern w:val="0"/>
                <w:sz w:val="18"/>
                <w:szCs w:val="18"/>
                <w:lang w:eastAsia="zh-CN"/>
              </w:rPr>
            </w:pPr>
            <w:r>
              <w:rPr>
                <w:rFonts w:hint="eastAsia" w:ascii="宋体" w:hAnsi="宋体" w:cs="宋体"/>
                <w:color w:val="auto"/>
                <w:kern w:val="0"/>
                <w:sz w:val="18"/>
                <w:szCs w:val="18"/>
                <w:lang w:val="en-US" w:eastAsia="zh-CN"/>
              </w:rPr>
              <w:t>27191</w:t>
            </w:r>
          </w:p>
        </w:tc>
        <w:tc>
          <w:tcPr>
            <w:tcW w:w="95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eastAsia="宋体" w:cs="宋体"/>
                <w:color w:val="auto"/>
                <w:kern w:val="0"/>
                <w:sz w:val="18"/>
                <w:szCs w:val="18"/>
              </w:rPr>
            </w:pPr>
            <w:r>
              <w:rPr>
                <w:rFonts w:ascii="宋体" w:hAnsi="宋体" w:cs="宋体"/>
                <w:color w:val="auto"/>
                <w:kern w:val="0"/>
                <w:sz w:val="18"/>
                <w:szCs w:val="18"/>
              </w:rPr>
              <w:t>13.</w:t>
            </w:r>
            <w:r>
              <w:rPr>
                <w:rFonts w:hint="eastAsia" w:ascii="宋体" w:hAnsi="宋体" w:eastAsia="宋体" w:cs="宋体"/>
                <w:color w:val="auto"/>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8" w:hRule="atLeast"/>
          <w:jc w:val="center"/>
        </w:trPr>
        <w:tc>
          <w:tcPr>
            <w:tcW w:w="397" w:type="dxa"/>
            <w:vMerge w:val="continue"/>
            <w:noWrap w:val="0"/>
            <w:vAlign w:val="top"/>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ascii="宋体" w:cs="宋体"/>
                <w:color w:val="000000"/>
                <w:sz w:val="18"/>
                <w:szCs w:val="18"/>
              </w:rPr>
            </w:pPr>
          </w:p>
        </w:tc>
        <w:tc>
          <w:tcPr>
            <w:tcW w:w="272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宋体" w:cs="宋体"/>
                <w:color w:val="000000"/>
                <w:kern w:val="0"/>
                <w:sz w:val="18"/>
                <w:szCs w:val="18"/>
              </w:rPr>
            </w:pPr>
            <w:r>
              <w:rPr>
                <w:rFonts w:hint="eastAsia" w:ascii="宋体" w:hAnsi="宋体" w:cs="宋体"/>
                <w:color w:val="000000"/>
                <w:kern w:val="0"/>
                <w:sz w:val="18"/>
                <w:szCs w:val="18"/>
              </w:rPr>
              <w:t>农民人均纯收入（元）</w:t>
            </w:r>
          </w:p>
        </w:tc>
        <w:tc>
          <w:tcPr>
            <w:tcW w:w="12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000000"/>
                <w:kern w:val="0"/>
                <w:sz w:val="18"/>
                <w:szCs w:val="18"/>
              </w:rPr>
            </w:pPr>
            <w:r>
              <w:rPr>
                <w:rFonts w:ascii="宋体" w:hAnsi="宋体" w:cs="宋体"/>
                <w:color w:val="000000"/>
                <w:kern w:val="0"/>
                <w:sz w:val="18"/>
                <w:szCs w:val="18"/>
              </w:rPr>
              <w:t>3976</w:t>
            </w:r>
          </w:p>
        </w:tc>
        <w:tc>
          <w:tcPr>
            <w:tcW w:w="124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000000"/>
                <w:kern w:val="0"/>
                <w:sz w:val="18"/>
                <w:szCs w:val="18"/>
              </w:rPr>
            </w:pPr>
            <w:r>
              <w:rPr>
                <w:rFonts w:ascii="宋体" w:hAnsi="宋体" w:cs="宋体"/>
                <w:color w:val="000000"/>
                <w:kern w:val="0"/>
                <w:sz w:val="18"/>
                <w:szCs w:val="18"/>
              </w:rPr>
              <w:t>8000</w:t>
            </w:r>
          </w:p>
        </w:tc>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auto"/>
                <w:kern w:val="0"/>
                <w:sz w:val="18"/>
                <w:szCs w:val="18"/>
              </w:rPr>
            </w:pPr>
            <w:r>
              <w:rPr>
                <w:rFonts w:ascii="宋体" w:hAnsi="宋体" w:cs="宋体"/>
                <w:color w:val="auto"/>
                <w:kern w:val="0"/>
                <w:sz w:val="18"/>
                <w:szCs w:val="18"/>
              </w:rPr>
              <w:t>15</w:t>
            </w:r>
            <w:r>
              <w:rPr>
                <w:rFonts w:hint="eastAsia" w:ascii="宋体" w:hAnsi="宋体" w:cs="宋体"/>
                <w:color w:val="auto"/>
                <w:kern w:val="0"/>
                <w:sz w:val="18"/>
                <w:szCs w:val="18"/>
              </w:rPr>
              <w:t>左右</w:t>
            </w:r>
          </w:p>
        </w:tc>
        <w:tc>
          <w:tcPr>
            <w:tcW w:w="136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eastAsia="宋体" w:cs="宋体"/>
                <w:color w:val="auto"/>
                <w:kern w:val="0"/>
                <w:sz w:val="18"/>
                <w:szCs w:val="18"/>
                <w:lang w:eastAsia="zh-CN"/>
              </w:rPr>
            </w:pPr>
            <w:r>
              <w:rPr>
                <w:rFonts w:hint="eastAsia" w:ascii="宋体" w:hAnsi="宋体" w:cs="宋体"/>
                <w:color w:val="auto"/>
                <w:kern w:val="0"/>
                <w:sz w:val="18"/>
                <w:szCs w:val="18"/>
                <w:lang w:val="en-US" w:eastAsia="zh-CN"/>
              </w:rPr>
              <w:t>8196</w:t>
            </w:r>
          </w:p>
        </w:tc>
        <w:tc>
          <w:tcPr>
            <w:tcW w:w="95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eastAsia="宋体" w:cs="宋体"/>
                <w:color w:val="auto"/>
                <w:kern w:val="0"/>
                <w:sz w:val="18"/>
                <w:szCs w:val="18"/>
                <w:u w:val="single"/>
              </w:rPr>
            </w:pPr>
            <w:r>
              <w:rPr>
                <w:rFonts w:hint="eastAsia" w:ascii="宋体" w:hAnsi="宋体" w:cs="宋体"/>
                <w:color w:val="auto"/>
                <w:kern w:val="0"/>
                <w:sz w:val="18"/>
                <w:szCs w:val="18"/>
              </w:rPr>
              <w:t>15.</w:t>
            </w:r>
            <w:r>
              <w:rPr>
                <w:rFonts w:hint="eastAsia" w:ascii="宋体" w:hAnsi="宋体" w:cs="宋体"/>
                <w:color w:val="auto"/>
                <w:kern w:val="0"/>
                <w:sz w:val="18"/>
                <w:szCs w:val="18"/>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06" w:hRule="atLeast"/>
          <w:jc w:val="center"/>
        </w:trPr>
        <w:tc>
          <w:tcPr>
            <w:tcW w:w="397" w:type="dxa"/>
            <w:vMerge w:val="continue"/>
            <w:noWrap w:val="0"/>
            <w:vAlign w:val="top"/>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ascii="宋体" w:cs="宋体"/>
                <w:color w:val="000000"/>
                <w:sz w:val="18"/>
                <w:szCs w:val="18"/>
              </w:rPr>
            </w:pPr>
          </w:p>
        </w:tc>
        <w:tc>
          <w:tcPr>
            <w:tcW w:w="272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宋体" w:cs="宋体"/>
                <w:color w:val="000000"/>
                <w:kern w:val="0"/>
                <w:sz w:val="18"/>
                <w:szCs w:val="18"/>
              </w:rPr>
            </w:pPr>
            <w:r>
              <w:rPr>
                <w:rFonts w:hint="eastAsia" w:ascii="宋体" w:hAnsi="宋体" w:cs="宋体"/>
                <w:color w:val="000000"/>
                <w:kern w:val="0"/>
                <w:sz w:val="18"/>
                <w:szCs w:val="18"/>
              </w:rPr>
              <w:t>居民消费价格指数</w:t>
            </w:r>
            <w:r>
              <w:rPr>
                <w:rFonts w:hint="eastAsia" w:ascii="宋体" w:hAnsi="宋体" w:cs="宋体"/>
                <w:color w:val="000000"/>
                <w:sz w:val="18"/>
                <w:szCs w:val="18"/>
              </w:rPr>
              <w:t>（</w:t>
            </w:r>
            <w:r>
              <w:rPr>
                <w:rFonts w:ascii="宋体" w:hAnsi="宋体" w:cs="宋体"/>
                <w:color w:val="000000"/>
                <w:kern w:val="0"/>
                <w:sz w:val="18"/>
                <w:szCs w:val="18"/>
              </w:rPr>
              <w:t>%</w:t>
            </w:r>
            <w:r>
              <w:rPr>
                <w:rFonts w:hint="eastAsia" w:ascii="宋体" w:hAnsi="宋体" w:cs="宋体"/>
                <w:color w:val="000000"/>
                <w:kern w:val="0"/>
                <w:sz w:val="18"/>
                <w:szCs w:val="18"/>
              </w:rPr>
              <w:t>）</w:t>
            </w:r>
          </w:p>
        </w:tc>
        <w:tc>
          <w:tcPr>
            <w:tcW w:w="12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000000"/>
                <w:kern w:val="0"/>
                <w:sz w:val="18"/>
                <w:szCs w:val="18"/>
              </w:rPr>
            </w:pPr>
            <w:r>
              <w:rPr>
                <w:rFonts w:ascii="宋体" w:hAnsi="宋体" w:cs="宋体"/>
                <w:color w:val="000000"/>
                <w:kern w:val="0"/>
                <w:sz w:val="18"/>
                <w:szCs w:val="18"/>
              </w:rPr>
              <w:t>103.2</w:t>
            </w:r>
          </w:p>
        </w:tc>
        <w:tc>
          <w:tcPr>
            <w:tcW w:w="124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000000"/>
                <w:kern w:val="0"/>
                <w:sz w:val="18"/>
                <w:szCs w:val="18"/>
              </w:rPr>
            </w:pPr>
            <w:r>
              <w:rPr>
                <w:rFonts w:ascii="宋体" w:hAnsi="宋体" w:cs="宋体"/>
                <w:color w:val="000000"/>
                <w:kern w:val="0"/>
                <w:sz w:val="18"/>
                <w:szCs w:val="18"/>
              </w:rPr>
              <w:t>104.0</w:t>
            </w:r>
          </w:p>
        </w:tc>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auto"/>
                <w:kern w:val="0"/>
                <w:sz w:val="18"/>
                <w:szCs w:val="18"/>
              </w:rPr>
            </w:pPr>
            <w:r>
              <w:rPr>
                <w:rFonts w:ascii="宋体" w:hAnsi="宋体" w:cs="宋体"/>
                <w:snapToGrid w:val="0"/>
                <w:color w:val="auto"/>
                <w:kern w:val="0"/>
                <w:sz w:val="18"/>
                <w:szCs w:val="18"/>
              </w:rPr>
              <w:t>—</w:t>
            </w:r>
          </w:p>
        </w:tc>
        <w:tc>
          <w:tcPr>
            <w:tcW w:w="136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auto"/>
                <w:kern w:val="0"/>
                <w:sz w:val="18"/>
                <w:szCs w:val="18"/>
              </w:rPr>
            </w:pPr>
            <w:r>
              <w:rPr>
                <w:rFonts w:ascii="宋体" w:hAnsi="宋体" w:cs="宋体"/>
                <w:color w:val="auto"/>
                <w:kern w:val="0"/>
                <w:sz w:val="18"/>
                <w:szCs w:val="18"/>
              </w:rPr>
              <w:t>10</w:t>
            </w:r>
            <w:r>
              <w:rPr>
                <w:rFonts w:hint="eastAsia" w:ascii="宋体" w:hAnsi="宋体" w:cs="宋体"/>
                <w:color w:val="auto"/>
                <w:kern w:val="0"/>
                <w:sz w:val="18"/>
                <w:szCs w:val="18"/>
              </w:rPr>
              <w:t>0.8</w:t>
            </w:r>
          </w:p>
        </w:tc>
        <w:tc>
          <w:tcPr>
            <w:tcW w:w="95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auto"/>
                <w:kern w:val="0"/>
                <w:sz w:val="18"/>
                <w:szCs w:val="18"/>
              </w:rPr>
            </w:pPr>
            <w:r>
              <w:rPr>
                <w:rFonts w:ascii="宋体" w:hAnsi="宋体" w:cs="宋体"/>
                <w:snapToGrid w:val="0"/>
                <w:color w:val="auto"/>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8" w:hRule="atLeast"/>
          <w:jc w:val="center"/>
        </w:trPr>
        <w:tc>
          <w:tcPr>
            <w:tcW w:w="397" w:type="dxa"/>
            <w:vMerge w:val="continue"/>
            <w:noWrap w:val="0"/>
            <w:vAlign w:val="top"/>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ascii="宋体" w:cs="宋体"/>
                <w:color w:val="000000"/>
                <w:sz w:val="18"/>
                <w:szCs w:val="18"/>
              </w:rPr>
            </w:pPr>
          </w:p>
        </w:tc>
        <w:tc>
          <w:tcPr>
            <w:tcW w:w="272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宋体" w:cs="宋体"/>
                <w:color w:val="000000"/>
                <w:kern w:val="0"/>
                <w:sz w:val="18"/>
                <w:szCs w:val="18"/>
              </w:rPr>
            </w:pPr>
            <w:r>
              <w:rPr>
                <w:rFonts w:hint="eastAsia" w:ascii="宋体" w:hAnsi="宋体" w:cs="宋体"/>
                <w:color w:val="000000"/>
                <w:kern w:val="0"/>
                <w:sz w:val="18"/>
                <w:szCs w:val="18"/>
              </w:rPr>
              <w:t>城镇登记失业率</w:t>
            </w:r>
            <w:r>
              <w:rPr>
                <w:rFonts w:hint="eastAsia" w:ascii="宋体" w:hAnsi="宋体" w:cs="宋体"/>
                <w:color w:val="000000"/>
                <w:sz w:val="18"/>
                <w:szCs w:val="18"/>
              </w:rPr>
              <w:t>（</w:t>
            </w:r>
            <w:r>
              <w:rPr>
                <w:rFonts w:ascii="宋体" w:hAnsi="宋体" w:cs="宋体"/>
                <w:color w:val="000000"/>
                <w:kern w:val="0"/>
                <w:sz w:val="18"/>
                <w:szCs w:val="18"/>
              </w:rPr>
              <w:t>%</w:t>
            </w:r>
            <w:r>
              <w:rPr>
                <w:rFonts w:hint="eastAsia" w:ascii="宋体" w:hAnsi="宋体" w:cs="宋体"/>
                <w:color w:val="000000"/>
                <w:kern w:val="0"/>
                <w:sz w:val="18"/>
                <w:szCs w:val="18"/>
              </w:rPr>
              <w:t>）</w:t>
            </w:r>
          </w:p>
        </w:tc>
        <w:tc>
          <w:tcPr>
            <w:tcW w:w="12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000000"/>
                <w:kern w:val="0"/>
                <w:sz w:val="18"/>
                <w:szCs w:val="18"/>
              </w:rPr>
            </w:pPr>
            <w:r>
              <w:rPr>
                <w:rFonts w:ascii="宋体" w:hAnsi="宋体" w:cs="宋体"/>
                <w:color w:val="000000"/>
                <w:kern w:val="0"/>
                <w:sz w:val="18"/>
                <w:szCs w:val="18"/>
              </w:rPr>
              <w:t>3.4</w:t>
            </w:r>
          </w:p>
        </w:tc>
        <w:tc>
          <w:tcPr>
            <w:tcW w:w="124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000000"/>
                <w:kern w:val="0"/>
                <w:sz w:val="18"/>
                <w:szCs w:val="18"/>
              </w:rPr>
            </w:pPr>
            <w:r>
              <w:rPr>
                <w:rFonts w:ascii="宋体" w:hAnsi="宋体" w:cs="宋体"/>
                <w:color w:val="000000"/>
                <w:kern w:val="0"/>
                <w:sz w:val="18"/>
                <w:szCs w:val="18"/>
              </w:rPr>
              <w:t>4.3</w:t>
            </w:r>
            <w:r>
              <w:rPr>
                <w:rFonts w:hint="eastAsia" w:ascii="宋体" w:hAnsi="宋体" w:cs="宋体"/>
                <w:color w:val="000000"/>
                <w:kern w:val="0"/>
                <w:sz w:val="18"/>
                <w:szCs w:val="18"/>
              </w:rPr>
              <w:t>以内</w:t>
            </w:r>
          </w:p>
        </w:tc>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000000"/>
                <w:kern w:val="0"/>
                <w:sz w:val="18"/>
                <w:szCs w:val="18"/>
              </w:rPr>
            </w:pPr>
            <w:r>
              <w:rPr>
                <w:rFonts w:ascii="宋体" w:hAnsi="宋体" w:cs="宋体"/>
                <w:snapToGrid w:val="0"/>
                <w:color w:val="000000"/>
                <w:kern w:val="0"/>
                <w:sz w:val="18"/>
                <w:szCs w:val="18"/>
              </w:rPr>
              <w:t>—</w:t>
            </w:r>
          </w:p>
        </w:tc>
        <w:tc>
          <w:tcPr>
            <w:tcW w:w="136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000000"/>
                <w:kern w:val="0"/>
                <w:sz w:val="18"/>
                <w:szCs w:val="18"/>
              </w:rPr>
            </w:pPr>
            <w:r>
              <w:rPr>
                <w:rFonts w:ascii="宋体" w:hAnsi="宋体" w:cs="宋体"/>
                <w:color w:val="000000"/>
                <w:kern w:val="0"/>
                <w:sz w:val="18"/>
                <w:szCs w:val="18"/>
              </w:rPr>
              <w:t>4</w:t>
            </w:r>
            <w:r>
              <w:rPr>
                <w:rFonts w:hint="eastAsia" w:ascii="宋体" w:hAnsi="宋体" w:cs="宋体"/>
                <w:color w:val="000000"/>
                <w:kern w:val="0"/>
                <w:sz w:val="18"/>
                <w:szCs w:val="18"/>
              </w:rPr>
              <w:t>以内</w:t>
            </w:r>
          </w:p>
        </w:tc>
        <w:tc>
          <w:tcPr>
            <w:tcW w:w="95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000000"/>
                <w:kern w:val="0"/>
                <w:sz w:val="18"/>
                <w:szCs w:val="18"/>
              </w:rPr>
            </w:pPr>
            <w:r>
              <w:rPr>
                <w:rFonts w:ascii="宋体" w:hAnsi="宋体" w:cs="宋体"/>
                <w:snapToGrid w:val="0"/>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0" w:hRule="atLeast"/>
          <w:jc w:val="center"/>
        </w:trPr>
        <w:tc>
          <w:tcPr>
            <w:tcW w:w="8844" w:type="dxa"/>
            <w:gridSpan w:val="7"/>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ascii="宋体" w:cs="宋体"/>
                <w:color w:val="000000"/>
                <w:sz w:val="20"/>
                <w:szCs w:val="20"/>
              </w:rPr>
            </w:pPr>
            <w:r>
              <w:rPr>
                <w:rFonts w:hint="eastAsia" w:ascii="楷体_GB2312" w:hAnsi="楷体_GB2312" w:eastAsia="楷体_GB2312" w:cs="楷体_GB2312"/>
                <w:color w:val="000000"/>
                <w:sz w:val="20"/>
                <w:szCs w:val="20"/>
                <w:lang w:val="en-US" w:eastAsia="zh-CN"/>
              </w:rPr>
              <w:t xml:space="preserve"> </w:t>
            </w:r>
            <w:r>
              <w:rPr>
                <w:rFonts w:hint="eastAsia" w:ascii="楷体_GB2312" w:hAnsi="楷体_GB2312" w:eastAsia="楷体_GB2312" w:cs="楷体_GB2312"/>
                <w:color w:val="000000"/>
                <w:sz w:val="20"/>
                <w:szCs w:val="20"/>
              </w:rPr>
              <w:t>注：</w:t>
            </w:r>
            <w:r>
              <w:rPr>
                <w:rFonts w:hint="eastAsia" w:ascii="宋体" w:hAnsi="宋体" w:cs="宋体"/>
                <w:snapToGrid w:val="0"/>
                <w:color w:val="000000"/>
                <w:kern w:val="0"/>
                <w:sz w:val="21"/>
                <w:szCs w:val="21"/>
              </w:rPr>
              <w:t>【】</w:t>
            </w:r>
            <w:r>
              <w:rPr>
                <w:rFonts w:hint="eastAsia" w:ascii="楷体_GB2312" w:hAnsi="楷体_GB2312" w:eastAsia="楷体_GB2312" w:cs="楷体_GB2312"/>
                <w:color w:val="000000"/>
                <w:sz w:val="20"/>
                <w:szCs w:val="20"/>
              </w:rPr>
              <w:t>表示五年累计数。</w:t>
            </w:r>
            <w:r>
              <w:rPr>
                <w:rFonts w:hint="eastAsia" w:ascii="楷体_GB2312" w:hAnsi="楷体_GB2312" w:eastAsia="楷体_GB2312" w:cs="楷体_GB2312"/>
                <w:color w:val="000000"/>
                <w:kern w:val="0"/>
                <w:sz w:val="20"/>
                <w:szCs w:val="20"/>
              </w:rPr>
              <w:t>＊表示全社会固定资产投资</w:t>
            </w:r>
            <w:r>
              <w:rPr>
                <w:rFonts w:hint="eastAsia" w:ascii="楷体_GB2312" w:hAnsi="楷体_GB2312" w:eastAsia="楷体_GB2312" w:cs="楷体_GB2312"/>
                <w:color w:val="000000"/>
                <w:sz w:val="20"/>
                <w:szCs w:val="20"/>
              </w:rPr>
              <w:t>按同口径测算</w:t>
            </w:r>
            <w:r>
              <w:rPr>
                <w:rFonts w:hint="eastAsia" w:ascii="宋体" w:hAnsi="宋体" w:cs="宋体"/>
                <w:color w:val="000000"/>
                <w:sz w:val="20"/>
                <w:szCs w:val="20"/>
              </w:rPr>
              <w:t>。</w:t>
            </w:r>
          </w:p>
        </w:tc>
      </w:tr>
    </w:tbl>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eastAsia="仿宋_GB2312"/>
          <w:snapToGrid w:val="0"/>
          <w:color w:val="000000"/>
          <w:kern w:val="0"/>
          <w:sz w:val="32"/>
          <w:szCs w:val="32"/>
        </w:rPr>
      </w:pPr>
      <w:r>
        <w:rPr>
          <w:rFonts w:hint="eastAsia" w:eastAsia="仿宋_GB2312"/>
          <w:snapToGrid w:val="0"/>
          <w:color w:val="000000"/>
          <w:kern w:val="0"/>
          <w:sz w:val="32"/>
          <w:szCs w:val="32"/>
        </w:rPr>
        <w:t>实践证明，“十二五”时期是安康经济社会发展质量最好、综合实力提升最快的五年；是城乡面貌变化最大、人民得到实惠最多的五年；是快速跟进全省发展步伐、由相对滞后走向追赶超越的五年。成就令人振奋，经验弥足珍贵</w:t>
      </w:r>
      <w:r>
        <w:rPr>
          <w:rFonts w:hint="eastAsia" w:eastAsia="仿宋_GB2312"/>
          <w:snapToGrid w:val="0"/>
          <w:color w:val="000000"/>
          <w:kern w:val="0"/>
          <w:sz w:val="32"/>
          <w:szCs w:val="32"/>
          <w:lang w:eastAsia="zh-CN"/>
        </w:rPr>
        <w:t>，</w:t>
      </w:r>
      <w:r>
        <w:rPr>
          <w:rFonts w:hint="eastAsia" w:eastAsia="仿宋_GB2312"/>
          <w:snapToGrid w:val="0"/>
          <w:color w:val="000000"/>
          <w:kern w:val="0"/>
          <w:sz w:val="32"/>
          <w:szCs w:val="32"/>
        </w:rPr>
        <w:t>主要有：必须深入贯彻落实中省的决策部署和对安康的定位要求，结合安康实际创造性地开展工作；必须坚持把加快发展作为第一要务，切实转变发展方式，做大总量和提质增效并重，在全力追赶超越中实现转型升级；必须坚守生态环境保护底线，统筹推进生态建设和环境保护，促进人与自然和谐共生，走生态经济化、经济生态化之路；必须把保障改善民生作为出发点和落脚点，努力实现基本公共服务与经济发展、群众需求相适应，在共建共享中增进人民福祉；必须坚持深化改革、扩大开放，最大限度地释放改革红利，增强发展内生动力；必须不断加强作风建设，始终保持奋发有为的精神状态，勤政务实、锐意进取，勇于担当、久久为功。</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eastAsia="仿宋_GB2312"/>
          <w:snapToGrid w:val="0"/>
          <w:color w:val="000000"/>
          <w:kern w:val="0"/>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1"/>
        <w:rPr>
          <w:rFonts w:eastAsia="黑体"/>
          <w:bCs/>
          <w:snapToGrid w:val="0"/>
          <w:color w:val="000000"/>
          <w:spacing w:val="6"/>
          <w:kern w:val="0"/>
          <w:sz w:val="32"/>
          <w:szCs w:val="32"/>
        </w:rPr>
      </w:pPr>
      <w:bookmarkStart w:id="4" w:name="_Toc436739612"/>
      <w:bookmarkStart w:id="5" w:name="_Toc23366"/>
      <w:r>
        <w:rPr>
          <w:rFonts w:hint="eastAsia" w:eastAsia="黑体"/>
          <w:bCs/>
          <w:snapToGrid w:val="0"/>
          <w:color w:val="000000"/>
          <w:spacing w:val="6"/>
          <w:kern w:val="0"/>
          <w:sz w:val="32"/>
          <w:szCs w:val="32"/>
        </w:rPr>
        <w:t>第二节</w:t>
      </w:r>
      <w:r>
        <w:rPr>
          <w:rFonts w:hint="eastAsia" w:eastAsia="黑体"/>
          <w:bCs/>
          <w:snapToGrid w:val="0"/>
          <w:color w:val="000000"/>
          <w:spacing w:val="6"/>
          <w:kern w:val="0"/>
          <w:sz w:val="32"/>
          <w:szCs w:val="32"/>
          <w:lang w:val="en-US" w:eastAsia="zh-CN"/>
        </w:rPr>
        <w:t xml:space="preserve">  </w:t>
      </w:r>
      <w:r>
        <w:rPr>
          <w:rFonts w:hint="eastAsia" w:eastAsia="黑体"/>
          <w:bCs/>
          <w:snapToGrid w:val="0"/>
          <w:color w:val="000000"/>
          <w:spacing w:val="6"/>
          <w:kern w:val="0"/>
          <w:sz w:val="32"/>
          <w:szCs w:val="32"/>
        </w:rPr>
        <w:t>面临环境</w:t>
      </w:r>
      <w:bookmarkEnd w:id="4"/>
      <w:bookmarkEnd w:id="5"/>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eastAsia="仿宋_GB2312"/>
          <w:snapToGrid w:val="0"/>
          <w:color w:val="000000"/>
          <w:kern w:val="0"/>
          <w:sz w:val="32"/>
          <w:szCs w:val="32"/>
        </w:rPr>
      </w:pPr>
      <w:r>
        <w:rPr>
          <w:rFonts w:hint="eastAsia" w:eastAsia="仿宋_GB2312"/>
          <w:snapToGrid w:val="0"/>
          <w:color w:val="000000"/>
          <w:kern w:val="0"/>
          <w:sz w:val="32"/>
          <w:szCs w:val="32"/>
        </w:rPr>
        <w:t>经过多年持续努力，安康发展迈上了新台阶，站在了新起点，进入了新阶段，面临着新机遇、新任务、新要求。</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eastAsia="仿宋_GB2312"/>
          <w:snapToGrid w:val="0"/>
          <w:color w:val="000000"/>
          <w:kern w:val="0"/>
          <w:sz w:val="32"/>
          <w:szCs w:val="32"/>
        </w:rPr>
      </w:pPr>
      <w:r>
        <w:rPr>
          <w:rFonts w:hint="eastAsia" w:eastAsia="仿宋_GB2312"/>
          <w:b/>
          <w:bCs/>
          <w:snapToGrid w:val="0"/>
          <w:color w:val="000000"/>
          <w:kern w:val="0"/>
          <w:sz w:val="32"/>
          <w:szCs w:val="32"/>
        </w:rPr>
        <w:t>从机遇条件来看</w:t>
      </w:r>
      <w:r>
        <w:rPr>
          <w:rFonts w:hint="eastAsia" w:eastAsia="仿宋_GB2312"/>
          <w:snapToGrid w:val="0"/>
          <w:color w:val="000000"/>
          <w:kern w:val="0"/>
          <w:sz w:val="32"/>
          <w:szCs w:val="32"/>
        </w:rPr>
        <w:t>，中央提出创新、协调、绿色、开放、共享五大发展理念，国家深入实施新一轮西部大开发战略，加大秦巴山片区、川陕革命老区振兴发展和脱贫攻坚力度，支持丹江口库区及上游地区经济社会发展</w:t>
      </w:r>
      <w:r>
        <w:rPr>
          <w:rFonts w:hint="eastAsia" w:eastAsia="仿宋_GB2312"/>
          <w:snapToGrid w:val="0"/>
          <w:color w:val="000000"/>
          <w:kern w:val="0"/>
          <w:sz w:val="32"/>
          <w:szCs w:val="32"/>
          <w:lang w:eastAsia="zh-CN"/>
        </w:rPr>
        <w:t>，支持安康建设国家高新区和政策性金融扶贫试验示范区</w:t>
      </w:r>
      <w:r>
        <w:rPr>
          <w:rFonts w:hint="eastAsia" w:eastAsia="仿宋_GB2312"/>
          <w:snapToGrid w:val="0"/>
          <w:color w:val="000000"/>
          <w:kern w:val="0"/>
          <w:sz w:val="32"/>
          <w:szCs w:val="32"/>
        </w:rPr>
        <w:t>。省委</w:t>
      </w:r>
      <w:r>
        <w:rPr>
          <w:rFonts w:hint="eastAsia" w:eastAsia="仿宋_GB2312"/>
          <w:snapToGrid w:val="0"/>
          <w:color w:val="000000"/>
          <w:kern w:val="0"/>
          <w:sz w:val="32"/>
          <w:szCs w:val="32"/>
          <w:lang w:eastAsia="zh-CN"/>
        </w:rPr>
        <w:t>、</w:t>
      </w:r>
      <w:r>
        <w:rPr>
          <w:rFonts w:hint="eastAsia" w:eastAsia="仿宋_GB2312"/>
          <w:snapToGrid w:val="0"/>
          <w:color w:val="000000"/>
          <w:kern w:val="0"/>
          <w:sz w:val="32"/>
          <w:szCs w:val="32"/>
        </w:rPr>
        <w:t>省政府加快陕南绿色循环发展和陕南避灾移民搬迁，支持</w:t>
      </w:r>
      <w:r>
        <w:rPr>
          <w:rFonts w:hint="eastAsia" w:eastAsia="仿宋_GB2312"/>
          <w:snapToGrid w:val="0"/>
          <w:color w:val="000000"/>
          <w:kern w:val="0"/>
          <w:sz w:val="32"/>
          <w:szCs w:val="32"/>
          <w:lang w:eastAsia="zh-CN"/>
        </w:rPr>
        <w:t>安康</w:t>
      </w:r>
      <w:r>
        <w:rPr>
          <w:rFonts w:hint="eastAsia" w:eastAsia="仿宋_GB2312"/>
          <w:snapToGrid w:val="0"/>
          <w:color w:val="000000"/>
          <w:kern w:val="0"/>
          <w:sz w:val="32"/>
          <w:szCs w:val="32"/>
        </w:rPr>
        <w:t>国家主体功能区建设试点示范和深化农村改革试点，为我市加快发展、追赶超越创造了有利条件。安康未来发展高度契合了“五大发展”理念和中省的战略重点。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eastAsia="仿宋_GB2312"/>
          <w:snapToGrid w:val="0"/>
          <w:color w:val="000000"/>
          <w:kern w:val="0"/>
          <w:sz w:val="32"/>
          <w:szCs w:val="32"/>
        </w:rPr>
      </w:pPr>
      <w:r>
        <w:rPr>
          <w:rFonts w:hint="eastAsia" w:eastAsia="仿宋_GB2312"/>
          <w:b/>
          <w:bCs/>
          <w:snapToGrid w:val="0"/>
          <w:color w:val="000000"/>
          <w:kern w:val="0"/>
          <w:sz w:val="32"/>
          <w:szCs w:val="32"/>
        </w:rPr>
        <w:t>从发展阶段来看，</w:t>
      </w:r>
      <w:r>
        <w:rPr>
          <w:rFonts w:hint="eastAsia" w:eastAsia="仿宋_GB2312"/>
          <w:snapToGrid w:val="0"/>
          <w:color w:val="000000"/>
          <w:kern w:val="0"/>
          <w:sz w:val="32"/>
          <w:szCs w:val="32"/>
        </w:rPr>
        <w:t>经过多年不懈努力，我市成功探索出了一条具有安康特色的区域经济发展路子，经济社会发展步入了快车道，进入了工业化、城镇化快速推进阶段，势能不断集聚，潜能加速释放，有基础、有能力在新常态下保持较快增长，在新起点上实现跨越发展。</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eastAsia="仿宋_GB2312"/>
          <w:snapToGrid w:val="0"/>
          <w:color w:val="000000"/>
          <w:kern w:val="0"/>
          <w:sz w:val="32"/>
          <w:szCs w:val="32"/>
        </w:rPr>
      </w:pPr>
      <w:r>
        <w:rPr>
          <w:rFonts w:hint="eastAsia" w:eastAsia="仿宋_GB2312"/>
          <w:b/>
          <w:bCs/>
          <w:snapToGrid w:val="0"/>
          <w:color w:val="000000"/>
          <w:kern w:val="0"/>
          <w:sz w:val="32"/>
          <w:szCs w:val="32"/>
        </w:rPr>
        <w:t>从任务要求来看，</w:t>
      </w:r>
      <w:r>
        <w:rPr>
          <w:rFonts w:hint="eastAsia" w:eastAsia="仿宋_GB2312"/>
          <w:snapToGrid w:val="0"/>
          <w:color w:val="000000"/>
          <w:kern w:val="0"/>
          <w:sz w:val="32"/>
          <w:szCs w:val="32"/>
        </w:rPr>
        <w:t>我市</w:t>
      </w:r>
      <w:r>
        <w:rPr>
          <w:rFonts w:hint="eastAsia" w:eastAsia="仿宋_GB2312"/>
          <w:snapToGrid w:val="0"/>
          <w:color w:val="000000"/>
          <w:kern w:val="0"/>
          <w:sz w:val="32"/>
          <w:szCs w:val="32"/>
          <w:lang w:eastAsia="zh-CN"/>
        </w:rPr>
        <w:t>位于</w:t>
      </w:r>
      <w:r>
        <w:rPr>
          <w:rFonts w:hint="eastAsia" w:eastAsia="仿宋_GB2312"/>
          <w:snapToGrid w:val="0"/>
          <w:color w:val="000000"/>
          <w:kern w:val="0"/>
          <w:sz w:val="32"/>
          <w:szCs w:val="32"/>
        </w:rPr>
        <w:t>两大经济带、三大经济区和四省市的结合部，肩负着推进国家主体功能区建设和全国发展改革试点、建设国家生态安全屏障、确保一泓清水永续北送、构建区域综合交通枢纽和物流中心、打造“秦巴明珠”、建设美丽富裕新安康等不同层面的重大使命，在中省发展全局中的地位更加突出、任务更加艰巨。</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eastAsia="仿宋_GB2312"/>
          <w:snapToGrid w:val="0"/>
          <w:color w:val="000000"/>
          <w:kern w:val="0"/>
          <w:sz w:val="32"/>
          <w:szCs w:val="32"/>
        </w:rPr>
      </w:pPr>
      <w:r>
        <w:rPr>
          <w:rFonts w:hint="eastAsia" w:eastAsia="仿宋_GB2312"/>
          <w:b/>
          <w:bCs/>
          <w:snapToGrid w:val="0"/>
          <w:color w:val="000000"/>
          <w:kern w:val="0"/>
          <w:sz w:val="32"/>
          <w:szCs w:val="32"/>
        </w:rPr>
        <w:t>从自身优势来看，</w:t>
      </w:r>
      <w:r>
        <w:rPr>
          <w:rFonts w:hint="eastAsia" w:eastAsia="仿宋_GB2312"/>
          <w:bCs/>
          <w:snapToGrid w:val="0"/>
          <w:color w:val="000000"/>
          <w:kern w:val="0"/>
          <w:sz w:val="32"/>
          <w:szCs w:val="32"/>
        </w:rPr>
        <w:t>随着交通条件的进一步改善，</w:t>
      </w:r>
      <w:r>
        <w:rPr>
          <w:rFonts w:hint="eastAsia" w:eastAsia="仿宋_GB2312"/>
          <w:snapToGrid w:val="0"/>
          <w:color w:val="000000"/>
          <w:kern w:val="0"/>
          <w:sz w:val="32"/>
          <w:szCs w:val="32"/>
        </w:rPr>
        <w:t>交通瓶颈制约正在转化为发展优势，安康有条件融入到全国、全省发展大局，开放发展其势已成、其时已至。我市丰裕独特的</w:t>
      </w:r>
      <w:r>
        <w:rPr>
          <w:rFonts w:hint="eastAsia" w:eastAsia="仿宋_GB2312"/>
          <w:snapToGrid w:val="0"/>
          <w:color w:val="000000"/>
          <w:kern w:val="0"/>
          <w:sz w:val="32"/>
          <w:szCs w:val="32"/>
          <w:lang w:eastAsia="zh-CN"/>
        </w:rPr>
        <w:t>绿色</w:t>
      </w:r>
      <w:r>
        <w:rPr>
          <w:rFonts w:hint="eastAsia" w:eastAsia="仿宋_GB2312"/>
          <w:snapToGrid w:val="0"/>
          <w:color w:val="000000"/>
          <w:kern w:val="0"/>
          <w:sz w:val="32"/>
          <w:szCs w:val="32"/>
        </w:rPr>
        <w:t>生态资源禀赋</w:t>
      </w:r>
      <w:r>
        <w:rPr>
          <w:rFonts w:hint="eastAsia" w:eastAsia="仿宋_GB2312"/>
          <w:snapToGrid w:val="0"/>
          <w:color w:val="000000"/>
          <w:kern w:val="0"/>
          <w:sz w:val="32"/>
          <w:szCs w:val="32"/>
          <w:lang w:eastAsia="zh-CN"/>
        </w:rPr>
        <w:t>是最大的比较优势，</w:t>
      </w:r>
      <w:r>
        <w:rPr>
          <w:rFonts w:hint="eastAsia" w:eastAsia="仿宋_GB2312"/>
          <w:snapToGrid w:val="0"/>
          <w:color w:val="000000"/>
          <w:kern w:val="0"/>
          <w:sz w:val="32"/>
          <w:szCs w:val="32"/>
        </w:rPr>
        <w:t>在未来发展中更具</w:t>
      </w:r>
      <w:r>
        <w:rPr>
          <w:rFonts w:hint="eastAsia" w:eastAsia="仿宋_GB2312"/>
          <w:snapToGrid w:val="0"/>
          <w:color w:val="000000"/>
          <w:kern w:val="0"/>
          <w:sz w:val="32"/>
          <w:szCs w:val="32"/>
          <w:lang w:eastAsia="zh-CN"/>
        </w:rPr>
        <w:t>潜在</w:t>
      </w:r>
      <w:r>
        <w:rPr>
          <w:rFonts w:hint="eastAsia" w:eastAsia="仿宋_GB2312"/>
          <w:snapToGrid w:val="0"/>
          <w:color w:val="000000"/>
          <w:kern w:val="0"/>
          <w:sz w:val="32"/>
          <w:szCs w:val="32"/>
        </w:rPr>
        <w:t>竞争力</w:t>
      </w:r>
      <w:r>
        <w:rPr>
          <w:rFonts w:hint="eastAsia" w:eastAsia="仿宋_GB2312"/>
          <w:snapToGrid w:val="0"/>
          <w:color w:val="000000"/>
          <w:kern w:val="0"/>
          <w:sz w:val="32"/>
          <w:szCs w:val="32"/>
          <w:lang w:eastAsia="zh-CN"/>
        </w:rPr>
        <w:t>。</w:t>
      </w:r>
      <w:r>
        <w:rPr>
          <w:rFonts w:hint="eastAsia" w:eastAsia="仿宋_GB2312"/>
          <w:snapToGrid w:val="0"/>
          <w:color w:val="000000"/>
          <w:kern w:val="0"/>
          <w:sz w:val="32"/>
          <w:szCs w:val="32"/>
        </w:rPr>
        <w:t>让城乡因环境而美、让群众因生态而富的发展路径日益清晰</w:t>
      </w:r>
      <w:r>
        <w:rPr>
          <w:rFonts w:hint="eastAsia" w:eastAsia="仿宋_GB2312"/>
          <w:snapToGrid w:val="0"/>
          <w:color w:val="000000"/>
          <w:kern w:val="0"/>
          <w:sz w:val="32"/>
          <w:szCs w:val="32"/>
          <w:lang w:eastAsia="zh-CN"/>
        </w:rPr>
        <w:t>，</w:t>
      </w:r>
      <w:r>
        <w:rPr>
          <w:rFonts w:hint="eastAsia" w:eastAsia="仿宋_GB2312"/>
          <w:snapToGrid w:val="0"/>
          <w:color w:val="000000"/>
          <w:kern w:val="0"/>
          <w:sz w:val="32"/>
          <w:szCs w:val="32"/>
        </w:rPr>
        <w:t>全市上下干事创业、勇于赶超、争创一流形成共识，将汇聚起加快发展的强劲动力。</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eastAsia="仿宋_GB2312"/>
          <w:snapToGrid w:val="0"/>
          <w:color w:val="000000"/>
          <w:kern w:val="0"/>
          <w:sz w:val="32"/>
          <w:szCs w:val="32"/>
        </w:rPr>
      </w:pPr>
      <w:r>
        <w:rPr>
          <w:rFonts w:hint="eastAsia" w:eastAsia="仿宋_GB2312"/>
          <w:snapToGrid w:val="0"/>
          <w:color w:val="000000"/>
          <w:kern w:val="0"/>
          <w:sz w:val="32"/>
          <w:szCs w:val="32"/>
        </w:rPr>
        <w:t>但是，我们必须清醒地看到，当前安康的发展与人民群众的期盼</w:t>
      </w:r>
      <w:r>
        <w:rPr>
          <w:rFonts w:hint="eastAsia" w:eastAsia="仿宋_GB2312"/>
          <w:snapToGrid w:val="0"/>
          <w:color w:val="000000"/>
          <w:kern w:val="0"/>
          <w:sz w:val="32"/>
          <w:szCs w:val="32"/>
          <w:lang w:eastAsia="zh-CN"/>
        </w:rPr>
        <w:t>和</w:t>
      </w:r>
      <w:r>
        <w:rPr>
          <w:rFonts w:hint="eastAsia" w:eastAsia="仿宋_GB2312"/>
          <w:snapToGrid w:val="0"/>
          <w:color w:val="000000"/>
          <w:kern w:val="0"/>
          <w:sz w:val="32"/>
          <w:szCs w:val="32"/>
        </w:rPr>
        <w:t>省委</w:t>
      </w:r>
      <w:r>
        <w:rPr>
          <w:rFonts w:hint="eastAsia" w:eastAsia="仿宋_GB2312"/>
          <w:snapToGrid w:val="0"/>
          <w:color w:val="000000"/>
          <w:kern w:val="0"/>
          <w:sz w:val="32"/>
          <w:szCs w:val="32"/>
          <w:lang w:eastAsia="zh-CN"/>
        </w:rPr>
        <w:t>、</w:t>
      </w:r>
      <w:r>
        <w:rPr>
          <w:rFonts w:hint="eastAsia" w:eastAsia="仿宋_GB2312"/>
          <w:snapToGrid w:val="0"/>
          <w:color w:val="000000"/>
          <w:kern w:val="0"/>
          <w:sz w:val="32"/>
          <w:szCs w:val="32"/>
        </w:rPr>
        <w:t>省政府的要求还有差距。主要是：经济总量小、产业层次低、结构不合理，资金、土地、人才、资源、环境等要素制约突出；发展方式粗放，结构调整进入倒逼阶段，多元支撑的产业格局尚未形成；创新潜能释放不足，要素市场有待完善，市场主体活力不强；全面小康短板不少，居民增收渠道狭窄，脱贫攻坚任务艰巨；思想解放程度不够，对外开放水平不高，投资环境仍需改善。总之，欠发达是基本市情，发展不足是突出矛盾，</w:t>
      </w:r>
      <w:r>
        <w:rPr>
          <w:rFonts w:hint="eastAsia" w:eastAsia="仿宋_GB2312"/>
          <w:snapToGrid w:val="0"/>
          <w:color w:val="000000"/>
          <w:kern w:val="0"/>
          <w:sz w:val="32"/>
          <w:szCs w:val="32"/>
          <w:lang w:eastAsia="zh-CN"/>
        </w:rPr>
        <w:t>群众增收是最大愿望，</w:t>
      </w:r>
      <w:r>
        <w:rPr>
          <w:rFonts w:hint="eastAsia" w:eastAsia="仿宋_GB2312"/>
          <w:snapToGrid w:val="0"/>
          <w:color w:val="000000"/>
          <w:kern w:val="0"/>
          <w:sz w:val="32"/>
          <w:szCs w:val="32"/>
        </w:rPr>
        <w:t>加快发展是主要任务。对此，我们必须增强忧患意识、责任意识、担当意识，</w:t>
      </w:r>
      <w:r>
        <w:rPr>
          <w:rFonts w:hint="eastAsia" w:eastAsia="仿宋_GB2312"/>
          <w:snapToGrid w:val="0"/>
          <w:color w:val="000000"/>
          <w:kern w:val="0"/>
          <w:sz w:val="32"/>
          <w:szCs w:val="32"/>
          <w:lang w:eastAsia="zh-CN"/>
        </w:rPr>
        <w:t>有所为有所不为，扬长避短、后发赶超，</w:t>
      </w:r>
      <w:r>
        <w:rPr>
          <w:rFonts w:hint="eastAsia" w:eastAsia="仿宋_GB2312"/>
          <w:snapToGrid w:val="0"/>
          <w:color w:val="000000"/>
          <w:kern w:val="0"/>
          <w:sz w:val="32"/>
          <w:szCs w:val="32"/>
        </w:rPr>
        <w:t>着力在扩大总量、优化结构、增强动力、化解矛盾、补齐短板上取得突破性进展。</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eastAsia="仿宋_GB2312"/>
          <w:snapToGrid w:val="0"/>
          <w:color w:val="000000"/>
          <w:kern w:val="0"/>
          <w:sz w:val="32"/>
          <w:szCs w:val="32"/>
        </w:rPr>
      </w:pPr>
      <w:r>
        <w:rPr>
          <w:rFonts w:hint="eastAsia" w:eastAsia="仿宋_GB2312"/>
          <w:snapToGrid w:val="0"/>
          <w:color w:val="000000"/>
          <w:kern w:val="0"/>
          <w:sz w:val="32"/>
          <w:szCs w:val="32"/>
        </w:rPr>
        <w:t>综合判断，</w:t>
      </w:r>
      <w:r>
        <w:rPr>
          <w:rFonts w:hint="eastAsia" w:eastAsia="仿宋_GB2312"/>
          <w:snapToGrid w:val="0"/>
          <w:color w:val="000000"/>
          <w:kern w:val="0"/>
          <w:sz w:val="32"/>
          <w:szCs w:val="32"/>
          <w:lang w:eastAsia="zh-CN"/>
        </w:rPr>
        <w:t>“十三五”时期是安康机遇最好、任务最重、压力最大的时期，</w:t>
      </w:r>
      <w:r>
        <w:rPr>
          <w:rFonts w:hint="eastAsia" w:eastAsia="仿宋_GB2312"/>
          <w:snapToGrid w:val="0"/>
          <w:color w:val="000000"/>
          <w:kern w:val="0"/>
          <w:sz w:val="32"/>
          <w:szCs w:val="32"/>
        </w:rPr>
        <w:t>时和势总体上于我有利，安康发展仍处于大有作为的重要战略机遇期，也面临诸多矛盾叠加、风险隐患增多的严峻挑战。我们要准确把握战略机遇期内涵的深刻变化，更加有效地应对各种风险和挑战，集中力量把自己的事情办好，不断开拓发展新境界，在新起点上实现追赶超越，与全国</w:t>
      </w:r>
      <w:r>
        <w:rPr>
          <w:rFonts w:hint="eastAsia" w:eastAsia="仿宋_GB2312"/>
          <w:snapToGrid w:val="0"/>
          <w:color w:val="000000"/>
          <w:kern w:val="0"/>
          <w:sz w:val="32"/>
          <w:szCs w:val="32"/>
          <w:lang w:eastAsia="zh-CN"/>
        </w:rPr>
        <w:t>、</w:t>
      </w:r>
      <w:r>
        <w:rPr>
          <w:rFonts w:hint="eastAsia" w:eastAsia="仿宋_GB2312"/>
          <w:snapToGrid w:val="0"/>
          <w:color w:val="000000"/>
          <w:kern w:val="0"/>
          <w:sz w:val="32"/>
          <w:szCs w:val="32"/>
        </w:rPr>
        <w:t>全省同步够格全面建成小康社会。</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eastAsia="仿宋_GB2312"/>
          <w:snapToGrid w:val="0"/>
          <w:color w:val="000000"/>
          <w:kern w:val="0"/>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1"/>
        <w:rPr>
          <w:rFonts w:eastAsia="黑体"/>
          <w:bCs/>
          <w:snapToGrid w:val="0"/>
          <w:color w:val="000000"/>
          <w:spacing w:val="6"/>
          <w:kern w:val="0"/>
          <w:sz w:val="32"/>
          <w:szCs w:val="32"/>
        </w:rPr>
      </w:pPr>
      <w:bookmarkStart w:id="6" w:name="_Toc17794"/>
      <w:bookmarkStart w:id="7" w:name="_Toc436739613"/>
      <w:r>
        <w:rPr>
          <w:rFonts w:hint="eastAsia" w:eastAsia="黑体"/>
          <w:bCs/>
          <w:snapToGrid w:val="0"/>
          <w:color w:val="000000"/>
          <w:spacing w:val="6"/>
          <w:kern w:val="0"/>
          <w:sz w:val="32"/>
          <w:szCs w:val="32"/>
        </w:rPr>
        <w:t>第三节</w:t>
      </w:r>
      <w:r>
        <w:rPr>
          <w:rFonts w:hint="eastAsia" w:eastAsia="黑体"/>
          <w:bCs/>
          <w:snapToGrid w:val="0"/>
          <w:color w:val="000000"/>
          <w:spacing w:val="6"/>
          <w:kern w:val="0"/>
          <w:sz w:val="32"/>
          <w:szCs w:val="32"/>
          <w:lang w:val="en-US" w:eastAsia="zh-CN"/>
        </w:rPr>
        <w:t xml:space="preserve">  </w:t>
      </w:r>
      <w:r>
        <w:rPr>
          <w:rFonts w:hint="eastAsia" w:eastAsia="黑体"/>
          <w:bCs/>
          <w:snapToGrid w:val="0"/>
          <w:color w:val="000000"/>
          <w:spacing w:val="6"/>
          <w:kern w:val="0"/>
          <w:sz w:val="32"/>
          <w:szCs w:val="32"/>
        </w:rPr>
        <w:t>总体要求</w:t>
      </w:r>
      <w:bookmarkEnd w:id="6"/>
      <w:bookmarkEnd w:id="7"/>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eastAsia="仿宋_GB2312" w:cs="仿宋_GB2312"/>
          <w:snapToGrid w:val="0"/>
          <w:color w:val="000000"/>
          <w:kern w:val="0"/>
          <w:sz w:val="32"/>
          <w:szCs w:val="32"/>
        </w:rPr>
      </w:pPr>
      <w:r>
        <w:rPr>
          <w:rFonts w:hint="eastAsia" w:eastAsia="仿宋_GB2312" w:cs="仿宋_GB2312"/>
          <w:snapToGrid w:val="0"/>
          <w:color w:val="000000"/>
          <w:kern w:val="0"/>
          <w:sz w:val="32"/>
          <w:szCs w:val="32"/>
        </w:rPr>
        <w:t>站在新起点、谋划新发展，全市上下要做到“四个聚焦”，即聚焦“四个全面”战略布局，聚焦“五大发展”新理念，聚焦中省领导的要求和期望，聚焦同步够格全面建成小康社会，以新的理念标定工作基点、转变方式方法、推动实际工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eastAsia="仿宋_GB2312" w:cs="仿宋_GB2312"/>
          <w:snapToGrid w:val="0"/>
          <w:color w:val="000000"/>
          <w:kern w:val="0"/>
          <w:sz w:val="32"/>
          <w:szCs w:val="32"/>
        </w:rPr>
      </w:pPr>
      <w:r>
        <w:rPr>
          <w:rFonts w:hint="eastAsia" w:eastAsia="仿宋_GB2312"/>
          <w:snapToGrid w:val="0"/>
          <w:color w:val="000000"/>
          <w:kern w:val="0"/>
          <w:sz w:val="32"/>
          <w:szCs w:val="32"/>
          <w:lang w:eastAsia="zh-CN"/>
        </w:rPr>
        <w:t>全</w:t>
      </w:r>
      <w:r>
        <w:rPr>
          <w:rFonts w:hint="eastAsia" w:eastAsia="仿宋_GB2312"/>
          <w:snapToGrid w:val="0"/>
          <w:color w:val="000000"/>
          <w:kern w:val="0"/>
          <w:sz w:val="32"/>
          <w:szCs w:val="32"/>
        </w:rPr>
        <w:t>市“十三五”经济社会发展，</w:t>
      </w:r>
      <w:r>
        <w:rPr>
          <w:rFonts w:hint="eastAsia" w:eastAsia="仿宋_GB2312" w:cs="仿宋_GB2312"/>
          <w:b/>
          <w:bCs/>
          <w:snapToGrid w:val="0"/>
          <w:color w:val="000000"/>
          <w:kern w:val="0"/>
          <w:sz w:val="32"/>
          <w:szCs w:val="32"/>
        </w:rPr>
        <w:t>要高举中国特色社会主义伟大旗帜，以马列主义、毛泽东思想、邓小平理论、“三个代表”重要思想、科学发展观为指导，深入贯彻习近平总书记系列重要讲话和李克强总理安康调研指示精神，按照“四个全面”战略布局，落实“五大发展”理念，坚持“走民生为本的循环发展之路</w:t>
      </w:r>
      <w:r>
        <w:rPr>
          <w:rFonts w:hint="eastAsia" w:eastAsia="仿宋_GB2312" w:cs="仿宋_GB2312"/>
          <w:b/>
          <w:bCs/>
          <w:snapToGrid w:val="0"/>
          <w:color w:val="000000"/>
          <w:kern w:val="0"/>
          <w:sz w:val="32"/>
          <w:szCs w:val="32"/>
          <w:lang w:eastAsia="zh-CN"/>
        </w:rPr>
        <w:t>、</w:t>
      </w:r>
      <w:r>
        <w:rPr>
          <w:rFonts w:hint="eastAsia" w:eastAsia="仿宋_GB2312" w:cs="仿宋_GB2312"/>
          <w:b/>
          <w:bCs/>
          <w:snapToGrid w:val="0"/>
          <w:color w:val="000000"/>
          <w:kern w:val="0"/>
          <w:sz w:val="32"/>
          <w:szCs w:val="32"/>
        </w:rPr>
        <w:t>建设美丽富裕新安康”发展思路，以“追赶超越、富民兴安”为核心，围绕“发展升级、绿色崛起”主线，突出精准脱贫攻坚、循环产业发展、基础设施建设、民生保障改善和生态环境保护，协同推进新型工业化、新型城镇化、农业现代化、信息化和绿色化进程，走出一条生态建设与经济发展协同推进新路子，打造美丽富裕新安康“升级版”，同步够格全面建成小康社会。</w:t>
      </w:r>
      <w:r>
        <w:rPr>
          <w:rFonts w:hint="eastAsia" w:eastAsia="仿宋_GB2312" w:cs="仿宋_GB2312"/>
          <w:snapToGrid w:val="0"/>
          <w:color w:val="000000"/>
          <w:kern w:val="0"/>
          <w:sz w:val="32"/>
          <w:szCs w:val="32"/>
        </w:rPr>
        <w:br w:type="textWrapping"/>
      </w:r>
      <w:r>
        <w:rPr>
          <w:rFonts w:hint="eastAsia" w:ascii="仿宋_GB2312" w:hAnsi="宋体" w:eastAsia="仿宋_GB2312"/>
          <w:sz w:val="32"/>
          <w:szCs w:val="32"/>
          <w:lang w:val="en-US" w:eastAsia="zh-CN"/>
        </w:rPr>
        <w:t xml:space="preserve">   </w:t>
      </w:r>
      <w:r>
        <w:rPr>
          <w:rFonts w:hint="eastAsia" w:eastAsia="仿宋_GB2312" w:cs="仿宋_GB2312"/>
          <w:snapToGrid w:val="0"/>
          <w:color w:val="000000"/>
          <w:kern w:val="0"/>
          <w:sz w:val="32"/>
          <w:szCs w:val="32"/>
        </w:rPr>
        <w:t>“十三五”发展必须遵循以下原则：</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eastAsia="仿宋_GB2312"/>
          <w:snapToGrid w:val="0"/>
          <w:color w:val="000000"/>
          <w:kern w:val="0"/>
          <w:sz w:val="32"/>
          <w:szCs w:val="32"/>
        </w:rPr>
      </w:pPr>
      <w:r>
        <w:rPr>
          <w:rFonts w:hint="eastAsia" w:eastAsia="仿宋_GB2312"/>
          <w:b/>
          <w:snapToGrid w:val="0"/>
          <w:color w:val="000000"/>
          <w:kern w:val="0"/>
          <w:sz w:val="32"/>
          <w:szCs w:val="32"/>
        </w:rPr>
        <w:t>坚持把创新作为引领发展的第一动力。</w:t>
      </w:r>
      <w:r>
        <w:rPr>
          <w:rFonts w:hint="eastAsia" w:eastAsia="仿宋_GB2312"/>
          <w:snapToGrid w:val="0"/>
          <w:color w:val="000000"/>
          <w:kern w:val="0"/>
          <w:sz w:val="32"/>
          <w:szCs w:val="32"/>
        </w:rPr>
        <w:t>树立抓创新就是抓发展、谋创新就是谋未来的理念，把创新作为解决深层次矛盾和问题的根本出路，充分激发调动全社会的创新激情，着力推进科技创新、管理创新、制度创新，加快形成以创新为支撑引领的体制机制和发展模式。</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eastAsia="仿宋_GB2312"/>
          <w:snapToGrid w:val="0"/>
          <w:color w:val="000000"/>
          <w:kern w:val="0"/>
          <w:sz w:val="32"/>
          <w:szCs w:val="32"/>
        </w:rPr>
      </w:pPr>
      <w:r>
        <w:rPr>
          <w:rFonts w:hint="eastAsia" w:eastAsia="仿宋_GB2312"/>
          <w:b/>
          <w:snapToGrid w:val="0"/>
          <w:color w:val="000000"/>
          <w:kern w:val="0"/>
          <w:sz w:val="32"/>
          <w:szCs w:val="32"/>
        </w:rPr>
        <w:t>坚持把协调作为持续健康发展的内在要求。</w:t>
      </w:r>
      <w:r>
        <w:rPr>
          <w:rFonts w:hint="eastAsia" w:eastAsia="仿宋_GB2312"/>
          <w:snapToGrid w:val="0"/>
          <w:color w:val="000000"/>
          <w:kern w:val="0"/>
          <w:sz w:val="32"/>
          <w:szCs w:val="32"/>
        </w:rPr>
        <w:t>更加注重发展的整体性、系统性，坚持因地制宜、“五化”同步，加大统筹城乡和脱贫攻坚力度，改善薄弱环节，增强发展后劲，着力构建城乡一体、区域协调、产城融合的经济社会发展新格局。</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eastAsia="仿宋_GB2312"/>
          <w:snapToGrid w:val="0"/>
          <w:color w:val="000000"/>
          <w:kern w:val="0"/>
          <w:sz w:val="32"/>
          <w:szCs w:val="32"/>
        </w:rPr>
      </w:pPr>
      <w:r>
        <w:rPr>
          <w:rFonts w:hint="eastAsia" w:eastAsia="仿宋_GB2312"/>
          <w:b/>
          <w:snapToGrid w:val="0"/>
          <w:color w:val="000000"/>
          <w:kern w:val="0"/>
          <w:sz w:val="32"/>
          <w:szCs w:val="32"/>
        </w:rPr>
        <w:t>坚持把绿色作为永续发展的必要条件。</w:t>
      </w:r>
      <w:r>
        <w:rPr>
          <w:rFonts w:hint="eastAsia" w:eastAsia="仿宋_GB2312"/>
          <w:snapToGrid w:val="0"/>
          <w:color w:val="000000"/>
          <w:kern w:val="0"/>
          <w:sz w:val="32"/>
          <w:szCs w:val="32"/>
        </w:rPr>
        <w:t>尊重自然、顺应自然、保护自然，把绿色化贯穿到经济社会发展各方面和全过程，加快生产方式转型，促进消费</w:t>
      </w:r>
      <w:r>
        <w:rPr>
          <w:rFonts w:hint="eastAsia" w:eastAsia="仿宋_GB2312"/>
          <w:snapToGrid w:val="0"/>
          <w:color w:val="000000"/>
          <w:kern w:val="0"/>
          <w:sz w:val="32"/>
          <w:szCs w:val="32"/>
          <w:lang w:eastAsia="zh-CN"/>
        </w:rPr>
        <w:t>结构</w:t>
      </w:r>
      <w:r>
        <w:rPr>
          <w:rFonts w:hint="eastAsia" w:eastAsia="仿宋_GB2312"/>
          <w:snapToGrid w:val="0"/>
          <w:color w:val="000000"/>
          <w:kern w:val="0"/>
          <w:sz w:val="32"/>
          <w:szCs w:val="32"/>
        </w:rPr>
        <w:t>升级</w:t>
      </w:r>
      <w:r>
        <w:rPr>
          <w:rFonts w:hint="eastAsia" w:eastAsia="仿宋_GB2312"/>
          <w:snapToGrid w:val="0"/>
          <w:color w:val="000000"/>
          <w:kern w:val="0"/>
          <w:sz w:val="32"/>
          <w:szCs w:val="32"/>
          <w:lang w:eastAsia="zh-CN"/>
        </w:rPr>
        <w:t>。</w:t>
      </w:r>
      <w:r>
        <w:rPr>
          <w:rFonts w:hint="eastAsia" w:eastAsia="仿宋_GB2312"/>
          <w:snapToGrid w:val="0"/>
          <w:color w:val="000000"/>
          <w:kern w:val="0"/>
          <w:sz w:val="32"/>
          <w:szCs w:val="32"/>
        </w:rPr>
        <w:t>坚持保护优先，加强生态环境治理，更加自觉地推动绿色、低碳、循环发展，实现经济社会发展与生态环境保护的互利共赢。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eastAsia="仿宋_GB2312"/>
          <w:snapToGrid w:val="0"/>
          <w:color w:val="000000"/>
          <w:kern w:val="0"/>
          <w:sz w:val="32"/>
          <w:szCs w:val="32"/>
        </w:rPr>
      </w:pPr>
      <w:r>
        <w:rPr>
          <w:rFonts w:hint="eastAsia" w:eastAsia="仿宋_GB2312"/>
          <w:b/>
          <w:snapToGrid w:val="0"/>
          <w:color w:val="000000"/>
          <w:kern w:val="0"/>
          <w:sz w:val="32"/>
          <w:szCs w:val="32"/>
        </w:rPr>
        <w:t>坚持把开放作为繁荣发展的必由之路。</w:t>
      </w:r>
      <w:r>
        <w:rPr>
          <w:rFonts w:hint="eastAsia" w:eastAsia="仿宋_GB2312"/>
          <w:snapToGrid w:val="0"/>
          <w:color w:val="000000"/>
          <w:kern w:val="0"/>
          <w:sz w:val="32"/>
          <w:szCs w:val="32"/>
        </w:rPr>
        <w:t>顺应我市经济深度融入全省、全国乃至全球经济的趋势，积极应对外部环境变化，坚持引进来和走出去并重、引资和引技引智并举，发挥区域经济社会发展联动效应，发展更高层次的开放型经济，在大开放中释放发展活力、提升发展水平。</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eastAsia="仿宋_GB2312"/>
          <w:snapToGrid w:val="0"/>
          <w:color w:val="000000"/>
          <w:kern w:val="0"/>
          <w:sz w:val="32"/>
          <w:szCs w:val="32"/>
        </w:rPr>
      </w:pPr>
      <w:r>
        <w:rPr>
          <w:rFonts w:hint="eastAsia" w:eastAsia="仿宋_GB2312"/>
          <w:b/>
          <w:snapToGrid w:val="0"/>
          <w:color w:val="000000"/>
          <w:kern w:val="0"/>
          <w:sz w:val="32"/>
          <w:szCs w:val="32"/>
        </w:rPr>
        <w:t>坚持把共享作为和谐发展的本质要求。</w:t>
      </w:r>
      <w:r>
        <w:rPr>
          <w:rFonts w:hint="eastAsia" w:eastAsia="仿宋_GB2312"/>
          <w:snapToGrid w:val="0"/>
          <w:color w:val="000000"/>
          <w:kern w:val="0"/>
          <w:sz w:val="32"/>
          <w:szCs w:val="32"/>
        </w:rPr>
        <w:t>坚持人人参与、人人尽力、人人享有，</w:t>
      </w:r>
      <w:r>
        <w:rPr>
          <w:rFonts w:hint="eastAsia" w:eastAsia="仿宋_GB2312"/>
          <w:snapToGrid w:val="0"/>
          <w:color w:val="000000"/>
          <w:kern w:val="0"/>
          <w:sz w:val="32"/>
          <w:szCs w:val="32"/>
          <w:lang w:eastAsia="zh-CN"/>
        </w:rPr>
        <w:t>着力</w:t>
      </w:r>
      <w:r>
        <w:rPr>
          <w:rFonts w:hint="eastAsia" w:eastAsia="仿宋_GB2312"/>
          <w:snapToGrid w:val="0"/>
          <w:color w:val="000000"/>
          <w:kern w:val="0"/>
          <w:sz w:val="32"/>
          <w:szCs w:val="32"/>
        </w:rPr>
        <w:t>营造公平公正的社会环境，</w:t>
      </w:r>
      <w:r>
        <w:rPr>
          <w:rFonts w:hint="eastAsia" w:eastAsia="仿宋_GB2312"/>
          <w:snapToGrid w:val="0"/>
          <w:color w:val="000000"/>
          <w:kern w:val="0"/>
          <w:sz w:val="32"/>
          <w:szCs w:val="32"/>
          <w:lang w:eastAsia="zh-CN"/>
        </w:rPr>
        <w:t>保障</w:t>
      </w:r>
      <w:r>
        <w:rPr>
          <w:rFonts w:hint="eastAsia" w:eastAsia="仿宋_GB2312"/>
          <w:snapToGrid w:val="0"/>
          <w:color w:val="000000"/>
          <w:kern w:val="0"/>
          <w:sz w:val="32"/>
          <w:szCs w:val="32"/>
        </w:rPr>
        <w:t>人民平等参与、平等发展权利，推动包容性、普惠性发展，推进基本公共服务均等化，使改革发展成果更多更公平地惠及全市人民。</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eastAsia="仿宋_GB2312"/>
          <w:snapToGrid w:val="0"/>
          <w:color w:val="000000"/>
          <w:kern w:val="0"/>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1"/>
        <w:rPr>
          <w:rFonts w:eastAsia="黑体"/>
          <w:bCs/>
          <w:snapToGrid w:val="0"/>
          <w:color w:val="000000"/>
          <w:spacing w:val="6"/>
          <w:kern w:val="0"/>
          <w:sz w:val="32"/>
          <w:szCs w:val="32"/>
        </w:rPr>
      </w:pPr>
      <w:bookmarkStart w:id="8" w:name="_Toc436739614"/>
      <w:bookmarkStart w:id="9" w:name="_Toc14211"/>
      <w:r>
        <w:rPr>
          <w:rFonts w:hint="eastAsia" w:eastAsia="黑体"/>
          <w:bCs/>
          <w:snapToGrid w:val="0"/>
          <w:color w:val="000000"/>
          <w:spacing w:val="6"/>
          <w:kern w:val="0"/>
          <w:sz w:val="32"/>
          <w:szCs w:val="32"/>
        </w:rPr>
        <w:t>第四节</w:t>
      </w:r>
      <w:r>
        <w:rPr>
          <w:rFonts w:hint="eastAsia" w:eastAsia="黑体"/>
          <w:bCs/>
          <w:snapToGrid w:val="0"/>
          <w:color w:val="000000"/>
          <w:spacing w:val="6"/>
          <w:kern w:val="0"/>
          <w:sz w:val="32"/>
          <w:szCs w:val="32"/>
          <w:lang w:val="en-US" w:eastAsia="zh-CN"/>
        </w:rPr>
        <w:t xml:space="preserve">  </w:t>
      </w:r>
      <w:r>
        <w:rPr>
          <w:rFonts w:hint="eastAsia" w:eastAsia="黑体"/>
          <w:bCs/>
          <w:snapToGrid w:val="0"/>
          <w:color w:val="000000"/>
          <w:spacing w:val="6"/>
          <w:kern w:val="0"/>
          <w:sz w:val="32"/>
          <w:szCs w:val="32"/>
        </w:rPr>
        <w:t>发展目标</w:t>
      </w:r>
      <w:bookmarkEnd w:id="8"/>
      <w:bookmarkEnd w:id="9"/>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sz w:val="32"/>
          <w:szCs w:val="32"/>
        </w:rPr>
      </w:pPr>
      <w:r>
        <w:rPr>
          <w:rFonts w:hint="eastAsia" w:eastAsia="仿宋_GB2312"/>
          <w:snapToGrid w:val="0"/>
          <w:color w:val="000000"/>
          <w:kern w:val="0"/>
          <w:sz w:val="32"/>
          <w:szCs w:val="32"/>
        </w:rPr>
        <w:t>立足现状补短板，发挥优势上台阶，围绕同步够格</w:t>
      </w:r>
      <w:r>
        <w:rPr>
          <w:rFonts w:hint="eastAsia" w:eastAsia="仿宋_GB2312"/>
          <w:snapToGrid w:val="0"/>
          <w:color w:val="000000"/>
          <w:kern w:val="0"/>
          <w:sz w:val="32"/>
          <w:szCs w:val="32"/>
          <w:lang w:eastAsia="zh-CN"/>
        </w:rPr>
        <w:t>全面</w:t>
      </w:r>
      <w:r>
        <w:rPr>
          <w:rFonts w:hint="eastAsia" w:eastAsia="仿宋_GB2312"/>
          <w:snapToGrid w:val="0"/>
          <w:color w:val="000000"/>
          <w:kern w:val="0"/>
          <w:sz w:val="32"/>
          <w:szCs w:val="32"/>
        </w:rPr>
        <w:t>建成小康社会，实现</w:t>
      </w:r>
      <w:r>
        <w:rPr>
          <w:rFonts w:hint="eastAsia" w:eastAsia="仿宋_GB2312"/>
          <w:b/>
          <w:bCs/>
          <w:snapToGrid w:val="0"/>
          <w:color w:val="000000"/>
          <w:kern w:val="0"/>
          <w:sz w:val="32"/>
          <w:szCs w:val="32"/>
        </w:rPr>
        <w:t>“一个统揽、两个领先、三个追赶、四个超越”</w:t>
      </w:r>
      <w:r>
        <w:rPr>
          <w:rFonts w:hint="eastAsia" w:eastAsia="仿宋_GB2312"/>
          <w:snapToGrid w:val="0"/>
          <w:color w:val="000000"/>
          <w:kern w:val="0"/>
          <w:sz w:val="32"/>
          <w:szCs w:val="32"/>
        </w:rPr>
        <w:t>，即：以脱贫攻坚统揽经济社会发展全局，实现生态环境建设、循环产业发展在全省领先，社会保障水平、科技创新能力、交通改善程度追赶全省，生产总值、固定资产投资、财政收入、城乡居民收入增长速度超越全省平均水平</w:t>
      </w:r>
      <w:r>
        <w:rPr>
          <w:rFonts w:hint="eastAsia" w:eastAsia="仿宋_GB2312"/>
          <w:snapToGrid w:val="0"/>
          <w:color w:val="000000"/>
          <w:kern w:val="0"/>
          <w:sz w:val="32"/>
          <w:szCs w:val="32"/>
          <w:lang w:eastAsia="zh-CN"/>
        </w:rPr>
        <w:t>。</w:t>
      </w:r>
      <w:r>
        <w:rPr>
          <w:rFonts w:hint="eastAsia" w:eastAsia="仿宋_GB2312"/>
          <w:snapToGrid w:val="0"/>
          <w:color w:val="000000"/>
          <w:kern w:val="0"/>
          <w:sz w:val="32"/>
          <w:szCs w:val="32"/>
        </w:rPr>
        <w:t>努力建成国家生态文明</w:t>
      </w:r>
      <w:r>
        <w:rPr>
          <w:rFonts w:hint="eastAsia" w:eastAsia="仿宋_GB2312"/>
          <w:snapToGrid w:val="0"/>
          <w:color w:val="000000"/>
          <w:kern w:val="0"/>
          <w:sz w:val="32"/>
          <w:szCs w:val="32"/>
          <w:lang w:eastAsia="zh-CN"/>
        </w:rPr>
        <w:t>综合改革试验区</w:t>
      </w:r>
      <w:r>
        <w:rPr>
          <w:rFonts w:hint="eastAsia" w:eastAsia="仿宋_GB2312"/>
          <w:snapToGrid w:val="0"/>
          <w:color w:val="000000"/>
          <w:kern w:val="0"/>
          <w:sz w:val="32"/>
          <w:szCs w:val="32"/>
        </w:rPr>
        <w:t>、国家富硒产业基地、国家全域旅游发展示范区、区域综合交通枢纽</w:t>
      </w:r>
      <w:r>
        <w:rPr>
          <w:rFonts w:hint="eastAsia" w:eastAsia="仿宋_GB2312"/>
          <w:snapToGrid w:val="0"/>
          <w:color w:val="000000"/>
          <w:kern w:val="0"/>
          <w:sz w:val="32"/>
          <w:szCs w:val="32"/>
          <w:lang w:eastAsia="zh-CN"/>
        </w:rPr>
        <w:t>和</w:t>
      </w:r>
      <w:r>
        <w:rPr>
          <w:rFonts w:hint="eastAsia" w:eastAsia="仿宋_GB2312"/>
          <w:snapToGrid w:val="0"/>
          <w:color w:val="000000"/>
          <w:kern w:val="0"/>
          <w:sz w:val="32"/>
          <w:szCs w:val="32"/>
        </w:rPr>
        <w:t>秦巴物流中心。</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snapToGrid w:val="0"/>
          <w:color w:val="000000"/>
          <w:kern w:val="0"/>
          <w:sz w:val="32"/>
          <w:szCs w:val="32"/>
        </w:rPr>
      </w:pPr>
      <w:r>
        <w:rPr>
          <w:rFonts w:hint="eastAsia" w:eastAsia="仿宋_GB2312"/>
          <w:b/>
          <w:snapToGrid w:val="0"/>
          <w:color w:val="000000"/>
          <w:kern w:val="0"/>
          <w:sz w:val="32"/>
          <w:szCs w:val="32"/>
        </w:rPr>
        <w:t>经济保持中高速增长。</w:t>
      </w:r>
      <w:r>
        <w:rPr>
          <w:rFonts w:hint="eastAsia" w:eastAsia="仿宋_GB2312"/>
          <w:snapToGrid w:val="0"/>
          <w:color w:val="000000"/>
          <w:kern w:val="0"/>
          <w:sz w:val="32"/>
          <w:szCs w:val="32"/>
        </w:rPr>
        <w:t>在提高发</w:t>
      </w:r>
      <w:r>
        <w:rPr>
          <w:rFonts w:hint="eastAsia" w:ascii="仿宋_GB2312" w:hAnsi="仿宋_GB2312" w:eastAsia="仿宋_GB2312" w:cs="仿宋_GB2312"/>
          <w:snapToGrid w:val="0"/>
          <w:color w:val="000000"/>
          <w:kern w:val="0"/>
          <w:sz w:val="32"/>
          <w:szCs w:val="32"/>
        </w:rPr>
        <w:t>展质量效益的基础上，生产总值年均增速高于全省2个百分点以上，</w:t>
      </w:r>
      <w:r>
        <w:rPr>
          <w:rFonts w:hint="eastAsia" w:ascii="仿宋_GB2312" w:hAnsi="仿宋_GB2312" w:eastAsia="仿宋_GB2312" w:cs="仿宋_GB2312"/>
          <w:snapToGrid w:val="0"/>
          <w:color w:val="000000"/>
          <w:kern w:val="0"/>
          <w:sz w:val="32"/>
          <w:szCs w:val="32"/>
          <w:lang w:eastAsia="zh-CN"/>
        </w:rPr>
        <w:t>总量</w:t>
      </w:r>
      <w:r>
        <w:rPr>
          <w:rFonts w:hint="eastAsia" w:ascii="仿宋_GB2312" w:hAnsi="仿宋_GB2312" w:eastAsia="仿宋_GB2312" w:cs="仿宋_GB2312"/>
          <w:snapToGrid w:val="0"/>
          <w:color w:val="000000"/>
          <w:kern w:val="0"/>
          <w:sz w:val="32"/>
          <w:szCs w:val="32"/>
        </w:rPr>
        <w:t>突破1450亿元；全社会固定资产投资年均增长15%，投资效益明显提升；社会消费品零售总额年均增长12.5%，消费对经济增长贡献明显加大。创新驱动作用显著增强，富裕安康建设迈入新阶段。</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ascii="仿宋_GB2312" w:hAnsi="仿宋_GB2312" w:eastAsia="仿宋_GB2312" w:cs="仿宋_GB2312"/>
          <w:snapToGrid w:val="0"/>
          <w:color w:val="000000"/>
          <w:kern w:val="0"/>
          <w:sz w:val="32"/>
          <w:szCs w:val="32"/>
        </w:rPr>
      </w:pPr>
      <w:r>
        <w:rPr>
          <w:rFonts w:hint="eastAsia" w:eastAsia="仿宋_GB2312"/>
          <w:b/>
          <w:snapToGrid w:val="0"/>
          <w:color w:val="000000"/>
          <w:kern w:val="0"/>
          <w:sz w:val="32"/>
          <w:szCs w:val="32"/>
        </w:rPr>
        <w:t>发展协调性不断增强。</w:t>
      </w:r>
      <w:r>
        <w:rPr>
          <w:rFonts w:hint="eastAsia" w:eastAsia="仿宋_GB2312"/>
          <w:snapToGrid w:val="0"/>
          <w:color w:val="000000"/>
          <w:kern w:val="0"/>
          <w:sz w:val="32"/>
          <w:szCs w:val="32"/>
        </w:rPr>
        <w:t>规模以上工业增加值</w:t>
      </w:r>
      <w:r>
        <w:rPr>
          <w:rFonts w:hint="eastAsia" w:ascii="仿宋_GB2312" w:hAnsi="仿宋_GB2312" w:eastAsia="仿宋_GB2312" w:cs="仿宋_GB2312"/>
          <w:snapToGrid w:val="0"/>
          <w:color w:val="000000"/>
          <w:kern w:val="0"/>
          <w:sz w:val="32"/>
          <w:szCs w:val="32"/>
        </w:rPr>
        <w:t>650亿元，产业发展迈向中高端，服务业增加值占GDP比重达到34%，新产业、新业态不断成长，多元支撑、竞争力强的循环特色产业体系基本形成。城乡区域发展更趋协调，城镇化率达到55%。县域经济综合实力明显增强。</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eastAsia="仿宋_GB2312"/>
          <w:snapToGrid w:val="0"/>
          <w:color w:val="000000"/>
          <w:kern w:val="0"/>
          <w:sz w:val="32"/>
          <w:szCs w:val="32"/>
        </w:rPr>
      </w:pPr>
      <w:r>
        <w:rPr>
          <w:rFonts w:hint="eastAsia" w:eastAsia="仿宋_GB2312"/>
          <w:b/>
          <w:snapToGrid w:val="0"/>
          <w:color w:val="000000"/>
          <w:kern w:val="0"/>
          <w:sz w:val="32"/>
          <w:szCs w:val="32"/>
        </w:rPr>
        <w:t>公共服务水平提高。</w:t>
      </w:r>
      <w:r>
        <w:rPr>
          <w:rFonts w:hint="eastAsia" w:eastAsia="仿宋_GB2312"/>
          <w:snapToGrid w:val="0"/>
          <w:color w:val="000000"/>
          <w:kern w:val="0"/>
          <w:sz w:val="32"/>
          <w:szCs w:val="32"/>
        </w:rPr>
        <w:t>城乡居民收入年均</w:t>
      </w:r>
      <w:r>
        <w:rPr>
          <w:rFonts w:hint="eastAsia" w:ascii="仿宋_GB2312" w:hAnsi="仿宋_GB2312" w:eastAsia="仿宋_GB2312" w:cs="仿宋_GB2312"/>
          <w:snapToGrid w:val="0"/>
          <w:color w:val="000000"/>
          <w:kern w:val="0"/>
          <w:sz w:val="32"/>
          <w:szCs w:val="32"/>
        </w:rPr>
        <w:t>分别增长</w:t>
      </w:r>
      <w:r>
        <w:rPr>
          <w:rFonts w:hint="eastAsia" w:ascii="仿宋_GB2312" w:hAnsi="仿宋_GB2312" w:eastAsia="仿宋_GB2312" w:cs="仿宋_GB2312"/>
          <w:snapToGrid w:val="0"/>
          <w:color w:val="000000"/>
          <w:kern w:val="0"/>
          <w:sz w:val="32"/>
          <w:szCs w:val="32"/>
          <w:lang w:val="en-US" w:eastAsia="zh-CN"/>
        </w:rPr>
        <w:t>9</w:t>
      </w:r>
      <w:r>
        <w:rPr>
          <w:rFonts w:hint="eastAsia" w:ascii="仿宋_GB2312" w:hAnsi="仿宋_GB2312" w:eastAsia="仿宋_GB2312" w:cs="仿宋_GB2312"/>
          <w:snapToGrid w:val="0"/>
          <w:color w:val="000000"/>
          <w:kern w:val="0"/>
          <w:sz w:val="32"/>
          <w:szCs w:val="32"/>
        </w:rPr>
        <w:t>%和1</w:t>
      </w:r>
      <w:r>
        <w:rPr>
          <w:rFonts w:hint="eastAsia" w:ascii="仿宋_GB2312" w:hAnsi="仿宋_GB2312" w:eastAsia="仿宋_GB2312" w:cs="仿宋_GB2312"/>
          <w:snapToGrid w:val="0"/>
          <w:color w:val="000000"/>
          <w:kern w:val="0"/>
          <w:sz w:val="32"/>
          <w:szCs w:val="32"/>
          <w:lang w:val="en-US" w:eastAsia="zh-CN"/>
        </w:rPr>
        <w:t>1</w:t>
      </w:r>
      <w:r>
        <w:rPr>
          <w:rFonts w:hint="eastAsia" w:ascii="仿宋_GB2312" w:hAnsi="仿宋_GB2312" w:eastAsia="仿宋_GB2312" w:cs="仿宋_GB2312"/>
          <w:snapToGrid w:val="0"/>
          <w:color w:val="000000"/>
          <w:kern w:val="0"/>
          <w:sz w:val="32"/>
          <w:szCs w:val="32"/>
        </w:rPr>
        <w:t>%，与全省平均水平相当。现行标准下</w:t>
      </w:r>
      <w:r>
        <w:rPr>
          <w:rFonts w:hint="eastAsia" w:ascii="仿宋_GB2312" w:hAnsi="仿宋_GB2312" w:eastAsia="仿宋_GB2312" w:cs="仿宋_GB2312"/>
          <w:snapToGrid w:val="0"/>
          <w:color w:val="000000"/>
          <w:kern w:val="0"/>
          <w:sz w:val="32"/>
          <w:szCs w:val="32"/>
          <w:lang w:val="en-US" w:eastAsia="zh-CN"/>
        </w:rPr>
        <w:t>58.17</w:t>
      </w:r>
      <w:r>
        <w:rPr>
          <w:rFonts w:hint="eastAsia" w:ascii="仿宋_GB2312" w:hAnsi="仿宋_GB2312" w:eastAsia="仿宋_GB2312" w:cs="仿宋_GB2312"/>
          <w:snapToGrid w:val="0"/>
          <w:color w:val="000000"/>
          <w:kern w:val="0"/>
          <w:sz w:val="32"/>
          <w:szCs w:val="32"/>
        </w:rPr>
        <w:t>万</w:t>
      </w:r>
      <w:r>
        <w:rPr>
          <w:rFonts w:hint="eastAsia" w:ascii="仿宋_GB2312" w:hAnsi="仿宋_GB2312" w:eastAsia="仿宋_GB2312" w:cs="仿宋_GB2312"/>
          <w:snapToGrid w:val="0"/>
          <w:color w:val="000000"/>
          <w:kern w:val="0"/>
          <w:sz w:val="32"/>
          <w:szCs w:val="32"/>
          <w:lang w:eastAsia="zh-CN"/>
        </w:rPr>
        <w:t>建档立卡</w:t>
      </w:r>
      <w:r>
        <w:rPr>
          <w:rFonts w:hint="eastAsia" w:ascii="仿宋_GB2312" w:hAnsi="仿宋_GB2312" w:eastAsia="仿宋_GB2312" w:cs="仿宋_GB2312"/>
          <w:snapToGrid w:val="0"/>
          <w:color w:val="000000"/>
          <w:kern w:val="0"/>
          <w:sz w:val="32"/>
          <w:szCs w:val="32"/>
        </w:rPr>
        <w:t>贫困人口全部脱贫、贫困县全部摘帽，避灾移民搬迁和城镇棚户区改造全面完成。实现更加充分就业，启动实施13年免费教育，人人享有基本医疗卫生服务，社会保障体系更加完善。社会治理能力明显提高，民主法</w:t>
      </w:r>
      <w:r>
        <w:rPr>
          <w:rFonts w:hint="eastAsia" w:eastAsia="仿宋_GB2312"/>
          <w:snapToGrid w:val="0"/>
          <w:color w:val="000000"/>
          <w:kern w:val="0"/>
          <w:sz w:val="32"/>
          <w:szCs w:val="32"/>
        </w:rPr>
        <w:t>制更加健全，社会更加公平正义。</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eastAsia="仿宋_GB2312"/>
          <w:snapToGrid w:val="0"/>
          <w:color w:val="000000"/>
          <w:kern w:val="0"/>
          <w:sz w:val="32"/>
          <w:szCs w:val="32"/>
        </w:rPr>
      </w:pPr>
      <w:r>
        <w:rPr>
          <w:rFonts w:hint="eastAsia" w:eastAsia="仿宋_GB2312"/>
          <w:b/>
          <w:snapToGrid w:val="0"/>
          <w:color w:val="000000"/>
          <w:kern w:val="0"/>
          <w:sz w:val="32"/>
          <w:szCs w:val="32"/>
        </w:rPr>
        <w:t>发展绿色化程度提升。</w:t>
      </w:r>
      <w:r>
        <w:rPr>
          <w:rFonts w:hint="eastAsia" w:eastAsia="仿宋_GB2312"/>
          <w:snapToGrid w:val="0"/>
          <w:color w:val="000000"/>
          <w:kern w:val="0"/>
          <w:sz w:val="32"/>
          <w:szCs w:val="32"/>
        </w:rPr>
        <w:t>生态文明制度基本建立，资源开发利用效率进一步提高，能源消耗、碳排放总量得到有效控制，主要污染物排放降低完成省定目标。主体功能区布局和</w:t>
      </w:r>
      <w:r>
        <w:rPr>
          <w:rFonts w:hint="eastAsia" w:ascii="仿宋_GB2312" w:hAnsi="仿宋_GB2312" w:eastAsia="仿宋_GB2312" w:cs="仿宋_GB2312"/>
          <w:snapToGrid w:val="0"/>
          <w:color w:val="000000"/>
          <w:kern w:val="0"/>
          <w:sz w:val="32"/>
          <w:szCs w:val="32"/>
        </w:rPr>
        <w:t>生态安全屏障基本形成，汉江出境断面水质稳定达标，森林覆盖率</w:t>
      </w:r>
      <w:r>
        <w:rPr>
          <w:rFonts w:hint="eastAsia" w:ascii="仿宋_GB2312" w:hAnsi="仿宋_GB2312" w:eastAsia="仿宋_GB2312" w:cs="仿宋_GB2312"/>
          <w:snapToGrid w:val="0"/>
          <w:color w:val="000000"/>
          <w:kern w:val="0"/>
          <w:sz w:val="32"/>
          <w:szCs w:val="32"/>
          <w:lang w:eastAsia="zh-CN"/>
        </w:rPr>
        <w:t>达到</w:t>
      </w:r>
      <w:r>
        <w:rPr>
          <w:rFonts w:hint="eastAsia" w:ascii="仿宋_GB2312" w:hAnsi="仿宋_GB2312" w:eastAsia="仿宋_GB2312" w:cs="仿宋_GB2312"/>
          <w:snapToGrid w:val="0"/>
          <w:color w:val="000000"/>
          <w:kern w:val="0"/>
          <w:sz w:val="32"/>
          <w:szCs w:val="32"/>
        </w:rPr>
        <w:t>68%。“治污降霾·保卫蓝天”行动取得显著成效，人居环境持续改善，</w:t>
      </w:r>
      <w:r>
        <w:rPr>
          <w:rFonts w:hint="eastAsia" w:eastAsia="仿宋_GB2312"/>
          <w:snapToGrid w:val="0"/>
          <w:color w:val="000000"/>
          <w:kern w:val="0"/>
          <w:sz w:val="32"/>
          <w:szCs w:val="32"/>
        </w:rPr>
        <w:t>美丽安康建设展现新景象。</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eastAsia="仿宋_GB2312"/>
          <w:snapToGrid w:val="0"/>
          <w:color w:val="000000"/>
          <w:kern w:val="0"/>
          <w:sz w:val="32"/>
          <w:szCs w:val="32"/>
        </w:rPr>
      </w:pPr>
      <w:r>
        <w:rPr>
          <w:rFonts w:hint="eastAsia" w:eastAsia="仿宋_GB2312"/>
          <w:b/>
          <w:snapToGrid w:val="0"/>
          <w:color w:val="000000"/>
          <w:kern w:val="0"/>
          <w:sz w:val="32"/>
          <w:szCs w:val="32"/>
        </w:rPr>
        <w:t>改革开放纵深推进。</w:t>
      </w:r>
      <w:r>
        <w:rPr>
          <w:rFonts w:hint="eastAsia" w:ascii="仿宋_GB2312" w:hAnsi="仿宋_GB2312" w:eastAsia="仿宋_GB2312" w:cs="仿宋_GB2312"/>
          <w:snapToGrid w:val="0"/>
          <w:color w:val="000000"/>
          <w:kern w:val="0"/>
          <w:sz w:val="32"/>
          <w:szCs w:val="32"/>
        </w:rPr>
        <w:t>重点领域和关键环节改革取得突破，特色改革试点扎实开展。中小企业户数超过15万户，“草根”创业创新蔚然成风，经济发展活力和内生动力显著增强。开放型经济新体制基本形成，招商引资到位资金累计超过</w:t>
      </w:r>
      <w:r>
        <w:rPr>
          <w:rFonts w:hint="eastAsia" w:ascii="仿宋_GB2312" w:hAnsi="仿宋_GB2312" w:eastAsia="仿宋_GB2312" w:cs="仿宋_GB2312"/>
          <w:snapToGrid w:val="0"/>
          <w:color w:val="000000"/>
          <w:kern w:val="0"/>
          <w:sz w:val="32"/>
          <w:szCs w:val="32"/>
          <w:lang w:val="en-US" w:eastAsia="zh-CN"/>
        </w:rPr>
        <w:t>32</w:t>
      </w:r>
      <w:r>
        <w:rPr>
          <w:rFonts w:hint="eastAsia" w:ascii="仿宋_GB2312" w:hAnsi="仿宋_GB2312" w:eastAsia="仿宋_GB2312" w:cs="仿宋_GB2312"/>
          <w:snapToGrid w:val="0"/>
          <w:color w:val="000000"/>
          <w:kern w:val="0"/>
          <w:sz w:val="32"/>
          <w:szCs w:val="32"/>
        </w:rPr>
        <w:t>00亿元，进出口贸易总额</w:t>
      </w:r>
      <w:r>
        <w:rPr>
          <w:rFonts w:hint="eastAsia" w:ascii="仿宋_GB2312" w:hAnsi="仿宋_GB2312" w:eastAsia="仿宋_GB2312" w:cs="仿宋_GB2312"/>
          <w:snapToGrid w:val="0"/>
          <w:color w:val="000000"/>
          <w:kern w:val="0"/>
          <w:sz w:val="32"/>
          <w:szCs w:val="32"/>
          <w:lang w:eastAsia="zh-CN"/>
        </w:rPr>
        <w:t>突破</w:t>
      </w:r>
      <w:r>
        <w:rPr>
          <w:rFonts w:hint="eastAsia" w:ascii="仿宋_GB2312" w:hAnsi="仿宋_GB2312" w:eastAsia="仿宋_GB2312" w:cs="仿宋_GB2312"/>
          <w:snapToGrid w:val="0"/>
          <w:color w:val="000000"/>
          <w:kern w:val="0"/>
          <w:sz w:val="32"/>
          <w:szCs w:val="32"/>
        </w:rPr>
        <w:t>1亿美元，经济发展外向度大幅提升</w:t>
      </w:r>
      <w:r>
        <w:rPr>
          <w:rFonts w:hint="eastAsia" w:eastAsia="仿宋_GB2312"/>
          <w:snapToGrid w:val="0"/>
          <w:color w:val="000000"/>
          <w:kern w:val="0"/>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eastAsia="仿宋_GB2312"/>
          <w:snapToGrid w:val="0"/>
          <w:color w:val="000000"/>
          <w:kern w:val="0"/>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eastAsia="仿宋_GB2312"/>
          <w:snapToGrid w:val="0"/>
          <w:color w:val="000000"/>
          <w:kern w:val="0"/>
          <w:sz w:val="32"/>
          <w:szCs w:val="32"/>
        </w:rPr>
      </w:pPr>
    </w:p>
    <w:p>
      <w:pPr>
        <w:spacing w:line="560" w:lineRule="exact"/>
        <w:jc w:val="center"/>
        <w:rPr>
          <w:rFonts w:hint="eastAsia" w:ascii="黑体" w:hAnsi="黑体" w:eastAsia="黑体" w:cs="黑体"/>
          <w:b w:val="0"/>
          <w:bCs w:val="0"/>
          <w:snapToGrid w:val="0"/>
          <w:color w:val="000000"/>
          <w:kern w:val="0"/>
          <w:sz w:val="28"/>
          <w:szCs w:val="28"/>
        </w:rPr>
      </w:pPr>
      <w:r>
        <w:rPr>
          <w:rFonts w:hint="eastAsia" w:ascii="黑体" w:hAnsi="黑体" w:eastAsia="黑体" w:cs="黑体"/>
          <w:b w:val="0"/>
          <w:bCs w:val="0"/>
          <w:snapToGrid w:val="0"/>
          <w:color w:val="000000"/>
          <w:kern w:val="0"/>
          <w:sz w:val="28"/>
          <w:szCs w:val="28"/>
        </w:rPr>
        <w:t>附表2：“十三五”经济社会发展指标</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53"/>
        <w:gridCol w:w="1507"/>
        <w:gridCol w:w="2339"/>
        <w:gridCol w:w="1357"/>
        <w:gridCol w:w="1419"/>
        <w:gridCol w:w="886"/>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trHeight w:val="537" w:hRule="atLeast"/>
          <w:jc w:val="center"/>
        </w:trPr>
        <w:tc>
          <w:tcPr>
            <w:tcW w:w="45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ascii="黑体" w:hAnsi="黑体" w:eastAsia="黑体" w:cs="黑体"/>
                <w:snapToGrid w:val="0"/>
                <w:color w:val="000000"/>
                <w:kern w:val="0"/>
                <w:sz w:val="21"/>
                <w:szCs w:val="21"/>
              </w:rPr>
            </w:pPr>
            <w:r>
              <w:rPr>
                <w:rFonts w:hint="eastAsia" w:ascii="黑体" w:hAnsi="黑体" w:eastAsia="黑体" w:cs="黑体"/>
                <w:snapToGrid w:val="0"/>
                <w:color w:val="000000"/>
                <w:kern w:val="0"/>
                <w:sz w:val="21"/>
                <w:szCs w:val="21"/>
              </w:rPr>
              <w:t>类别</w:t>
            </w:r>
          </w:p>
        </w:tc>
        <w:tc>
          <w:tcPr>
            <w:tcW w:w="384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黑体" w:hAnsi="黑体" w:eastAsia="黑体" w:cs="黑体"/>
                <w:snapToGrid w:val="0"/>
                <w:color w:val="000000"/>
                <w:kern w:val="0"/>
                <w:sz w:val="21"/>
                <w:szCs w:val="21"/>
              </w:rPr>
            </w:pPr>
            <w:r>
              <w:rPr>
                <w:rFonts w:hint="eastAsia" w:ascii="黑体" w:hAnsi="黑体" w:eastAsia="黑体" w:cs="黑体"/>
                <w:snapToGrid w:val="0"/>
                <w:color w:val="000000"/>
                <w:kern w:val="0"/>
                <w:sz w:val="21"/>
                <w:szCs w:val="21"/>
              </w:rPr>
              <w:t>指标名称</w:t>
            </w:r>
          </w:p>
        </w:tc>
        <w:tc>
          <w:tcPr>
            <w:tcW w:w="13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黑体" w:hAnsi="黑体" w:eastAsia="黑体" w:cs="黑体"/>
                <w:snapToGrid w:val="0"/>
                <w:color w:val="000000"/>
                <w:kern w:val="0"/>
                <w:sz w:val="21"/>
                <w:szCs w:val="21"/>
                <w:lang w:eastAsia="zh-CN"/>
              </w:rPr>
            </w:pPr>
            <w:r>
              <w:rPr>
                <w:rFonts w:ascii="黑体" w:hAnsi="黑体" w:eastAsia="黑体" w:cs="黑体"/>
                <w:snapToGrid w:val="0"/>
                <w:color w:val="000000"/>
                <w:kern w:val="0"/>
                <w:sz w:val="21"/>
                <w:szCs w:val="21"/>
              </w:rPr>
              <w:t>2015</w:t>
            </w:r>
            <w:r>
              <w:rPr>
                <w:rFonts w:hint="eastAsia" w:ascii="黑体" w:hAnsi="黑体" w:eastAsia="黑体" w:cs="黑体"/>
                <w:snapToGrid w:val="0"/>
                <w:color w:val="000000"/>
                <w:kern w:val="0"/>
                <w:sz w:val="21"/>
                <w:szCs w:val="21"/>
              </w:rPr>
              <w:t>年</w:t>
            </w:r>
            <w:r>
              <w:rPr>
                <w:rFonts w:hint="eastAsia" w:ascii="黑体" w:hAnsi="黑体" w:eastAsia="黑体" w:cs="黑体"/>
                <w:snapToGrid w:val="0"/>
                <w:color w:val="000000"/>
                <w:kern w:val="0"/>
                <w:sz w:val="21"/>
                <w:szCs w:val="21"/>
                <w:lang w:eastAsia="zh-CN"/>
              </w:rPr>
              <w:t>实际</w:t>
            </w:r>
          </w:p>
        </w:tc>
        <w:tc>
          <w:tcPr>
            <w:tcW w:w="14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黑体" w:hAnsi="黑体" w:eastAsia="黑体" w:cs="黑体"/>
                <w:snapToGrid w:val="0"/>
                <w:color w:val="000000"/>
                <w:kern w:val="0"/>
                <w:sz w:val="21"/>
                <w:szCs w:val="21"/>
              </w:rPr>
            </w:pPr>
            <w:r>
              <w:rPr>
                <w:rFonts w:ascii="黑体" w:hAnsi="黑体" w:eastAsia="黑体" w:cs="黑体"/>
                <w:snapToGrid w:val="0"/>
                <w:color w:val="000000"/>
                <w:kern w:val="0"/>
                <w:sz w:val="21"/>
                <w:szCs w:val="21"/>
              </w:rPr>
              <w:t>2020</w:t>
            </w:r>
            <w:r>
              <w:rPr>
                <w:rFonts w:hint="eastAsia" w:ascii="黑体" w:hAnsi="黑体" w:eastAsia="黑体" w:cs="黑体"/>
                <w:snapToGrid w:val="0"/>
                <w:color w:val="000000"/>
                <w:kern w:val="0"/>
                <w:sz w:val="21"/>
                <w:szCs w:val="21"/>
              </w:rPr>
              <w:t>年预期</w:t>
            </w:r>
          </w:p>
        </w:tc>
        <w:tc>
          <w:tcPr>
            <w:tcW w:w="8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黑体" w:hAnsi="黑体" w:eastAsia="黑体" w:cs="黑体"/>
                <w:snapToGrid w:val="0"/>
                <w:color w:val="000000"/>
                <w:kern w:val="0"/>
                <w:sz w:val="21"/>
                <w:szCs w:val="21"/>
              </w:rPr>
            </w:pPr>
            <w:r>
              <w:rPr>
                <w:rFonts w:hint="eastAsia" w:ascii="黑体" w:hAnsi="黑体" w:eastAsia="黑体" w:cs="黑体"/>
                <w:snapToGrid w:val="0"/>
                <w:color w:val="000000"/>
                <w:kern w:val="0"/>
                <w:sz w:val="21"/>
                <w:szCs w:val="21"/>
              </w:rPr>
              <w:t>年均增长（</w:t>
            </w:r>
            <w:r>
              <w:rPr>
                <w:rFonts w:ascii="黑体" w:hAnsi="黑体" w:eastAsia="黑体" w:cs="黑体"/>
                <w:snapToGrid w:val="0"/>
                <w:color w:val="000000"/>
                <w:kern w:val="0"/>
                <w:sz w:val="21"/>
                <w:szCs w:val="21"/>
              </w:rPr>
              <w:t>%</w:t>
            </w:r>
            <w:r>
              <w:rPr>
                <w:rFonts w:hint="eastAsia" w:ascii="黑体" w:hAnsi="黑体" w:eastAsia="黑体" w:cs="黑体"/>
                <w:snapToGrid w:val="0"/>
                <w:color w:val="000000"/>
                <w:kern w:val="0"/>
                <w:sz w:val="21"/>
                <w:szCs w:val="21"/>
              </w:rPr>
              <w:t>）</w:t>
            </w:r>
          </w:p>
        </w:tc>
        <w:tc>
          <w:tcPr>
            <w:tcW w:w="81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ascii="黑体" w:hAnsi="黑体" w:eastAsia="黑体" w:cs="黑体"/>
                <w:snapToGrid w:val="0"/>
                <w:color w:val="000000"/>
                <w:kern w:val="0"/>
                <w:sz w:val="21"/>
                <w:szCs w:val="21"/>
              </w:rPr>
            </w:pPr>
            <w:r>
              <w:rPr>
                <w:rFonts w:hint="eastAsia" w:ascii="黑体" w:hAnsi="黑体" w:eastAsia="黑体" w:cs="黑体"/>
                <w:snapToGrid w:val="0"/>
                <w:color w:val="000000"/>
                <w:kern w:val="0"/>
                <w:sz w:val="21"/>
                <w:szCs w:val="21"/>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trHeight w:val="308" w:hRule="atLeast"/>
          <w:jc w:val="center"/>
        </w:trPr>
        <w:tc>
          <w:tcPr>
            <w:tcW w:w="453"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napToGrid w:val="0"/>
                <w:color w:val="000000"/>
                <w:kern w:val="0"/>
                <w:sz w:val="21"/>
                <w:szCs w:val="21"/>
              </w:rPr>
            </w:pPr>
            <w:r>
              <w:rPr>
                <w:rFonts w:hint="eastAsia" w:ascii="黑体" w:hAnsi="黑体" w:eastAsia="黑体" w:cs="黑体"/>
                <w:b w:val="0"/>
                <w:bCs w:val="0"/>
                <w:snapToGrid w:val="0"/>
                <w:color w:val="000000"/>
                <w:kern w:val="0"/>
                <w:sz w:val="21"/>
                <w:szCs w:val="21"/>
              </w:rPr>
              <w:t>经</w:t>
            </w: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napToGrid w:val="0"/>
                <w:color w:val="000000"/>
                <w:kern w:val="0"/>
                <w:sz w:val="21"/>
                <w:szCs w:val="21"/>
              </w:rPr>
            </w:pPr>
            <w:r>
              <w:rPr>
                <w:rFonts w:hint="eastAsia" w:ascii="黑体" w:hAnsi="黑体" w:eastAsia="黑体" w:cs="黑体"/>
                <w:b w:val="0"/>
                <w:bCs w:val="0"/>
                <w:snapToGrid w:val="0"/>
                <w:color w:val="000000"/>
                <w:kern w:val="0"/>
                <w:sz w:val="21"/>
                <w:szCs w:val="21"/>
              </w:rPr>
              <w:t>济</w:t>
            </w: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napToGrid w:val="0"/>
                <w:color w:val="000000"/>
                <w:kern w:val="0"/>
                <w:sz w:val="21"/>
                <w:szCs w:val="21"/>
              </w:rPr>
            </w:pPr>
            <w:r>
              <w:rPr>
                <w:rFonts w:hint="eastAsia" w:ascii="黑体" w:hAnsi="黑体" w:eastAsia="黑体" w:cs="黑体"/>
                <w:b w:val="0"/>
                <w:bCs w:val="0"/>
                <w:snapToGrid w:val="0"/>
                <w:color w:val="000000"/>
                <w:kern w:val="0"/>
                <w:sz w:val="21"/>
                <w:szCs w:val="21"/>
              </w:rPr>
              <w:t>发</w:t>
            </w: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napToGrid w:val="0"/>
                <w:color w:val="000000"/>
                <w:kern w:val="0"/>
                <w:sz w:val="21"/>
                <w:szCs w:val="21"/>
              </w:rPr>
            </w:pPr>
            <w:r>
              <w:rPr>
                <w:rFonts w:hint="eastAsia" w:ascii="黑体" w:hAnsi="黑体" w:eastAsia="黑体" w:cs="黑体"/>
                <w:b w:val="0"/>
                <w:bCs w:val="0"/>
                <w:snapToGrid w:val="0"/>
                <w:color w:val="000000"/>
                <w:kern w:val="0"/>
                <w:sz w:val="21"/>
                <w:szCs w:val="21"/>
              </w:rPr>
              <w:t>展</w:t>
            </w:r>
          </w:p>
        </w:tc>
        <w:tc>
          <w:tcPr>
            <w:tcW w:w="384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宋体" w:cs="宋体"/>
                <w:snapToGrid w:val="0"/>
                <w:color w:val="000000"/>
                <w:kern w:val="0"/>
                <w:sz w:val="21"/>
                <w:szCs w:val="21"/>
              </w:rPr>
            </w:pPr>
            <w:r>
              <w:rPr>
                <w:rFonts w:hint="eastAsia" w:ascii="宋体" w:hAnsi="宋体" w:cs="宋体"/>
                <w:snapToGrid w:val="0"/>
                <w:color w:val="000000"/>
                <w:kern w:val="0"/>
                <w:sz w:val="21"/>
                <w:szCs w:val="21"/>
              </w:rPr>
              <w:t>生产总值（亿元）</w:t>
            </w:r>
          </w:p>
        </w:tc>
        <w:tc>
          <w:tcPr>
            <w:tcW w:w="1357"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eastAsia="宋体" w:cs="宋体"/>
                <w:snapToGrid w:val="0"/>
                <w:color w:val="000000"/>
                <w:kern w:val="0"/>
                <w:sz w:val="21"/>
                <w:szCs w:val="21"/>
                <w:lang w:eastAsia="zh-CN"/>
              </w:rPr>
            </w:pPr>
            <w:r>
              <w:rPr>
                <w:rFonts w:hint="eastAsia" w:ascii="宋体" w:hAnsi="宋体" w:cs="宋体"/>
                <w:snapToGrid w:val="0"/>
                <w:color w:val="000000"/>
                <w:kern w:val="0"/>
                <w:sz w:val="21"/>
                <w:szCs w:val="21"/>
                <w:lang w:val="en-US" w:eastAsia="zh-CN"/>
              </w:rPr>
              <w:t>772</w:t>
            </w:r>
          </w:p>
        </w:tc>
        <w:tc>
          <w:tcPr>
            <w:tcW w:w="1419"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cs="宋体"/>
                <w:snapToGrid w:val="0"/>
                <w:color w:val="000000"/>
                <w:kern w:val="0"/>
                <w:sz w:val="21"/>
                <w:szCs w:val="21"/>
              </w:rPr>
            </w:pPr>
            <w:r>
              <w:rPr>
                <w:rFonts w:hint="eastAsia" w:ascii="宋体" w:cs="宋体"/>
                <w:snapToGrid w:val="0"/>
                <w:color w:val="000000"/>
                <w:kern w:val="0"/>
                <w:sz w:val="21"/>
                <w:szCs w:val="21"/>
              </w:rPr>
              <w:t>1450</w:t>
            </w:r>
          </w:p>
        </w:tc>
        <w:tc>
          <w:tcPr>
            <w:tcW w:w="886"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snapToGrid w:val="0"/>
                <w:color w:val="000000"/>
                <w:kern w:val="0"/>
                <w:sz w:val="21"/>
                <w:szCs w:val="21"/>
              </w:rPr>
            </w:pPr>
            <w:r>
              <w:rPr>
                <w:rFonts w:ascii="宋体" w:hAnsi="宋体" w:cs="宋体"/>
                <w:snapToGrid w:val="0"/>
                <w:color w:val="000000"/>
                <w:kern w:val="0"/>
                <w:sz w:val="21"/>
                <w:szCs w:val="21"/>
              </w:rPr>
              <w:t>1</w:t>
            </w:r>
            <w:r>
              <w:rPr>
                <w:rFonts w:hint="eastAsia" w:ascii="宋体" w:hAnsi="宋体" w:cs="宋体"/>
                <w:snapToGrid w:val="0"/>
                <w:color w:val="000000"/>
                <w:kern w:val="0"/>
                <w:sz w:val="21"/>
                <w:szCs w:val="21"/>
              </w:rPr>
              <w:t>0.5</w:t>
            </w:r>
          </w:p>
        </w:tc>
        <w:tc>
          <w:tcPr>
            <w:tcW w:w="81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ascii="宋体" w:cs="宋体"/>
                <w:snapToGrid w:val="0"/>
                <w:color w:val="000000"/>
                <w:kern w:val="0"/>
                <w:sz w:val="21"/>
                <w:szCs w:val="21"/>
              </w:rPr>
            </w:pPr>
            <w:r>
              <w:rPr>
                <w:rFonts w:hint="eastAsia" w:ascii="宋体" w:hAnsi="宋体" w:cs="宋体"/>
                <w:snapToGrid w:val="0"/>
                <w:color w:val="000000"/>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trHeight w:val="334" w:hRule="atLeast"/>
          <w:jc w:val="center"/>
        </w:trPr>
        <w:tc>
          <w:tcPr>
            <w:tcW w:w="453" w:type="dxa"/>
            <w:vMerge w:val="continue"/>
            <w:noWrap w:val="0"/>
            <w:textDirection w:val="tbRlV"/>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napToGrid w:val="0"/>
                <w:color w:val="000000"/>
                <w:kern w:val="0"/>
                <w:sz w:val="21"/>
                <w:szCs w:val="21"/>
              </w:rPr>
            </w:pPr>
          </w:p>
        </w:tc>
        <w:tc>
          <w:tcPr>
            <w:tcW w:w="384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宋体" w:cs="宋体"/>
                <w:snapToGrid w:val="0"/>
                <w:color w:val="000000"/>
                <w:kern w:val="0"/>
                <w:sz w:val="21"/>
                <w:szCs w:val="21"/>
              </w:rPr>
            </w:pPr>
            <w:r>
              <w:rPr>
                <w:rFonts w:hint="eastAsia" w:ascii="宋体" w:hAnsi="宋体" w:cs="宋体"/>
                <w:snapToGrid w:val="0"/>
                <w:color w:val="000000"/>
                <w:kern w:val="0"/>
                <w:sz w:val="21"/>
                <w:szCs w:val="21"/>
              </w:rPr>
              <w:t>五年累计完成全社会固定资产投资（亿元）</w:t>
            </w:r>
          </w:p>
        </w:tc>
        <w:tc>
          <w:tcPr>
            <w:tcW w:w="1357"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snapToGrid w:val="0"/>
                <w:color w:val="000000"/>
                <w:kern w:val="0"/>
                <w:sz w:val="21"/>
                <w:szCs w:val="21"/>
              </w:rPr>
            </w:pPr>
            <w:r>
              <w:rPr>
                <w:rFonts w:hint="eastAsia" w:ascii="宋体" w:hAnsi="宋体" w:cs="宋体"/>
                <w:snapToGrid w:val="0"/>
                <w:color w:val="000000"/>
                <w:kern w:val="0"/>
                <w:sz w:val="21"/>
                <w:szCs w:val="21"/>
              </w:rPr>
              <w:t>【</w:t>
            </w:r>
            <w:r>
              <w:rPr>
                <w:rFonts w:ascii="宋体" w:hAnsi="宋体" w:cs="宋体"/>
                <w:snapToGrid w:val="0"/>
                <w:color w:val="000000"/>
                <w:kern w:val="0"/>
                <w:sz w:val="21"/>
                <w:szCs w:val="21"/>
              </w:rPr>
              <w:t>25</w:t>
            </w:r>
            <w:r>
              <w:rPr>
                <w:rFonts w:hint="eastAsia" w:ascii="宋体" w:hAnsi="宋体" w:cs="宋体"/>
                <w:snapToGrid w:val="0"/>
                <w:color w:val="000000"/>
                <w:kern w:val="0"/>
                <w:sz w:val="21"/>
                <w:szCs w:val="21"/>
                <w:lang w:val="en-US" w:eastAsia="zh-CN"/>
              </w:rPr>
              <w:t>31</w:t>
            </w:r>
            <w:r>
              <w:rPr>
                <w:rFonts w:hint="eastAsia" w:ascii="宋体" w:hAnsi="宋体" w:cs="宋体"/>
                <w:snapToGrid w:val="0"/>
                <w:color w:val="000000"/>
                <w:kern w:val="0"/>
                <w:sz w:val="21"/>
                <w:szCs w:val="21"/>
              </w:rPr>
              <w:t>】</w:t>
            </w:r>
          </w:p>
        </w:tc>
        <w:tc>
          <w:tcPr>
            <w:tcW w:w="1419"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cs="宋体"/>
                <w:snapToGrid w:val="0"/>
                <w:color w:val="000000"/>
                <w:kern w:val="0"/>
                <w:sz w:val="21"/>
                <w:szCs w:val="21"/>
              </w:rPr>
            </w:pPr>
            <w:r>
              <w:rPr>
                <w:rFonts w:hint="eastAsia" w:ascii="宋体" w:cs="宋体"/>
                <w:snapToGrid w:val="0"/>
                <w:color w:val="000000"/>
                <w:kern w:val="0"/>
                <w:sz w:val="21"/>
                <w:szCs w:val="21"/>
              </w:rPr>
              <w:t>【5500】</w:t>
            </w:r>
          </w:p>
        </w:tc>
        <w:tc>
          <w:tcPr>
            <w:tcW w:w="886"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cs="宋体"/>
                <w:snapToGrid w:val="0"/>
                <w:color w:val="000000"/>
                <w:kern w:val="0"/>
                <w:sz w:val="21"/>
                <w:szCs w:val="21"/>
              </w:rPr>
            </w:pPr>
            <w:r>
              <w:rPr>
                <w:rFonts w:hint="eastAsia" w:ascii="宋体" w:hAnsi="宋体" w:cs="宋体"/>
                <w:snapToGrid w:val="0"/>
                <w:color w:val="000000"/>
                <w:kern w:val="0"/>
                <w:sz w:val="21"/>
                <w:szCs w:val="21"/>
              </w:rPr>
              <w:t>15</w:t>
            </w:r>
          </w:p>
        </w:tc>
        <w:tc>
          <w:tcPr>
            <w:tcW w:w="81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ascii="宋体" w:cs="宋体"/>
                <w:snapToGrid w:val="0"/>
                <w:color w:val="000000"/>
                <w:kern w:val="0"/>
                <w:sz w:val="21"/>
                <w:szCs w:val="21"/>
              </w:rPr>
            </w:pPr>
            <w:r>
              <w:rPr>
                <w:rFonts w:hint="eastAsia" w:ascii="宋体" w:hAnsi="宋体" w:cs="宋体"/>
                <w:snapToGrid w:val="0"/>
                <w:color w:val="000000"/>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trHeight w:val="307" w:hRule="atLeast"/>
          <w:jc w:val="center"/>
        </w:trPr>
        <w:tc>
          <w:tcPr>
            <w:tcW w:w="453" w:type="dxa"/>
            <w:vMerge w:val="continue"/>
            <w:noWrap w:val="0"/>
            <w:textDirection w:val="tbRlV"/>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napToGrid w:val="0"/>
                <w:color w:val="000000"/>
                <w:kern w:val="0"/>
                <w:sz w:val="21"/>
                <w:szCs w:val="21"/>
              </w:rPr>
            </w:pPr>
          </w:p>
        </w:tc>
        <w:tc>
          <w:tcPr>
            <w:tcW w:w="384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宋体" w:cs="宋体"/>
                <w:snapToGrid w:val="0"/>
                <w:color w:val="000000"/>
                <w:kern w:val="0"/>
                <w:sz w:val="21"/>
                <w:szCs w:val="21"/>
              </w:rPr>
            </w:pPr>
            <w:r>
              <w:rPr>
                <w:rFonts w:hint="eastAsia" w:ascii="宋体" w:hAnsi="宋体" w:cs="宋体"/>
                <w:snapToGrid w:val="0"/>
                <w:color w:val="000000"/>
                <w:kern w:val="0"/>
                <w:sz w:val="21"/>
                <w:szCs w:val="21"/>
              </w:rPr>
              <w:t>社会消费品零售总额（亿元）</w:t>
            </w:r>
          </w:p>
        </w:tc>
        <w:tc>
          <w:tcPr>
            <w:tcW w:w="1357"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cs="宋体"/>
                <w:snapToGrid w:val="0"/>
                <w:color w:val="000000"/>
                <w:kern w:val="0"/>
                <w:sz w:val="21"/>
                <w:szCs w:val="21"/>
              </w:rPr>
            </w:pPr>
            <w:r>
              <w:rPr>
                <w:rFonts w:ascii="宋体" w:hAnsi="宋体" w:cs="宋体"/>
                <w:snapToGrid w:val="0"/>
                <w:color w:val="000000"/>
                <w:kern w:val="0"/>
                <w:sz w:val="21"/>
                <w:szCs w:val="21"/>
              </w:rPr>
              <w:t>2</w:t>
            </w:r>
            <w:r>
              <w:rPr>
                <w:rFonts w:hint="eastAsia" w:ascii="宋体" w:hAnsi="宋体" w:cs="宋体"/>
                <w:snapToGrid w:val="0"/>
                <w:color w:val="000000"/>
                <w:kern w:val="0"/>
                <w:sz w:val="21"/>
                <w:szCs w:val="21"/>
              </w:rPr>
              <w:t>19</w:t>
            </w:r>
          </w:p>
        </w:tc>
        <w:tc>
          <w:tcPr>
            <w:tcW w:w="1419"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cs="宋体"/>
                <w:snapToGrid w:val="0"/>
                <w:color w:val="000000"/>
                <w:kern w:val="0"/>
                <w:sz w:val="21"/>
                <w:szCs w:val="21"/>
              </w:rPr>
            </w:pPr>
            <w:r>
              <w:rPr>
                <w:rFonts w:hint="eastAsia" w:ascii="宋体" w:hAnsi="宋体" w:cs="宋体"/>
                <w:snapToGrid w:val="0"/>
                <w:color w:val="000000"/>
                <w:kern w:val="0"/>
                <w:sz w:val="21"/>
                <w:szCs w:val="21"/>
              </w:rPr>
              <w:t>395</w:t>
            </w:r>
          </w:p>
        </w:tc>
        <w:tc>
          <w:tcPr>
            <w:tcW w:w="886"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cs="宋体"/>
                <w:snapToGrid w:val="0"/>
                <w:color w:val="000000"/>
                <w:kern w:val="0"/>
                <w:sz w:val="21"/>
                <w:szCs w:val="21"/>
              </w:rPr>
            </w:pPr>
            <w:r>
              <w:rPr>
                <w:rFonts w:hint="eastAsia" w:ascii="宋体" w:hAnsi="宋体" w:cs="宋体"/>
                <w:snapToGrid w:val="0"/>
                <w:color w:val="000000"/>
                <w:kern w:val="0"/>
                <w:sz w:val="21"/>
                <w:szCs w:val="21"/>
              </w:rPr>
              <w:t>12.5</w:t>
            </w:r>
          </w:p>
        </w:tc>
        <w:tc>
          <w:tcPr>
            <w:tcW w:w="81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ascii="宋体" w:cs="宋体"/>
                <w:snapToGrid w:val="0"/>
                <w:color w:val="000000"/>
                <w:kern w:val="0"/>
                <w:sz w:val="21"/>
                <w:szCs w:val="21"/>
              </w:rPr>
            </w:pPr>
            <w:r>
              <w:rPr>
                <w:rFonts w:hint="eastAsia" w:ascii="宋体" w:hAnsi="宋体" w:cs="宋体"/>
                <w:snapToGrid w:val="0"/>
                <w:color w:val="000000"/>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trHeight w:val="319" w:hRule="atLeast"/>
          <w:jc w:val="center"/>
        </w:trPr>
        <w:tc>
          <w:tcPr>
            <w:tcW w:w="453" w:type="dxa"/>
            <w:vMerge w:val="continue"/>
            <w:noWrap w:val="0"/>
            <w:textDirection w:val="tbRlV"/>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napToGrid w:val="0"/>
                <w:color w:val="000000"/>
                <w:kern w:val="0"/>
                <w:sz w:val="21"/>
                <w:szCs w:val="21"/>
              </w:rPr>
            </w:pPr>
          </w:p>
        </w:tc>
        <w:tc>
          <w:tcPr>
            <w:tcW w:w="384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宋体" w:cs="宋体"/>
                <w:snapToGrid w:val="0"/>
                <w:color w:val="000000"/>
                <w:kern w:val="0"/>
                <w:sz w:val="21"/>
                <w:szCs w:val="21"/>
              </w:rPr>
            </w:pPr>
            <w:r>
              <w:rPr>
                <w:rFonts w:hint="eastAsia" w:ascii="宋体" w:hAnsi="宋体" w:cs="宋体"/>
                <w:snapToGrid w:val="0"/>
                <w:color w:val="000000"/>
                <w:kern w:val="0"/>
                <w:sz w:val="21"/>
                <w:szCs w:val="21"/>
              </w:rPr>
              <w:t>地方财政一般预算收入（亿元）</w:t>
            </w:r>
          </w:p>
        </w:tc>
        <w:tc>
          <w:tcPr>
            <w:tcW w:w="1357"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cs="宋体"/>
                <w:snapToGrid w:val="0"/>
                <w:color w:val="000000"/>
                <w:kern w:val="0"/>
                <w:sz w:val="21"/>
                <w:szCs w:val="21"/>
              </w:rPr>
            </w:pPr>
            <w:r>
              <w:rPr>
                <w:rFonts w:hint="eastAsia" w:ascii="宋体" w:hAnsi="宋体" w:cs="宋体"/>
                <w:snapToGrid w:val="0"/>
                <w:color w:val="000000"/>
                <w:kern w:val="0"/>
                <w:sz w:val="21"/>
                <w:szCs w:val="21"/>
              </w:rPr>
              <w:t>30.</w:t>
            </w:r>
            <w:r>
              <w:rPr>
                <w:rFonts w:hint="eastAsia" w:ascii="宋体" w:hAnsi="宋体" w:cs="宋体"/>
                <w:snapToGrid w:val="0"/>
                <w:color w:val="000000"/>
                <w:kern w:val="0"/>
                <w:sz w:val="21"/>
                <w:szCs w:val="21"/>
                <w:lang w:val="en-US" w:eastAsia="zh-CN"/>
              </w:rPr>
              <w:t>8</w:t>
            </w:r>
          </w:p>
        </w:tc>
        <w:tc>
          <w:tcPr>
            <w:tcW w:w="1419"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cs="宋体"/>
                <w:snapToGrid w:val="0"/>
                <w:color w:val="000000"/>
                <w:kern w:val="0"/>
                <w:sz w:val="21"/>
                <w:szCs w:val="21"/>
              </w:rPr>
            </w:pPr>
            <w:r>
              <w:rPr>
                <w:rFonts w:hint="eastAsia" w:ascii="宋体" w:hAnsi="宋体" w:cs="宋体"/>
                <w:snapToGrid w:val="0"/>
                <w:color w:val="000000"/>
                <w:kern w:val="0"/>
                <w:sz w:val="21"/>
                <w:szCs w:val="21"/>
              </w:rPr>
              <w:t>45</w:t>
            </w:r>
          </w:p>
        </w:tc>
        <w:tc>
          <w:tcPr>
            <w:tcW w:w="886"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cs="宋体"/>
                <w:snapToGrid w:val="0"/>
                <w:color w:val="000000"/>
                <w:kern w:val="0"/>
                <w:sz w:val="21"/>
                <w:szCs w:val="21"/>
              </w:rPr>
            </w:pPr>
            <w:r>
              <w:rPr>
                <w:rFonts w:hint="eastAsia" w:ascii="宋体" w:hAnsi="宋体" w:cs="宋体"/>
                <w:snapToGrid w:val="0"/>
                <w:color w:val="000000"/>
                <w:kern w:val="0"/>
                <w:sz w:val="21"/>
                <w:szCs w:val="21"/>
              </w:rPr>
              <w:t>10</w:t>
            </w:r>
          </w:p>
        </w:tc>
        <w:tc>
          <w:tcPr>
            <w:tcW w:w="81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ascii="宋体" w:cs="宋体"/>
                <w:snapToGrid w:val="0"/>
                <w:color w:val="000000"/>
                <w:kern w:val="0"/>
                <w:sz w:val="21"/>
                <w:szCs w:val="21"/>
              </w:rPr>
            </w:pPr>
            <w:r>
              <w:rPr>
                <w:rFonts w:hint="eastAsia" w:ascii="宋体" w:hAnsi="宋体" w:cs="宋体"/>
                <w:snapToGrid w:val="0"/>
                <w:color w:val="000000"/>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trHeight w:val="330" w:hRule="atLeast"/>
          <w:jc w:val="center"/>
        </w:trPr>
        <w:tc>
          <w:tcPr>
            <w:tcW w:w="453" w:type="dxa"/>
            <w:vMerge w:val="continue"/>
            <w:noWrap w:val="0"/>
            <w:textDirection w:val="tbRlV"/>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napToGrid w:val="0"/>
                <w:color w:val="000000"/>
                <w:kern w:val="0"/>
                <w:sz w:val="21"/>
                <w:szCs w:val="21"/>
              </w:rPr>
            </w:pPr>
          </w:p>
        </w:tc>
        <w:tc>
          <w:tcPr>
            <w:tcW w:w="384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宋体" w:cs="宋体"/>
                <w:snapToGrid w:val="0"/>
                <w:color w:val="000000"/>
                <w:kern w:val="0"/>
                <w:sz w:val="21"/>
                <w:szCs w:val="21"/>
              </w:rPr>
            </w:pPr>
            <w:r>
              <w:rPr>
                <w:rFonts w:hint="eastAsia" w:ascii="宋体" w:hAnsi="宋体" w:cs="宋体"/>
                <w:snapToGrid w:val="0"/>
                <w:color w:val="000000"/>
                <w:kern w:val="0"/>
                <w:sz w:val="21"/>
                <w:szCs w:val="21"/>
              </w:rPr>
              <w:t>研究与试验发展经费占</w:t>
            </w:r>
            <w:r>
              <w:rPr>
                <w:rFonts w:ascii="宋体" w:hAnsi="宋体" w:cs="宋体"/>
                <w:snapToGrid w:val="0"/>
                <w:color w:val="000000"/>
                <w:kern w:val="0"/>
                <w:sz w:val="21"/>
                <w:szCs w:val="21"/>
              </w:rPr>
              <w:t>GDP</w:t>
            </w:r>
            <w:r>
              <w:rPr>
                <w:rFonts w:hint="eastAsia" w:ascii="宋体" w:hAnsi="宋体" w:cs="宋体"/>
                <w:snapToGrid w:val="0"/>
                <w:color w:val="000000"/>
                <w:kern w:val="0"/>
                <w:sz w:val="21"/>
                <w:szCs w:val="21"/>
              </w:rPr>
              <w:t>比重（</w:t>
            </w:r>
            <w:r>
              <w:rPr>
                <w:rFonts w:ascii="宋体" w:hAnsi="宋体" w:cs="宋体"/>
                <w:snapToGrid w:val="0"/>
                <w:color w:val="000000"/>
                <w:kern w:val="0"/>
                <w:sz w:val="21"/>
                <w:szCs w:val="21"/>
              </w:rPr>
              <w:t>%</w:t>
            </w:r>
            <w:r>
              <w:rPr>
                <w:rFonts w:hint="eastAsia" w:ascii="宋体" w:hAnsi="宋体" w:cs="宋体"/>
                <w:snapToGrid w:val="0"/>
                <w:color w:val="000000"/>
                <w:kern w:val="0"/>
                <w:sz w:val="21"/>
                <w:szCs w:val="21"/>
              </w:rPr>
              <w:t>）</w:t>
            </w:r>
          </w:p>
        </w:tc>
        <w:tc>
          <w:tcPr>
            <w:tcW w:w="1357"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napToGrid w:val="0"/>
                <w:color w:val="000000"/>
                <w:kern w:val="0"/>
                <w:sz w:val="21"/>
                <w:szCs w:val="21"/>
                <w:lang w:val="en-US" w:eastAsia="zh-CN"/>
              </w:rPr>
            </w:pPr>
            <w:r>
              <w:rPr>
                <w:rFonts w:hint="eastAsia" w:ascii="宋体" w:hAnsi="宋体" w:cs="宋体"/>
                <w:snapToGrid w:val="0"/>
                <w:color w:val="000000"/>
                <w:kern w:val="0"/>
                <w:sz w:val="21"/>
                <w:szCs w:val="21"/>
                <w:lang w:val="en-US" w:eastAsia="zh-CN"/>
              </w:rPr>
              <w:t>0.08</w:t>
            </w:r>
          </w:p>
        </w:tc>
        <w:tc>
          <w:tcPr>
            <w:tcW w:w="1419"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snapToGrid w:val="0"/>
                <w:color w:val="000000"/>
                <w:kern w:val="0"/>
                <w:sz w:val="21"/>
                <w:szCs w:val="21"/>
              </w:rPr>
            </w:pPr>
            <w:r>
              <w:rPr>
                <w:rFonts w:ascii="宋体" w:hAnsi="宋体" w:cs="宋体"/>
                <w:snapToGrid w:val="0"/>
                <w:color w:val="000000"/>
                <w:kern w:val="0"/>
                <w:sz w:val="21"/>
                <w:szCs w:val="21"/>
              </w:rPr>
              <w:t>0.3</w:t>
            </w:r>
          </w:p>
        </w:tc>
        <w:tc>
          <w:tcPr>
            <w:tcW w:w="886"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snapToGrid w:val="0"/>
                <w:color w:val="000000"/>
                <w:kern w:val="0"/>
                <w:sz w:val="21"/>
                <w:szCs w:val="21"/>
              </w:rPr>
            </w:pPr>
            <w:r>
              <w:rPr>
                <w:rFonts w:ascii="宋体" w:hAnsi="宋体" w:cs="宋体"/>
                <w:snapToGrid w:val="0"/>
                <w:color w:val="000000"/>
                <w:kern w:val="0"/>
                <w:sz w:val="21"/>
                <w:szCs w:val="21"/>
              </w:rPr>
              <w:t>—</w:t>
            </w:r>
          </w:p>
        </w:tc>
        <w:tc>
          <w:tcPr>
            <w:tcW w:w="81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ascii="宋体" w:cs="宋体"/>
                <w:snapToGrid w:val="0"/>
                <w:color w:val="000000"/>
                <w:kern w:val="0"/>
                <w:sz w:val="21"/>
                <w:szCs w:val="21"/>
              </w:rPr>
            </w:pPr>
            <w:r>
              <w:rPr>
                <w:rFonts w:hint="eastAsia" w:ascii="宋体" w:hAnsi="宋体" w:cs="宋体"/>
                <w:snapToGrid w:val="0"/>
                <w:color w:val="000000"/>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trHeight w:val="338" w:hRule="atLeast"/>
          <w:jc w:val="center"/>
        </w:trPr>
        <w:tc>
          <w:tcPr>
            <w:tcW w:w="453"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napToGrid w:val="0"/>
                <w:color w:val="000000"/>
                <w:kern w:val="0"/>
                <w:sz w:val="21"/>
                <w:szCs w:val="21"/>
              </w:rPr>
            </w:pPr>
            <w:r>
              <w:rPr>
                <w:rFonts w:hint="eastAsia" w:ascii="黑体" w:hAnsi="黑体" w:eastAsia="黑体" w:cs="黑体"/>
                <w:b w:val="0"/>
                <w:bCs w:val="0"/>
                <w:snapToGrid w:val="0"/>
                <w:color w:val="000000"/>
                <w:kern w:val="0"/>
                <w:sz w:val="21"/>
                <w:szCs w:val="21"/>
              </w:rPr>
              <w:t>结</w:t>
            </w: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napToGrid w:val="0"/>
                <w:color w:val="000000"/>
                <w:kern w:val="0"/>
                <w:sz w:val="21"/>
                <w:szCs w:val="21"/>
              </w:rPr>
            </w:pPr>
            <w:r>
              <w:rPr>
                <w:rFonts w:hint="eastAsia" w:ascii="黑体" w:hAnsi="黑体" w:eastAsia="黑体" w:cs="黑体"/>
                <w:b w:val="0"/>
                <w:bCs w:val="0"/>
                <w:snapToGrid w:val="0"/>
                <w:color w:val="000000"/>
                <w:kern w:val="0"/>
                <w:sz w:val="21"/>
                <w:szCs w:val="21"/>
              </w:rPr>
              <w:t>构</w:t>
            </w: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napToGrid w:val="0"/>
                <w:color w:val="000000"/>
                <w:kern w:val="0"/>
                <w:sz w:val="21"/>
                <w:szCs w:val="21"/>
                <w:lang w:eastAsia="zh-CN"/>
              </w:rPr>
            </w:pPr>
            <w:r>
              <w:rPr>
                <w:rFonts w:hint="eastAsia" w:ascii="黑体" w:hAnsi="黑体" w:eastAsia="黑体" w:cs="黑体"/>
                <w:b w:val="0"/>
                <w:bCs w:val="0"/>
                <w:snapToGrid w:val="0"/>
                <w:color w:val="000000"/>
                <w:kern w:val="0"/>
                <w:sz w:val="21"/>
                <w:szCs w:val="21"/>
                <w:lang w:eastAsia="zh-CN"/>
              </w:rPr>
              <w:t>升</w:t>
            </w: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napToGrid w:val="0"/>
                <w:color w:val="000000"/>
                <w:kern w:val="0"/>
                <w:sz w:val="21"/>
                <w:szCs w:val="21"/>
              </w:rPr>
            </w:pPr>
            <w:r>
              <w:rPr>
                <w:rFonts w:hint="eastAsia" w:ascii="黑体" w:hAnsi="黑体" w:eastAsia="黑体" w:cs="黑体"/>
                <w:b w:val="0"/>
                <w:bCs w:val="0"/>
                <w:snapToGrid w:val="0"/>
                <w:color w:val="000000"/>
                <w:kern w:val="0"/>
                <w:sz w:val="21"/>
                <w:szCs w:val="21"/>
                <w:lang w:eastAsia="zh-CN"/>
              </w:rPr>
              <w:t>级</w:t>
            </w:r>
          </w:p>
        </w:tc>
        <w:tc>
          <w:tcPr>
            <w:tcW w:w="384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宋体" w:cs="宋体"/>
                <w:snapToGrid w:val="0"/>
                <w:color w:val="000000"/>
                <w:kern w:val="0"/>
                <w:sz w:val="21"/>
                <w:szCs w:val="21"/>
              </w:rPr>
            </w:pPr>
            <w:r>
              <w:rPr>
                <w:rFonts w:ascii="宋体" w:cs="宋体"/>
                <w:snapToGrid w:val="0"/>
                <w:color w:val="000000"/>
                <w:kern w:val="0"/>
                <w:sz w:val="21"/>
                <w:szCs w:val="21"/>
              </w:rPr>
              <w:t>三次产业结构</w:t>
            </w:r>
          </w:p>
        </w:tc>
        <w:tc>
          <w:tcPr>
            <w:tcW w:w="1357"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snapToGrid w:val="0"/>
                <w:color w:val="000000"/>
                <w:kern w:val="0"/>
                <w:sz w:val="21"/>
                <w:szCs w:val="21"/>
              </w:rPr>
            </w:pPr>
            <w:r>
              <w:rPr>
                <w:rFonts w:hint="eastAsia" w:ascii="宋体" w:hAnsi="宋体" w:cs="宋体"/>
                <w:snapToGrid w:val="0"/>
                <w:color w:val="000000"/>
                <w:kern w:val="0"/>
                <w:sz w:val="18"/>
                <w:szCs w:val="18"/>
              </w:rPr>
              <w:t>12</w:t>
            </w:r>
            <w:r>
              <w:rPr>
                <w:rFonts w:hint="eastAsia" w:ascii="宋体" w:hAnsi="宋体" w:cs="宋体"/>
                <w:snapToGrid w:val="0"/>
                <w:color w:val="000000"/>
                <w:kern w:val="0"/>
                <w:sz w:val="18"/>
                <w:szCs w:val="18"/>
                <w:lang w:val="en-US" w:eastAsia="zh-CN"/>
              </w:rPr>
              <w:t>.4</w:t>
            </w:r>
            <w:r>
              <w:rPr>
                <w:rFonts w:hint="eastAsia" w:ascii="宋体" w:hAnsi="宋体" w:cs="宋体"/>
                <w:snapToGrid w:val="0"/>
                <w:color w:val="000000"/>
                <w:kern w:val="0"/>
                <w:sz w:val="18"/>
                <w:szCs w:val="18"/>
              </w:rPr>
              <w:t>:5</w:t>
            </w:r>
            <w:r>
              <w:rPr>
                <w:rFonts w:hint="eastAsia" w:ascii="宋体" w:hAnsi="宋体" w:cs="宋体"/>
                <w:snapToGrid w:val="0"/>
                <w:color w:val="000000"/>
                <w:kern w:val="0"/>
                <w:sz w:val="18"/>
                <w:szCs w:val="18"/>
                <w:lang w:val="en-US" w:eastAsia="zh-CN"/>
              </w:rPr>
              <w:t>5.3</w:t>
            </w:r>
            <w:r>
              <w:rPr>
                <w:rFonts w:hint="eastAsia" w:ascii="宋体" w:hAnsi="宋体" w:cs="宋体"/>
                <w:snapToGrid w:val="0"/>
                <w:color w:val="000000"/>
                <w:kern w:val="0"/>
                <w:sz w:val="18"/>
                <w:szCs w:val="18"/>
              </w:rPr>
              <w:t>:3</w:t>
            </w:r>
            <w:r>
              <w:rPr>
                <w:rFonts w:hint="eastAsia" w:ascii="宋体" w:hAnsi="宋体" w:cs="宋体"/>
                <w:snapToGrid w:val="0"/>
                <w:color w:val="000000"/>
                <w:kern w:val="0"/>
                <w:sz w:val="18"/>
                <w:szCs w:val="18"/>
                <w:lang w:val="en-US" w:eastAsia="zh-CN"/>
              </w:rPr>
              <w:t>2.3</w:t>
            </w:r>
          </w:p>
        </w:tc>
        <w:tc>
          <w:tcPr>
            <w:tcW w:w="1419"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eastAsia="宋体"/>
                <w:color w:val="000000"/>
                <w:sz w:val="21"/>
                <w:szCs w:val="21"/>
              </w:rPr>
            </w:pPr>
            <w:r>
              <w:rPr>
                <w:rFonts w:hint="eastAsia" w:ascii="宋体" w:hAnsi="宋体" w:cs="宋体"/>
                <w:snapToGrid w:val="0"/>
                <w:color w:val="000000"/>
                <w:kern w:val="0"/>
                <w:sz w:val="21"/>
                <w:szCs w:val="21"/>
              </w:rPr>
              <w:t>10:56:34</w:t>
            </w:r>
          </w:p>
        </w:tc>
        <w:tc>
          <w:tcPr>
            <w:tcW w:w="886"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cs="宋体"/>
                <w:b/>
                <w:bCs/>
                <w:snapToGrid w:val="0"/>
                <w:color w:val="000000"/>
                <w:kern w:val="0"/>
                <w:sz w:val="21"/>
                <w:szCs w:val="21"/>
              </w:rPr>
            </w:pPr>
          </w:p>
        </w:tc>
        <w:tc>
          <w:tcPr>
            <w:tcW w:w="81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ascii="宋体" w:cs="宋体"/>
                <w:snapToGrid w:val="0"/>
                <w:color w:val="000000"/>
                <w:kern w:val="0"/>
                <w:sz w:val="21"/>
                <w:szCs w:val="21"/>
              </w:rPr>
            </w:pPr>
            <w:r>
              <w:rPr>
                <w:rFonts w:hint="eastAsia" w:ascii="宋体" w:hAnsi="宋体" w:cs="宋体"/>
                <w:snapToGrid w:val="0"/>
                <w:color w:val="000000"/>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trHeight w:val="361" w:hRule="atLeast"/>
          <w:jc w:val="center"/>
        </w:trPr>
        <w:tc>
          <w:tcPr>
            <w:tcW w:w="453"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napToGrid w:val="0"/>
                <w:color w:val="000000"/>
                <w:kern w:val="0"/>
                <w:sz w:val="21"/>
                <w:szCs w:val="21"/>
              </w:rPr>
            </w:pPr>
          </w:p>
        </w:tc>
        <w:tc>
          <w:tcPr>
            <w:tcW w:w="384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宋体" w:cs="宋体"/>
                <w:snapToGrid w:val="0"/>
                <w:color w:val="000000"/>
                <w:kern w:val="0"/>
                <w:sz w:val="21"/>
                <w:szCs w:val="21"/>
              </w:rPr>
            </w:pPr>
            <w:r>
              <w:rPr>
                <w:rFonts w:hint="eastAsia" w:ascii="宋体" w:hAnsi="宋体" w:cs="宋体"/>
                <w:snapToGrid w:val="0"/>
                <w:color w:val="000000"/>
                <w:kern w:val="0"/>
                <w:sz w:val="21"/>
                <w:szCs w:val="21"/>
              </w:rPr>
              <w:t>规模以上工业增加值（亿元）</w:t>
            </w:r>
          </w:p>
        </w:tc>
        <w:tc>
          <w:tcPr>
            <w:tcW w:w="1357"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lang w:val="en-US" w:eastAsia="zh-CN"/>
              </w:rPr>
              <w:t>321</w:t>
            </w:r>
          </w:p>
        </w:tc>
        <w:tc>
          <w:tcPr>
            <w:tcW w:w="1419"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cs="宋体"/>
                <w:bCs/>
                <w:snapToGrid w:val="0"/>
                <w:color w:val="000000"/>
                <w:kern w:val="0"/>
                <w:sz w:val="21"/>
                <w:szCs w:val="21"/>
              </w:rPr>
            </w:pPr>
            <w:r>
              <w:rPr>
                <w:rFonts w:hint="eastAsia" w:ascii="宋体" w:cs="宋体"/>
                <w:bCs/>
                <w:snapToGrid w:val="0"/>
                <w:color w:val="000000"/>
                <w:kern w:val="0"/>
                <w:sz w:val="21"/>
                <w:szCs w:val="21"/>
              </w:rPr>
              <w:t>650</w:t>
            </w:r>
          </w:p>
        </w:tc>
        <w:tc>
          <w:tcPr>
            <w:tcW w:w="886"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eastAsia="宋体" w:cs="宋体"/>
                <w:bCs/>
                <w:snapToGrid w:val="0"/>
                <w:color w:val="000000"/>
                <w:kern w:val="0"/>
                <w:sz w:val="21"/>
                <w:szCs w:val="21"/>
                <w:lang w:eastAsia="zh-CN"/>
              </w:rPr>
            </w:pPr>
            <w:r>
              <w:rPr>
                <w:rFonts w:hint="eastAsia" w:ascii="宋体" w:hAnsi="宋体" w:cs="宋体"/>
                <w:bCs/>
                <w:snapToGrid w:val="0"/>
                <w:color w:val="000000"/>
                <w:kern w:val="0"/>
                <w:sz w:val="21"/>
                <w:szCs w:val="21"/>
                <w:lang w:val="en-US" w:eastAsia="zh-CN"/>
              </w:rPr>
              <w:t>15</w:t>
            </w:r>
          </w:p>
        </w:tc>
        <w:tc>
          <w:tcPr>
            <w:tcW w:w="81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ascii="宋体" w:cs="宋体"/>
                <w:snapToGrid w:val="0"/>
                <w:color w:val="000000"/>
                <w:kern w:val="0"/>
                <w:sz w:val="21"/>
                <w:szCs w:val="21"/>
              </w:rPr>
            </w:pPr>
            <w:r>
              <w:rPr>
                <w:rFonts w:hint="eastAsia" w:ascii="宋体" w:hAnsi="宋体" w:cs="宋体"/>
                <w:snapToGrid w:val="0"/>
                <w:color w:val="000000"/>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trHeight w:val="362" w:hRule="atLeast"/>
          <w:jc w:val="center"/>
        </w:trPr>
        <w:tc>
          <w:tcPr>
            <w:tcW w:w="453" w:type="dxa"/>
            <w:vMerge w:val="continue"/>
            <w:noWrap w:val="0"/>
            <w:textDirection w:val="tbRlV"/>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napToGrid w:val="0"/>
                <w:color w:val="000000"/>
                <w:kern w:val="0"/>
                <w:sz w:val="21"/>
                <w:szCs w:val="21"/>
              </w:rPr>
            </w:pPr>
          </w:p>
        </w:tc>
        <w:tc>
          <w:tcPr>
            <w:tcW w:w="384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宋体" w:cs="宋体"/>
                <w:snapToGrid w:val="0"/>
                <w:color w:val="000000"/>
                <w:kern w:val="0"/>
                <w:sz w:val="21"/>
                <w:szCs w:val="21"/>
              </w:rPr>
            </w:pPr>
            <w:r>
              <w:rPr>
                <w:rFonts w:hint="eastAsia" w:ascii="宋体" w:hAnsi="宋体" w:cs="宋体"/>
                <w:snapToGrid w:val="0"/>
                <w:color w:val="000000"/>
                <w:kern w:val="0"/>
                <w:sz w:val="21"/>
                <w:szCs w:val="21"/>
              </w:rPr>
              <w:t>服务业增加值占</w:t>
            </w:r>
            <w:r>
              <w:rPr>
                <w:rFonts w:ascii="宋体" w:hAnsi="宋体" w:cs="宋体"/>
                <w:snapToGrid w:val="0"/>
                <w:color w:val="000000"/>
                <w:kern w:val="0"/>
                <w:sz w:val="21"/>
                <w:szCs w:val="21"/>
              </w:rPr>
              <w:t>GDP</w:t>
            </w:r>
            <w:r>
              <w:rPr>
                <w:rFonts w:hint="eastAsia" w:ascii="宋体" w:hAnsi="宋体" w:cs="宋体"/>
                <w:snapToGrid w:val="0"/>
                <w:color w:val="000000"/>
                <w:kern w:val="0"/>
                <w:sz w:val="21"/>
                <w:szCs w:val="21"/>
              </w:rPr>
              <w:t>比重（</w:t>
            </w:r>
            <w:r>
              <w:rPr>
                <w:rFonts w:ascii="宋体" w:hAnsi="宋体" w:cs="宋体"/>
                <w:snapToGrid w:val="0"/>
                <w:color w:val="000000"/>
                <w:kern w:val="0"/>
                <w:sz w:val="21"/>
                <w:szCs w:val="21"/>
              </w:rPr>
              <w:t>%</w:t>
            </w:r>
            <w:r>
              <w:rPr>
                <w:rFonts w:hint="eastAsia" w:ascii="宋体" w:hAnsi="宋体" w:cs="宋体"/>
                <w:snapToGrid w:val="0"/>
                <w:color w:val="000000"/>
                <w:kern w:val="0"/>
                <w:sz w:val="21"/>
                <w:szCs w:val="21"/>
              </w:rPr>
              <w:t>）</w:t>
            </w:r>
          </w:p>
        </w:tc>
        <w:tc>
          <w:tcPr>
            <w:tcW w:w="1357"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lang w:val="en-US" w:eastAsia="zh-CN"/>
              </w:rPr>
              <w:t>32.3</w:t>
            </w:r>
          </w:p>
        </w:tc>
        <w:tc>
          <w:tcPr>
            <w:tcW w:w="1419"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cs="宋体"/>
                <w:snapToGrid w:val="0"/>
                <w:color w:val="000000"/>
                <w:kern w:val="0"/>
                <w:sz w:val="21"/>
                <w:szCs w:val="21"/>
              </w:rPr>
            </w:pPr>
            <w:r>
              <w:rPr>
                <w:rFonts w:hint="eastAsia" w:ascii="宋体" w:hAnsi="宋体" w:cs="宋体"/>
                <w:snapToGrid w:val="0"/>
                <w:color w:val="000000"/>
                <w:kern w:val="0"/>
                <w:sz w:val="21"/>
                <w:szCs w:val="21"/>
              </w:rPr>
              <w:t>3</w:t>
            </w:r>
            <w:r>
              <w:rPr>
                <w:rFonts w:hint="eastAsia" w:ascii="宋体" w:hAnsi="宋体" w:cs="宋体"/>
                <w:snapToGrid w:val="0"/>
                <w:color w:val="000000"/>
                <w:kern w:val="0"/>
                <w:sz w:val="21"/>
                <w:szCs w:val="21"/>
                <w:lang w:val="en-US" w:eastAsia="zh-CN"/>
              </w:rPr>
              <w:t>4</w:t>
            </w:r>
          </w:p>
        </w:tc>
        <w:tc>
          <w:tcPr>
            <w:tcW w:w="886"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snapToGrid w:val="0"/>
                <w:color w:val="000000"/>
                <w:kern w:val="0"/>
                <w:sz w:val="21"/>
                <w:szCs w:val="21"/>
              </w:rPr>
            </w:pPr>
            <w:r>
              <w:rPr>
                <w:rFonts w:ascii="宋体" w:hAnsi="宋体" w:cs="宋体"/>
                <w:snapToGrid w:val="0"/>
                <w:color w:val="000000"/>
                <w:kern w:val="0"/>
                <w:sz w:val="21"/>
                <w:szCs w:val="21"/>
              </w:rPr>
              <w:t>—</w:t>
            </w:r>
          </w:p>
        </w:tc>
        <w:tc>
          <w:tcPr>
            <w:tcW w:w="81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ascii="宋体" w:cs="宋体"/>
                <w:snapToGrid w:val="0"/>
                <w:color w:val="000000"/>
                <w:kern w:val="0"/>
                <w:sz w:val="21"/>
                <w:szCs w:val="21"/>
              </w:rPr>
            </w:pPr>
            <w:r>
              <w:rPr>
                <w:rFonts w:hint="eastAsia" w:ascii="宋体" w:hAnsi="宋体" w:cs="宋体"/>
                <w:snapToGrid w:val="0"/>
                <w:color w:val="000000"/>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trHeight w:val="387" w:hRule="atLeast"/>
          <w:jc w:val="center"/>
        </w:trPr>
        <w:tc>
          <w:tcPr>
            <w:tcW w:w="453" w:type="dxa"/>
            <w:vMerge w:val="continue"/>
            <w:noWrap w:val="0"/>
            <w:textDirection w:val="tbRlV"/>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napToGrid w:val="0"/>
                <w:color w:val="000000"/>
                <w:kern w:val="0"/>
                <w:sz w:val="21"/>
                <w:szCs w:val="21"/>
              </w:rPr>
            </w:pPr>
          </w:p>
        </w:tc>
        <w:tc>
          <w:tcPr>
            <w:tcW w:w="384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宋体" w:cs="宋体"/>
                <w:snapToGrid w:val="0"/>
                <w:color w:val="000000"/>
                <w:kern w:val="0"/>
                <w:sz w:val="21"/>
                <w:szCs w:val="21"/>
              </w:rPr>
            </w:pPr>
            <w:r>
              <w:rPr>
                <w:rFonts w:hint="eastAsia" w:ascii="宋体" w:hAnsi="宋体" w:cs="宋体"/>
                <w:snapToGrid w:val="0"/>
                <w:color w:val="000000"/>
                <w:kern w:val="0"/>
                <w:sz w:val="21"/>
                <w:szCs w:val="21"/>
              </w:rPr>
              <w:t>文化产业增加值占</w:t>
            </w:r>
            <w:r>
              <w:rPr>
                <w:rFonts w:ascii="宋体" w:hAnsi="宋体" w:cs="宋体"/>
                <w:snapToGrid w:val="0"/>
                <w:color w:val="000000"/>
                <w:kern w:val="0"/>
                <w:sz w:val="21"/>
                <w:szCs w:val="21"/>
              </w:rPr>
              <w:t>GDP</w:t>
            </w:r>
            <w:r>
              <w:rPr>
                <w:rFonts w:hint="eastAsia" w:ascii="宋体" w:hAnsi="宋体" w:cs="宋体"/>
                <w:snapToGrid w:val="0"/>
                <w:color w:val="000000"/>
                <w:kern w:val="0"/>
                <w:sz w:val="21"/>
                <w:szCs w:val="21"/>
              </w:rPr>
              <w:t>比重（</w:t>
            </w:r>
            <w:r>
              <w:rPr>
                <w:rFonts w:ascii="宋体" w:hAnsi="宋体" w:cs="宋体"/>
                <w:snapToGrid w:val="0"/>
                <w:color w:val="000000"/>
                <w:kern w:val="0"/>
                <w:sz w:val="21"/>
                <w:szCs w:val="21"/>
              </w:rPr>
              <w:t>%</w:t>
            </w:r>
            <w:r>
              <w:rPr>
                <w:rFonts w:hint="eastAsia" w:ascii="宋体" w:hAnsi="宋体" w:cs="宋体"/>
                <w:snapToGrid w:val="0"/>
                <w:color w:val="000000"/>
                <w:kern w:val="0"/>
                <w:sz w:val="21"/>
                <w:szCs w:val="21"/>
              </w:rPr>
              <w:t>）</w:t>
            </w:r>
          </w:p>
        </w:tc>
        <w:tc>
          <w:tcPr>
            <w:tcW w:w="1357"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cs="宋体"/>
                <w:snapToGrid w:val="0"/>
                <w:color w:val="000000"/>
                <w:kern w:val="0"/>
                <w:sz w:val="21"/>
                <w:szCs w:val="21"/>
              </w:rPr>
            </w:pPr>
            <w:r>
              <w:rPr>
                <w:rFonts w:hint="eastAsia" w:ascii="宋体" w:cs="宋体"/>
                <w:snapToGrid w:val="0"/>
                <w:color w:val="000000"/>
                <w:kern w:val="0"/>
                <w:sz w:val="21"/>
                <w:szCs w:val="21"/>
              </w:rPr>
              <w:t>3</w:t>
            </w:r>
          </w:p>
        </w:tc>
        <w:tc>
          <w:tcPr>
            <w:tcW w:w="1419"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snapToGrid w:val="0"/>
                <w:color w:val="000000"/>
                <w:kern w:val="0"/>
                <w:sz w:val="21"/>
                <w:szCs w:val="21"/>
              </w:rPr>
            </w:pPr>
            <w:r>
              <w:rPr>
                <w:rFonts w:ascii="宋体" w:hAnsi="宋体" w:cs="宋体"/>
                <w:snapToGrid w:val="0"/>
                <w:color w:val="000000"/>
                <w:kern w:val="0"/>
                <w:sz w:val="21"/>
                <w:szCs w:val="21"/>
              </w:rPr>
              <w:t>5</w:t>
            </w:r>
          </w:p>
        </w:tc>
        <w:tc>
          <w:tcPr>
            <w:tcW w:w="886"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snapToGrid w:val="0"/>
                <w:color w:val="000000"/>
                <w:kern w:val="0"/>
                <w:sz w:val="21"/>
                <w:szCs w:val="21"/>
              </w:rPr>
            </w:pPr>
            <w:r>
              <w:rPr>
                <w:rFonts w:ascii="宋体" w:hAnsi="宋体" w:cs="宋体"/>
                <w:snapToGrid w:val="0"/>
                <w:color w:val="000000"/>
                <w:kern w:val="0"/>
                <w:sz w:val="21"/>
                <w:szCs w:val="21"/>
              </w:rPr>
              <w:t>—</w:t>
            </w:r>
          </w:p>
        </w:tc>
        <w:tc>
          <w:tcPr>
            <w:tcW w:w="81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ascii="宋体" w:cs="宋体"/>
                <w:snapToGrid w:val="0"/>
                <w:color w:val="000000"/>
                <w:kern w:val="0"/>
                <w:sz w:val="21"/>
                <w:szCs w:val="21"/>
              </w:rPr>
            </w:pPr>
            <w:r>
              <w:rPr>
                <w:rFonts w:hint="eastAsia" w:ascii="宋体" w:hAnsi="宋体" w:cs="宋体"/>
                <w:snapToGrid w:val="0"/>
                <w:color w:val="000000"/>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trHeight w:val="341" w:hRule="atLeast"/>
          <w:jc w:val="center"/>
        </w:trPr>
        <w:tc>
          <w:tcPr>
            <w:tcW w:w="453" w:type="dxa"/>
            <w:vMerge w:val="continue"/>
            <w:noWrap w:val="0"/>
            <w:textDirection w:val="tbRlV"/>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napToGrid w:val="0"/>
                <w:color w:val="000000"/>
                <w:kern w:val="0"/>
                <w:sz w:val="21"/>
                <w:szCs w:val="21"/>
              </w:rPr>
            </w:pPr>
          </w:p>
        </w:tc>
        <w:tc>
          <w:tcPr>
            <w:tcW w:w="384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宋体" w:cs="宋体"/>
                <w:snapToGrid w:val="0"/>
                <w:color w:val="000000"/>
                <w:kern w:val="0"/>
                <w:sz w:val="21"/>
                <w:szCs w:val="21"/>
              </w:rPr>
            </w:pPr>
            <w:r>
              <w:rPr>
                <w:rFonts w:ascii="宋体" w:cs="宋体"/>
                <w:snapToGrid w:val="0"/>
                <w:color w:val="000000"/>
                <w:kern w:val="0"/>
                <w:sz w:val="21"/>
                <w:szCs w:val="21"/>
              </w:rPr>
              <w:t>互联网普及率</w:t>
            </w:r>
            <w:r>
              <w:rPr>
                <w:rFonts w:hint="eastAsia" w:ascii="宋体" w:cs="宋体"/>
                <w:snapToGrid w:val="0"/>
                <w:color w:val="000000"/>
                <w:kern w:val="0"/>
                <w:sz w:val="21"/>
                <w:szCs w:val="21"/>
              </w:rPr>
              <w:t>（%）</w:t>
            </w:r>
          </w:p>
        </w:tc>
        <w:tc>
          <w:tcPr>
            <w:tcW w:w="1357"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cs="宋体"/>
                <w:snapToGrid w:val="0"/>
                <w:color w:val="000000"/>
                <w:kern w:val="0"/>
                <w:sz w:val="21"/>
                <w:szCs w:val="21"/>
              </w:rPr>
            </w:pPr>
          </w:p>
        </w:tc>
        <w:tc>
          <w:tcPr>
            <w:tcW w:w="1419"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cs="宋体"/>
                <w:snapToGrid w:val="0"/>
                <w:color w:val="000000"/>
                <w:kern w:val="0"/>
                <w:sz w:val="21"/>
                <w:szCs w:val="21"/>
              </w:rPr>
            </w:pPr>
            <w:r>
              <w:rPr>
                <w:rFonts w:hint="eastAsia" w:ascii="宋体" w:cs="宋体"/>
                <w:snapToGrid w:val="0"/>
                <w:color w:val="000000"/>
                <w:kern w:val="0"/>
                <w:sz w:val="21"/>
                <w:szCs w:val="21"/>
              </w:rPr>
              <w:t>50</w:t>
            </w:r>
          </w:p>
        </w:tc>
        <w:tc>
          <w:tcPr>
            <w:tcW w:w="886"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snapToGrid w:val="0"/>
                <w:color w:val="000000"/>
                <w:kern w:val="0"/>
                <w:sz w:val="21"/>
                <w:szCs w:val="21"/>
              </w:rPr>
            </w:pPr>
            <w:r>
              <w:rPr>
                <w:rFonts w:ascii="宋体" w:hAnsi="宋体" w:cs="宋体"/>
                <w:snapToGrid w:val="0"/>
                <w:color w:val="000000"/>
                <w:kern w:val="0"/>
                <w:sz w:val="21"/>
                <w:szCs w:val="21"/>
              </w:rPr>
              <w:t>—</w:t>
            </w:r>
          </w:p>
        </w:tc>
        <w:tc>
          <w:tcPr>
            <w:tcW w:w="81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ascii="宋体" w:cs="宋体"/>
                <w:snapToGrid w:val="0"/>
                <w:color w:val="000000"/>
                <w:kern w:val="0"/>
                <w:sz w:val="21"/>
                <w:szCs w:val="21"/>
              </w:rPr>
            </w:pPr>
            <w:r>
              <w:rPr>
                <w:rFonts w:hint="eastAsia" w:ascii="宋体" w:hAnsi="宋体" w:cs="宋体"/>
                <w:snapToGrid w:val="0"/>
                <w:color w:val="000000"/>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trHeight w:val="334" w:hRule="atLeast"/>
          <w:jc w:val="center"/>
        </w:trPr>
        <w:tc>
          <w:tcPr>
            <w:tcW w:w="453" w:type="dxa"/>
            <w:vMerge w:val="continue"/>
            <w:noWrap w:val="0"/>
            <w:textDirection w:val="tbRlV"/>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napToGrid w:val="0"/>
                <w:color w:val="000000"/>
                <w:kern w:val="0"/>
                <w:sz w:val="21"/>
                <w:szCs w:val="21"/>
              </w:rPr>
            </w:pPr>
          </w:p>
        </w:tc>
        <w:tc>
          <w:tcPr>
            <w:tcW w:w="384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宋体" w:cs="宋体"/>
                <w:snapToGrid w:val="0"/>
                <w:color w:val="000000"/>
                <w:kern w:val="0"/>
                <w:sz w:val="21"/>
                <w:szCs w:val="21"/>
              </w:rPr>
            </w:pPr>
            <w:r>
              <w:rPr>
                <w:rFonts w:hint="eastAsia" w:ascii="宋体" w:hAnsi="宋体" w:cs="宋体"/>
                <w:snapToGrid w:val="0"/>
                <w:color w:val="000000"/>
                <w:kern w:val="0"/>
                <w:sz w:val="21"/>
                <w:szCs w:val="21"/>
              </w:rPr>
              <w:t>城镇化率（</w:t>
            </w:r>
            <w:r>
              <w:rPr>
                <w:rFonts w:ascii="宋体" w:hAnsi="宋体" w:cs="宋体"/>
                <w:snapToGrid w:val="0"/>
                <w:color w:val="000000"/>
                <w:kern w:val="0"/>
                <w:sz w:val="21"/>
                <w:szCs w:val="21"/>
              </w:rPr>
              <w:t>%</w:t>
            </w:r>
            <w:r>
              <w:rPr>
                <w:rFonts w:hint="eastAsia" w:ascii="宋体" w:hAnsi="宋体" w:cs="宋体"/>
                <w:snapToGrid w:val="0"/>
                <w:color w:val="000000"/>
                <w:kern w:val="0"/>
                <w:sz w:val="21"/>
                <w:szCs w:val="21"/>
              </w:rPr>
              <w:t>）</w:t>
            </w:r>
          </w:p>
        </w:tc>
        <w:tc>
          <w:tcPr>
            <w:tcW w:w="1357"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snapToGrid w:val="0"/>
                <w:color w:val="000000"/>
                <w:kern w:val="0"/>
                <w:sz w:val="21"/>
                <w:szCs w:val="21"/>
              </w:rPr>
            </w:pPr>
            <w:r>
              <w:rPr>
                <w:rFonts w:ascii="宋体" w:hAnsi="宋体" w:cs="宋体"/>
                <w:snapToGrid w:val="0"/>
                <w:color w:val="000000"/>
                <w:kern w:val="0"/>
                <w:sz w:val="21"/>
                <w:szCs w:val="21"/>
              </w:rPr>
              <w:t>44</w:t>
            </w:r>
            <w:r>
              <w:rPr>
                <w:rFonts w:hint="eastAsia" w:ascii="宋体" w:hAnsi="宋体" w:cs="宋体"/>
                <w:snapToGrid w:val="0"/>
                <w:color w:val="000000"/>
                <w:kern w:val="0"/>
                <w:sz w:val="21"/>
                <w:szCs w:val="21"/>
                <w:lang w:val="en-US" w:eastAsia="zh-CN"/>
              </w:rPr>
              <w:t>.3</w:t>
            </w:r>
          </w:p>
        </w:tc>
        <w:tc>
          <w:tcPr>
            <w:tcW w:w="1419"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snapToGrid w:val="0"/>
                <w:color w:val="000000"/>
                <w:kern w:val="0"/>
                <w:sz w:val="21"/>
                <w:szCs w:val="21"/>
              </w:rPr>
            </w:pPr>
            <w:r>
              <w:rPr>
                <w:rFonts w:ascii="宋体" w:hAnsi="宋体" w:cs="宋体"/>
                <w:snapToGrid w:val="0"/>
                <w:color w:val="000000"/>
                <w:kern w:val="0"/>
                <w:sz w:val="21"/>
                <w:szCs w:val="21"/>
              </w:rPr>
              <w:t>55</w:t>
            </w:r>
          </w:p>
        </w:tc>
        <w:tc>
          <w:tcPr>
            <w:tcW w:w="886"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snapToGrid w:val="0"/>
                <w:color w:val="000000"/>
                <w:kern w:val="0"/>
                <w:sz w:val="21"/>
                <w:szCs w:val="21"/>
              </w:rPr>
            </w:pPr>
            <w:r>
              <w:rPr>
                <w:rFonts w:ascii="宋体" w:hAnsi="宋体" w:cs="宋体"/>
                <w:snapToGrid w:val="0"/>
                <w:color w:val="000000"/>
                <w:kern w:val="0"/>
                <w:sz w:val="21"/>
                <w:szCs w:val="21"/>
              </w:rPr>
              <w:t>—</w:t>
            </w:r>
          </w:p>
        </w:tc>
        <w:tc>
          <w:tcPr>
            <w:tcW w:w="81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ascii="宋体" w:cs="宋体"/>
                <w:snapToGrid w:val="0"/>
                <w:color w:val="000000"/>
                <w:kern w:val="0"/>
                <w:sz w:val="21"/>
                <w:szCs w:val="21"/>
              </w:rPr>
            </w:pPr>
            <w:r>
              <w:rPr>
                <w:rFonts w:hint="eastAsia" w:ascii="宋体" w:hAnsi="宋体" w:cs="宋体"/>
                <w:snapToGrid w:val="0"/>
                <w:color w:val="000000"/>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trHeight w:val="362" w:hRule="atLeast"/>
          <w:jc w:val="center"/>
        </w:trPr>
        <w:tc>
          <w:tcPr>
            <w:tcW w:w="453"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napToGrid w:val="0"/>
                <w:color w:val="000000"/>
                <w:kern w:val="0"/>
                <w:sz w:val="21"/>
                <w:szCs w:val="21"/>
              </w:rPr>
            </w:pP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napToGrid w:val="0"/>
                <w:color w:val="000000"/>
                <w:kern w:val="0"/>
                <w:sz w:val="21"/>
                <w:szCs w:val="21"/>
                <w:lang w:eastAsia="zh-CN"/>
              </w:rPr>
            </w:pPr>
            <w:r>
              <w:rPr>
                <w:rFonts w:hint="eastAsia" w:ascii="黑体" w:hAnsi="黑体" w:eastAsia="黑体" w:cs="黑体"/>
                <w:b w:val="0"/>
                <w:bCs w:val="0"/>
                <w:snapToGrid w:val="0"/>
                <w:color w:val="000000"/>
                <w:kern w:val="0"/>
                <w:sz w:val="21"/>
                <w:szCs w:val="21"/>
                <w:lang w:eastAsia="zh-CN"/>
              </w:rPr>
              <w:t>民</w:t>
            </w: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napToGrid w:val="0"/>
                <w:color w:val="000000"/>
                <w:kern w:val="0"/>
                <w:sz w:val="21"/>
                <w:szCs w:val="21"/>
                <w:lang w:eastAsia="zh-CN"/>
              </w:rPr>
            </w:pPr>
            <w:r>
              <w:rPr>
                <w:rFonts w:hint="eastAsia" w:ascii="黑体" w:hAnsi="黑体" w:eastAsia="黑体" w:cs="黑体"/>
                <w:b w:val="0"/>
                <w:bCs w:val="0"/>
                <w:snapToGrid w:val="0"/>
                <w:color w:val="000000"/>
                <w:kern w:val="0"/>
                <w:sz w:val="21"/>
                <w:szCs w:val="21"/>
                <w:lang w:eastAsia="zh-CN"/>
              </w:rPr>
              <w:t>生</w:t>
            </w: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napToGrid w:val="0"/>
                <w:color w:val="000000"/>
                <w:kern w:val="0"/>
                <w:sz w:val="21"/>
                <w:szCs w:val="21"/>
              </w:rPr>
            </w:pPr>
            <w:r>
              <w:rPr>
                <w:rFonts w:hint="eastAsia" w:ascii="黑体" w:hAnsi="黑体" w:eastAsia="黑体" w:cs="黑体"/>
                <w:b w:val="0"/>
                <w:bCs w:val="0"/>
                <w:snapToGrid w:val="0"/>
                <w:color w:val="000000"/>
                <w:kern w:val="0"/>
                <w:sz w:val="21"/>
                <w:szCs w:val="21"/>
              </w:rPr>
              <w:t>福</w:t>
            </w: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napToGrid w:val="0"/>
                <w:color w:val="000000"/>
                <w:kern w:val="0"/>
                <w:sz w:val="21"/>
                <w:szCs w:val="21"/>
              </w:rPr>
            </w:pPr>
            <w:r>
              <w:rPr>
                <w:rFonts w:hint="eastAsia" w:ascii="黑体" w:hAnsi="黑体" w:eastAsia="黑体" w:cs="黑体"/>
                <w:b w:val="0"/>
                <w:bCs w:val="0"/>
                <w:snapToGrid w:val="0"/>
                <w:color w:val="000000"/>
                <w:kern w:val="0"/>
                <w:sz w:val="21"/>
                <w:szCs w:val="21"/>
              </w:rPr>
              <w:t>祉</w:t>
            </w: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napToGrid w:val="0"/>
                <w:color w:val="000000"/>
                <w:kern w:val="0"/>
                <w:sz w:val="21"/>
                <w:szCs w:val="21"/>
              </w:rPr>
            </w:pPr>
          </w:p>
        </w:tc>
        <w:tc>
          <w:tcPr>
            <w:tcW w:w="384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宋体" w:cs="宋体"/>
                <w:snapToGrid w:val="0"/>
                <w:color w:val="000000"/>
                <w:kern w:val="0"/>
                <w:sz w:val="21"/>
                <w:szCs w:val="21"/>
              </w:rPr>
            </w:pPr>
            <w:r>
              <w:rPr>
                <w:rFonts w:hint="eastAsia" w:ascii="宋体" w:hAnsi="宋体" w:cs="宋体"/>
                <w:snapToGrid w:val="0"/>
                <w:color w:val="000000"/>
                <w:kern w:val="0"/>
                <w:sz w:val="21"/>
                <w:szCs w:val="21"/>
              </w:rPr>
              <w:t>居民人均可支配收入</w:t>
            </w:r>
            <w:r>
              <w:rPr>
                <w:rFonts w:hint="eastAsia" w:ascii="宋体" w:hAnsi="宋体" w:cs="宋体"/>
                <w:snapToGrid w:val="0"/>
                <w:color w:val="000000"/>
                <w:kern w:val="0"/>
                <w:sz w:val="21"/>
                <w:szCs w:val="21"/>
                <w:lang w:eastAsia="zh-CN"/>
              </w:rPr>
              <w:t>（元）</w:t>
            </w:r>
          </w:p>
        </w:tc>
        <w:tc>
          <w:tcPr>
            <w:tcW w:w="1357"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13976</w:t>
            </w:r>
          </w:p>
        </w:tc>
        <w:tc>
          <w:tcPr>
            <w:tcW w:w="1419"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22500</w:t>
            </w:r>
          </w:p>
        </w:tc>
        <w:tc>
          <w:tcPr>
            <w:tcW w:w="886"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10</w:t>
            </w:r>
          </w:p>
        </w:tc>
        <w:tc>
          <w:tcPr>
            <w:tcW w:w="81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eastAsia="宋体" w:cs="宋体"/>
                <w:snapToGrid w:val="0"/>
                <w:color w:val="000000"/>
                <w:kern w:val="0"/>
                <w:sz w:val="21"/>
                <w:szCs w:val="21"/>
                <w:lang w:eastAsia="zh-CN"/>
              </w:rPr>
            </w:pPr>
            <w:r>
              <w:rPr>
                <w:rFonts w:hint="eastAsia" w:ascii="宋体" w:cs="宋体"/>
                <w:snapToGrid w:val="0"/>
                <w:color w:val="000000"/>
                <w:kern w:val="0"/>
                <w:sz w:val="21"/>
                <w:szCs w:val="21"/>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trHeight w:val="363" w:hRule="atLeast"/>
          <w:jc w:val="center"/>
        </w:trPr>
        <w:tc>
          <w:tcPr>
            <w:tcW w:w="453"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napToGrid w:val="0"/>
                <w:color w:val="000000"/>
                <w:kern w:val="0"/>
                <w:sz w:val="21"/>
                <w:szCs w:val="21"/>
              </w:rPr>
            </w:pPr>
          </w:p>
        </w:tc>
        <w:tc>
          <w:tcPr>
            <w:tcW w:w="384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lang w:val="en-US" w:eastAsia="zh-CN"/>
              </w:rPr>
              <w:t xml:space="preserve">   </w:t>
            </w:r>
            <w:r>
              <w:rPr>
                <w:rFonts w:hint="eastAsia" w:ascii="宋体" w:hAnsi="宋体" w:cs="宋体"/>
                <w:snapToGrid w:val="0"/>
                <w:color w:val="000000"/>
                <w:kern w:val="0"/>
                <w:sz w:val="21"/>
                <w:szCs w:val="21"/>
              </w:rPr>
              <w:t>城镇居民人均可支配收入（元</w:t>
            </w:r>
            <w:r>
              <w:rPr>
                <w:rFonts w:hint="eastAsia" w:ascii="宋体" w:hAnsi="宋体" w:cs="宋体"/>
                <w:snapToGrid w:val="0"/>
                <w:color w:val="000000"/>
                <w:kern w:val="0"/>
                <w:sz w:val="21"/>
                <w:szCs w:val="21"/>
                <w:lang w:eastAsia="zh-CN"/>
              </w:rPr>
              <w:t>、</w:t>
            </w:r>
            <w:r>
              <w:rPr>
                <w:rFonts w:hint="eastAsia" w:ascii="楷体_GB2312" w:hAnsi="楷体_GB2312" w:eastAsia="楷体_GB2312" w:cs="楷体_GB2312"/>
                <w:snapToGrid w:val="0"/>
                <w:color w:val="000000"/>
                <w:kern w:val="0"/>
                <w:sz w:val="21"/>
                <w:szCs w:val="21"/>
                <w:lang w:eastAsia="zh-CN"/>
              </w:rPr>
              <w:t>新口径</w:t>
            </w:r>
            <w:r>
              <w:rPr>
                <w:rFonts w:hint="eastAsia" w:ascii="宋体" w:hAnsi="宋体" w:cs="宋体"/>
                <w:snapToGrid w:val="0"/>
                <w:color w:val="000000"/>
                <w:kern w:val="0"/>
                <w:sz w:val="21"/>
                <w:szCs w:val="21"/>
              </w:rPr>
              <w:t>）</w:t>
            </w:r>
          </w:p>
        </w:tc>
        <w:tc>
          <w:tcPr>
            <w:tcW w:w="1357"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2</w:t>
            </w:r>
            <w:r>
              <w:rPr>
                <w:rFonts w:hint="eastAsia" w:ascii="宋体" w:hAnsi="宋体" w:eastAsia="宋体" w:cs="宋体"/>
                <w:snapToGrid w:val="0"/>
                <w:color w:val="000000"/>
                <w:kern w:val="0"/>
                <w:sz w:val="21"/>
                <w:szCs w:val="21"/>
                <w:lang w:val="en-US" w:eastAsia="zh-CN"/>
              </w:rPr>
              <w:t>3985</w:t>
            </w:r>
          </w:p>
        </w:tc>
        <w:tc>
          <w:tcPr>
            <w:tcW w:w="1419"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snapToGrid w:val="0"/>
                <w:color w:val="000000"/>
                <w:kern w:val="0"/>
                <w:sz w:val="21"/>
                <w:szCs w:val="21"/>
                <w:lang w:val="en-US" w:eastAsia="zh-CN"/>
              </w:rPr>
            </w:pPr>
            <w:r>
              <w:rPr>
                <w:rFonts w:hint="eastAsia" w:ascii="宋体" w:hAnsi="宋体" w:cs="宋体"/>
                <w:snapToGrid w:val="0"/>
                <w:color w:val="000000"/>
                <w:kern w:val="0"/>
                <w:sz w:val="21"/>
                <w:szCs w:val="21"/>
                <w:lang w:val="en-US" w:eastAsia="zh-CN"/>
              </w:rPr>
              <w:t>36900</w:t>
            </w:r>
          </w:p>
        </w:tc>
        <w:tc>
          <w:tcPr>
            <w:tcW w:w="886"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eastAsia="宋体" w:cs="宋体"/>
                <w:bCs/>
                <w:snapToGrid w:val="0"/>
                <w:color w:val="000000"/>
                <w:kern w:val="0"/>
                <w:sz w:val="21"/>
                <w:szCs w:val="21"/>
                <w:lang w:val="en-US" w:eastAsia="zh-CN"/>
              </w:rPr>
            </w:pPr>
            <w:r>
              <w:rPr>
                <w:rFonts w:hint="eastAsia" w:ascii="宋体" w:eastAsia="宋体" w:cs="宋体"/>
                <w:bCs/>
                <w:snapToGrid w:val="0"/>
                <w:color w:val="000000"/>
                <w:kern w:val="0"/>
                <w:sz w:val="21"/>
                <w:szCs w:val="21"/>
                <w:lang w:val="en-US" w:eastAsia="zh-CN"/>
              </w:rPr>
              <w:t>9</w:t>
            </w:r>
          </w:p>
        </w:tc>
        <w:tc>
          <w:tcPr>
            <w:tcW w:w="81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trHeight w:val="316" w:hRule="atLeast"/>
          <w:jc w:val="center"/>
        </w:trPr>
        <w:tc>
          <w:tcPr>
            <w:tcW w:w="453"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napToGrid w:val="0"/>
                <w:color w:val="000000"/>
                <w:kern w:val="0"/>
                <w:sz w:val="21"/>
                <w:szCs w:val="21"/>
              </w:rPr>
            </w:pPr>
          </w:p>
        </w:tc>
        <w:tc>
          <w:tcPr>
            <w:tcW w:w="384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lang w:val="en-US" w:eastAsia="zh-CN"/>
              </w:rPr>
              <w:t xml:space="preserve">   </w:t>
            </w:r>
            <w:r>
              <w:rPr>
                <w:rFonts w:hint="eastAsia" w:ascii="宋体" w:hAnsi="宋体" w:cs="宋体"/>
                <w:snapToGrid w:val="0"/>
                <w:color w:val="000000"/>
                <w:kern w:val="0"/>
                <w:sz w:val="21"/>
                <w:szCs w:val="21"/>
              </w:rPr>
              <w:t>农村居民人均</w:t>
            </w:r>
            <w:r>
              <w:rPr>
                <w:rFonts w:hint="eastAsia" w:ascii="宋体" w:hAnsi="宋体" w:cs="宋体"/>
                <w:snapToGrid w:val="0"/>
                <w:color w:val="000000"/>
                <w:kern w:val="0"/>
                <w:sz w:val="21"/>
                <w:szCs w:val="21"/>
                <w:lang w:eastAsia="zh-CN"/>
              </w:rPr>
              <w:t>可支配</w:t>
            </w:r>
            <w:r>
              <w:rPr>
                <w:rFonts w:hint="eastAsia" w:ascii="宋体" w:hAnsi="宋体" w:cs="宋体"/>
                <w:snapToGrid w:val="0"/>
                <w:color w:val="000000"/>
                <w:kern w:val="0"/>
                <w:sz w:val="21"/>
                <w:szCs w:val="21"/>
              </w:rPr>
              <w:t>收入（元</w:t>
            </w:r>
            <w:r>
              <w:rPr>
                <w:rFonts w:hint="eastAsia" w:ascii="宋体" w:hAnsi="宋体" w:cs="宋体"/>
                <w:snapToGrid w:val="0"/>
                <w:color w:val="000000"/>
                <w:kern w:val="0"/>
                <w:sz w:val="21"/>
                <w:szCs w:val="21"/>
                <w:lang w:eastAsia="zh-CN"/>
              </w:rPr>
              <w:t>、</w:t>
            </w:r>
            <w:r>
              <w:rPr>
                <w:rFonts w:hint="eastAsia" w:ascii="楷体_GB2312" w:hAnsi="楷体_GB2312" w:eastAsia="楷体_GB2312" w:cs="楷体_GB2312"/>
                <w:snapToGrid w:val="0"/>
                <w:color w:val="000000"/>
                <w:kern w:val="0"/>
                <w:sz w:val="21"/>
                <w:szCs w:val="21"/>
                <w:lang w:eastAsia="zh-CN"/>
              </w:rPr>
              <w:t>新口径</w:t>
            </w:r>
            <w:r>
              <w:rPr>
                <w:rFonts w:hint="eastAsia" w:ascii="宋体" w:hAnsi="宋体" w:cs="宋体"/>
                <w:snapToGrid w:val="0"/>
                <w:color w:val="000000"/>
                <w:kern w:val="0"/>
                <w:sz w:val="21"/>
                <w:szCs w:val="21"/>
              </w:rPr>
              <w:t>）</w:t>
            </w:r>
          </w:p>
        </w:tc>
        <w:tc>
          <w:tcPr>
            <w:tcW w:w="1357"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val="en-US" w:eastAsia="zh-CN"/>
              </w:rPr>
              <w:t>7913</w:t>
            </w:r>
          </w:p>
        </w:tc>
        <w:tc>
          <w:tcPr>
            <w:tcW w:w="1419"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snapToGrid w:val="0"/>
                <w:color w:val="000000"/>
                <w:kern w:val="0"/>
                <w:sz w:val="21"/>
                <w:szCs w:val="21"/>
                <w:lang w:val="en-US" w:eastAsia="zh-CN"/>
              </w:rPr>
            </w:pPr>
            <w:r>
              <w:rPr>
                <w:rFonts w:hint="eastAsia" w:ascii="宋体" w:hAnsi="宋体" w:cs="宋体"/>
                <w:snapToGrid w:val="0"/>
                <w:color w:val="000000"/>
                <w:kern w:val="0"/>
                <w:sz w:val="21"/>
                <w:szCs w:val="21"/>
                <w:lang w:val="en-US" w:eastAsia="zh-CN"/>
              </w:rPr>
              <w:t>13300</w:t>
            </w:r>
          </w:p>
        </w:tc>
        <w:tc>
          <w:tcPr>
            <w:tcW w:w="886"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eastAsia="宋体" w:cs="宋体"/>
                <w:bCs/>
                <w:snapToGrid w:val="0"/>
                <w:color w:val="000000"/>
                <w:kern w:val="0"/>
                <w:sz w:val="21"/>
                <w:szCs w:val="21"/>
                <w:lang w:val="en-US" w:eastAsia="zh-CN"/>
              </w:rPr>
            </w:pPr>
            <w:r>
              <w:rPr>
                <w:rFonts w:hint="eastAsia" w:ascii="宋体" w:eastAsia="宋体" w:cs="宋体"/>
                <w:bCs/>
                <w:snapToGrid w:val="0"/>
                <w:color w:val="000000"/>
                <w:kern w:val="0"/>
                <w:sz w:val="21"/>
                <w:szCs w:val="21"/>
                <w:lang w:val="en-US" w:eastAsia="zh-CN"/>
              </w:rPr>
              <w:t>11</w:t>
            </w:r>
          </w:p>
        </w:tc>
        <w:tc>
          <w:tcPr>
            <w:tcW w:w="81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trHeight w:val="397" w:hRule="atLeast"/>
          <w:jc w:val="center"/>
        </w:trPr>
        <w:tc>
          <w:tcPr>
            <w:tcW w:w="453" w:type="dxa"/>
            <w:vMerge w:val="continue"/>
            <w:noWrap w:val="0"/>
            <w:textDirection w:val="tbRlV"/>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napToGrid w:val="0"/>
                <w:color w:val="000000"/>
                <w:kern w:val="0"/>
                <w:sz w:val="21"/>
                <w:szCs w:val="21"/>
              </w:rPr>
            </w:pPr>
          </w:p>
        </w:tc>
        <w:tc>
          <w:tcPr>
            <w:tcW w:w="384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宋体" w:cs="宋体"/>
                <w:snapToGrid w:val="0"/>
                <w:color w:val="000000"/>
                <w:kern w:val="0"/>
                <w:sz w:val="21"/>
                <w:szCs w:val="21"/>
              </w:rPr>
            </w:pPr>
            <w:r>
              <w:rPr>
                <w:rFonts w:hint="eastAsia" w:ascii="宋体" w:hAnsi="宋体" w:cs="宋体"/>
                <w:snapToGrid w:val="0"/>
                <w:color w:val="000000"/>
                <w:kern w:val="0"/>
                <w:sz w:val="21"/>
                <w:szCs w:val="21"/>
                <w:lang w:eastAsia="zh-CN"/>
              </w:rPr>
              <w:t>五年累计</w:t>
            </w:r>
            <w:r>
              <w:rPr>
                <w:rFonts w:hint="eastAsia" w:ascii="宋体" w:hAnsi="宋体" w:cs="宋体"/>
                <w:snapToGrid w:val="0"/>
                <w:color w:val="000000"/>
                <w:kern w:val="0"/>
                <w:sz w:val="21"/>
                <w:szCs w:val="21"/>
              </w:rPr>
              <w:t>新增城镇就业人数（万人）</w:t>
            </w:r>
          </w:p>
        </w:tc>
        <w:tc>
          <w:tcPr>
            <w:tcW w:w="1357"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cs="宋体"/>
                <w:snapToGrid w:val="0"/>
                <w:color w:val="000000"/>
                <w:kern w:val="0"/>
                <w:sz w:val="21"/>
                <w:szCs w:val="21"/>
              </w:rPr>
            </w:pPr>
            <w:r>
              <w:rPr>
                <w:rFonts w:hint="eastAsia" w:ascii="宋体" w:cs="宋体"/>
                <w:snapToGrid w:val="0"/>
                <w:color w:val="000000"/>
                <w:kern w:val="0"/>
                <w:sz w:val="21"/>
                <w:szCs w:val="21"/>
              </w:rPr>
              <w:t>【</w:t>
            </w:r>
            <w:r>
              <w:rPr>
                <w:rFonts w:hint="eastAsia" w:ascii="宋体" w:hAnsi="宋体" w:eastAsia="宋体" w:cs="宋体"/>
                <w:snapToGrid w:val="0"/>
                <w:color w:val="000000"/>
                <w:kern w:val="0"/>
                <w:sz w:val="21"/>
                <w:szCs w:val="21"/>
                <w:lang w:val="en-US" w:eastAsia="zh-CN"/>
              </w:rPr>
              <w:t>8.8</w:t>
            </w:r>
            <w:r>
              <w:rPr>
                <w:rFonts w:hint="eastAsia" w:ascii="宋体" w:cs="宋体"/>
                <w:snapToGrid w:val="0"/>
                <w:color w:val="000000"/>
                <w:kern w:val="0"/>
                <w:sz w:val="21"/>
                <w:szCs w:val="21"/>
              </w:rPr>
              <w:t>】</w:t>
            </w:r>
          </w:p>
        </w:tc>
        <w:tc>
          <w:tcPr>
            <w:tcW w:w="1419"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cs="宋体"/>
                <w:bCs/>
                <w:snapToGrid w:val="0"/>
                <w:color w:val="000000"/>
                <w:kern w:val="0"/>
                <w:sz w:val="21"/>
                <w:szCs w:val="21"/>
              </w:rPr>
            </w:pPr>
            <w:r>
              <w:rPr>
                <w:rFonts w:hint="eastAsia" w:ascii="宋体" w:cs="宋体"/>
                <w:snapToGrid w:val="0"/>
                <w:color w:val="000000"/>
                <w:kern w:val="0"/>
                <w:sz w:val="21"/>
                <w:szCs w:val="21"/>
              </w:rPr>
              <w:t>【</w:t>
            </w:r>
            <w:r>
              <w:rPr>
                <w:rFonts w:hint="eastAsia" w:ascii="宋体" w:hAnsi="宋体" w:cs="宋体"/>
                <w:bCs/>
                <w:snapToGrid w:val="0"/>
                <w:color w:val="000000"/>
                <w:kern w:val="0"/>
                <w:sz w:val="21"/>
                <w:szCs w:val="21"/>
              </w:rPr>
              <w:t>10</w:t>
            </w:r>
            <w:r>
              <w:rPr>
                <w:rFonts w:hint="eastAsia" w:ascii="宋体" w:cs="宋体"/>
                <w:snapToGrid w:val="0"/>
                <w:color w:val="000000"/>
                <w:kern w:val="0"/>
                <w:sz w:val="21"/>
                <w:szCs w:val="21"/>
              </w:rPr>
              <w:t>】</w:t>
            </w:r>
          </w:p>
        </w:tc>
        <w:tc>
          <w:tcPr>
            <w:tcW w:w="886"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b/>
                <w:bCs/>
                <w:snapToGrid w:val="0"/>
                <w:color w:val="000000"/>
                <w:kern w:val="0"/>
                <w:sz w:val="21"/>
                <w:szCs w:val="21"/>
              </w:rPr>
            </w:pPr>
          </w:p>
        </w:tc>
        <w:tc>
          <w:tcPr>
            <w:tcW w:w="81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ascii="宋体" w:cs="宋体"/>
                <w:snapToGrid w:val="0"/>
                <w:color w:val="000000"/>
                <w:kern w:val="0"/>
                <w:sz w:val="21"/>
                <w:szCs w:val="21"/>
              </w:rPr>
            </w:pPr>
            <w:r>
              <w:rPr>
                <w:rFonts w:hint="eastAsia" w:ascii="宋体" w:hAnsi="宋体" w:cs="宋体"/>
                <w:snapToGrid w:val="0"/>
                <w:color w:val="000000"/>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trHeight w:val="341" w:hRule="atLeast"/>
          <w:jc w:val="center"/>
        </w:trPr>
        <w:tc>
          <w:tcPr>
            <w:tcW w:w="453" w:type="dxa"/>
            <w:vMerge w:val="continue"/>
            <w:noWrap w:val="0"/>
            <w:textDirection w:val="tbRlV"/>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napToGrid w:val="0"/>
                <w:color w:val="000000"/>
                <w:kern w:val="0"/>
                <w:sz w:val="21"/>
                <w:szCs w:val="21"/>
              </w:rPr>
            </w:pPr>
          </w:p>
        </w:tc>
        <w:tc>
          <w:tcPr>
            <w:tcW w:w="384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rPr>
              <w:t>学前教育毛入园率（%）</w:t>
            </w:r>
          </w:p>
        </w:tc>
        <w:tc>
          <w:tcPr>
            <w:tcW w:w="1357"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rPr>
              <w:t>95.95</w:t>
            </w:r>
          </w:p>
        </w:tc>
        <w:tc>
          <w:tcPr>
            <w:tcW w:w="1419"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rPr>
              <w:t>98</w:t>
            </w:r>
          </w:p>
        </w:tc>
        <w:tc>
          <w:tcPr>
            <w:tcW w:w="886"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b/>
                <w:bCs/>
                <w:snapToGrid w:val="0"/>
                <w:color w:val="000000"/>
                <w:kern w:val="0"/>
                <w:sz w:val="21"/>
                <w:szCs w:val="21"/>
              </w:rPr>
            </w:pPr>
          </w:p>
        </w:tc>
        <w:tc>
          <w:tcPr>
            <w:tcW w:w="81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trHeight w:val="335" w:hRule="atLeast"/>
          <w:jc w:val="center"/>
        </w:trPr>
        <w:tc>
          <w:tcPr>
            <w:tcW w:w="453" w:type="dxa"/>
            <w:vMerge w:val="continue"/>
            <w:noWrap w:val="0"/>
            <w:textDirection w:val="tbRlV"/>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napToGrid w:val="0"/>
                <w:color w:val="000000"/>
                <w:kern w:val="0"/>
                <w:sz w:val="21"/>
                <w:szCs w:val="21"/>
              </w:rPr>
            </w:pPr>
          </w:p>
        </w:tc>
        <w:tc>
          <w:tcPr>
            <w:tcW w:w="384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rPr>
              <w:t>高中阶段教育毛入学率（%）</w:t>
            </w:r>
          </w:p>
        </w:tc>
        <w:tc>
          <w:tcPr>
            <w:tcW w:w="1357"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rPr>
              <w:t>96</w:t>
            </w:r>
          </w:p>
        </w:tc>
        <w:tc>
          <w:tcPr>
            <w:tcW w:w="1419"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rPr>
              <w:t>98</w:t>
            </w:r>
          </w:p>
        </w:tc>
        <w:tc>
          <w:tcPr>
            <w:tcW w:w="886"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b/>
                <w:bCs/>
                <w:snapToGrid w:val="0"/>
                <w:color w:val="000000"/>
                <w:kern w:val="0"/>
                <w:sz w:val="21"/>
                <w:szCs w:val="21"/>
              </w:rPr>
            </w:pPr>
          </w:p>
        </w:tc>
        <w:tc>
          <w:tcPr>
            <w:tcW w:w="81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trHeight w:val="353" w:hRule="atLeast"/>
          <w:jc w:val="center"/>
        </w:trPr>
        <w:tc>
          <w:tcPr>
            <w:tcW w:w="453" w:type="dxa"/>
            <w:vMerge w:val="continue"/>
            <w:noWrap w:val="0"/>
            <w:textDirection w:val="tbRlV"/>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napToGrid w:val="0"/>
                <w:color w:val="000000"/>
                <w:kern w:val="0"/>
                <w:sz w:val="21"/>
                <w:szCs w:val="21"/>
              </w:rPr>
            </w:pPr>
          </w:p>
        </w:tc>
        <w:tc>
          <w:tcPr>
            <w:tcW w:w="384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宋体" w:cs="宋体"/>
                <w:snapToGrid w:val="0"/>
                <w:color w:val="000000"/>
                <w:kern w:val="0"/>
                <w:sz w:val="21"/>
                <w:szCs w:val="21"/>
              </w:rPr>
            </w:pPr>
            <w:r>
              <w:rPr>
                <w:rFonts w:hint="eastAsia" w:ascii="宋体" w:hAnsi="宋体" w:cs="宋体"/>
                <w:snapToGrid w:val="0"/>
                <w:color w:val="000000"/>
                <w:kern w:val="0"/>
                <w:sz w:val="21"/>
                <w:szCs w:val="21"/>
              </w:rPr>
              <w:t>人口自然增长率（‰）</w:t>
            </w:r>
          </w:p>
        </w:tc>
        <w:tc>
          <w:tcPr>
            <w:tcW w:w="1357"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snapToGrid w:val="0"/>
                <w:color w:val="000000"/>
                <w:kern w:val="0"/>
                <w:sz w:val="21"/>
                <w:szCs w:val="21"/>
              </w:rPr>
            </w:pPr>
            <w:r>
              <w:rPr>
                <w:rFonts w:hint="eastAsia" w:ascii="宋体" w:hAnsi="宋体" w:cs="宋体"/>
                <w:snapToGrid w:val="0"/>
                <w:color w:val="000000"/>
                <w:kern w:val="0"/>
                <w:sz w:val="21"/>
                <w:szCs w:val="21"/>
                <w:lang w:val="en-US" w:eastAsia="zh-CN"/>
              </w:rPr>
              <w:t>2.32</w:t>
            </w:r>
          </w:p>
        </w:tc>
        <w:tc>
          <w:tcPr>
            <w:tcW w:w="1419"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snapToGrid w:val="0"/>
                <w:color w:val="000000"/>
                <w:kern w:val="0"/>
                <w:sz w:val="21"/>
                <w:szCs w:val="21"/>
              </w:rPr>
            </w:pPr>
            <w:r>
              <w:rPr>
                <w:rFonts w:hint="eastAsia" w:ascii="宋体" w:hAnsi="宋体" w:cs="宋体"/>
                <w:snapToGrid w:val="0"/>
                <w:color w:val="000000"/>
                <w:kern w:val="0"/>
                <w:sz w:val="21"/>
                <w:szCs w:val="21"/>
              </w:rPr>
              <w:t>≤6</w:t>
            </w:r>
          </w:p>
        </w:tc>
        <w:tc>
          <w:tcPr>
            <w:tcW w:w="886"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snapToGrid w:val="0"/>
                <w:color w:val="000000"/>
                <w:kern w:val="0"/>
                <w:sz w:val="21"/>
                <w:szCs w:val="21"/>
              </w:rPr>
            </w:pPr>
            <w:r>
              <w:rPr>
                <w:rFonts w:ascii="宋体" w:hAnsi="宋体" w:cs="宋体"/>
                <w:snapToGrid w:val="0"/>
                <w:color w:val="000000"/>
                <w:kern w:val="0"/>
                <w:sz w:val="21"/>
                <w:szCs w:val="21"/>
              </w:rPr>
              <w:t>—</w:t>
            </w:r>
          </w:p>
        </w:tc>
        <w:tc>
          <w:tcPr>
            <w:tcW w:w="81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ascii="宋体" w:cs="宋体"/>
                <w:snapToGrid w:val="0"/>
                <w:color w:val="000000"/>
                <w:kern w:val="0"/>
                <w:sz w:val="21"/>
                <w:szCs w:val="21"/>
              </w:rPr>
            </w:pPr>
            <w:r>
              <w:rPr>
                <w:rFonts w:hint="eastAsia" w:ascii="宋体" w:hAnsi="宋体" w:cs="宋体"/>
                <w:snapToGrid w:val="0"/>
                <w:color w:val="000000"/>
                <w:kern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trHeight w:val="340" w:hRule="atLeast"/>
          <w:jc w:val="center"/>
        </w:trPr>
        <w:tc>
          <w:tcPr>
            <w:tcW w:w="453" w:type="dxa"/>
            <w:vMerge w:val="continue"/>
            <w:noWrap w:val="0"/>
            <w:textDirection w:val="tbRlV"/>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napToGrid w:val="0"/>
                <w:color w:val="000000"/>
                <w:kern w:val="0"/>
                <w:sz w:val="21"/>
                <w:szCs w:val="21"/>
              </w:rPr>
            </w:pPr>
          </w:p>
        </w:tc>
        <w:tc>
          <w:tcPr>
            <w:tcW w:w="384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ascii="宋体" w:cs="宋体"/>
                <w:snapToGrid w:val="0"/>
                <w:color w:val="000000"/>
                <w:kern w:val="0"/>
                <w:sz w:val="21"/>
                <w:szCs w:val="21"/>
              </w:rPr>
            </w:pPr>
            <w:r>
              <w:rPr>
                <w:rFonts w:hint="eastAsia" w:ascii="宋体" w:hAnsi="宋体" w:cs="宋体"/>
                <w:snapToGrid w:val="0"/>
                <w:color w:val="000000"/>
                <w:kern w:val="0"/>
                <w:sz w:val="21"/>
                <w:szCs w:val="21"/>
              </w:rPr>
              <w:t>基本社会保险覆盖率（</w:t>
            </w:r>
            <w:r>
              <w:rPr>
                <w:rFonts w:ascii="宋体" w:hAnsi="宋体" w:cs="宋体"/>
                <w:snapToGrid w:val="0"/>
                <w:color w:val="000000"/>
                <w:kern w:val="0"/>
                <w:sz w:val="21"/>
                <w:szCs w:val="21"/>
              </w:rPr>
              <w:t>%</w:t>
            </w:r>
            <w:r>
              <w:rPr>
                <w:rFonts w:hint="eastAsia" w:ascii="宋体" w:hAnsi="宋体" w:cs="宋体"/>
                <w:snapToGrid w:val="0"/>
                <w:color w:val="000000"/>
                <w:kern w:val="0"/>
                <w:sz w:val="21"/>
                <w:szCs w:val="21"/>
              </w:rPr>
              <w:t>）</w:t>
            </w:r>
          </w:p>
        </w:tc>
        <w:tc>
          <w:tcPr>
            <w:tcW w:w="1357"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snapToGrid w:val="0"/>
                <w:color w:val="000000"/>
                <w:kern w:val="0"/>
                <w:sz w:val="21"/>
                <w:szCs w:val="21"/>
              </w:rPr>
            </w:pPr>
          </w:p>
        </w:tc>
        <w:tc>
          <w:tcPr>
            <w:tcW w:w="1419"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cs="宋体"/>
                <w:snapToGrid w:val="0"/>
                <w:color w:val="000000"/>
                <w:kern w:val="0"/>
                <w:sz w:val="21"/>
                <w:szCs w:val="21"/>
              </w:rPr>
            </w:pPr>
            <w:r>
              <w:rPr>
                <w:rFonts w:hint="eastAsia" w:ascii="宋体" w:hAnsi="宋体" w:cs="宋体"/>
                <w:snapToGrid w:val="0"/>
                <w:color w:val="000000"/>
                <w:kern w:val="0"/>
                <w:sz w:val="21"/>
                <w:szCs w:val="21"/>
              </w:rPr>
              <w:t>96</w:t>
            </w:r>
          </w:p>
        </w:tc>
        <w:tc>
          <w:tcPr>
            <w:tcW w:w="886"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snapToGrid w:val="0"/>
                <w:color w:val="000000"/>
                <w:kern w:val="0"/>
                <w:sz w:val="21"/>
                <w:szCs w:val="21"/>
              </w:rPr>
            </w:pPr>
            <w:r>
              <w:rPr>
                <w:rFonts w:ascii="宋体" w:hAnsi="宋体" w:cs="宋体"/>
                <w:snapToGrid w:val="0"/>
                <w:color w:val="000000"/>
                <w:kern w:val="0"/>
                <w:sz w:val="21"/>
                <w:szCs w:val="21"/>
              </w:rPr>
              <w:t>—</w:t>
            </w:r>
          </w:p>
        </w:tc>
        <w:tc>
          <w:tcPr>
            <w:tcW w:w="81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ascii="宋体" w:cs="宋体"/>
                <w:snapToGrid w:val="0"/>
                <w:color w:val="000000"/>
                <w:kern w:val="0"/>
                <w:sz w:val="21"/>
                <w:szCs w:val="21"/>
              </w:rPr>
            </w:pPr>
            <w:r>
              <w:rPr>
                <w:rFonts w:hint="eastAsia" w:ascii="宋体" w:hAnsi="宋体" w:cs="宋体"/>
                <w:snapToGrid w:val="0"/>
                <w:color w:val="000000"/>
                <w:kern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trHeight w:val="336" w:hRule="atLeast"/>
          <w:jc w:val="center"/>
        </w:trPr>
        <w:tc>
          <w:tcPr>
            <w:tcW w:w="453" w:type="dxa"/>
            <w:vMerge w:val="continue"/>
            <w:noWrap w:val="0"/>
            <w:textDirection w:val="tbRlV"/>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napToGrid w:val="0"/>
                <w:color w:val="000000"/>
                <w:kern w:val="0"/>
                <w:sz w:val="21"/>
                <w:szCs w:val="21"/>
              </w:rPr>
            </w:pPr>
          </w:p>
        </w:tc>
        <w:tc>
          <w:tcPr>
            <w:tcW w:w="384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lang w:eastAsia="zh-CN"/>
              </w:rPr>
              <w:t>累计</w:t>
            </w:r>
            <w:r>
              <w:rPr>
                <w:rFonts w:hint="eastAsia" w:ascii="宋体" w:hAnsi="宋体" w:cs="宋体"/>
                <w:snapToGrid w:val="0"/>
                <w:color w:val="000000"/>
                <w:kern w:val="0"/>
                <w:sz w:val="21"/>
                <w:szCs w:val="21"/>
              </w:rPr>
              <w:t>改造城市棚户区住房</w:t>
            </w:r>
            <w:r>
              <w:rPr>
                <w:rFonts w:hint="eastAsia" w:ascii="宋体" w:hAnsi="宋体" w:cs="宋体"/>
                <w:snapToGrid w:val="0"/>
                <w:color w:val="000000"/>
                <w:kern w:val="0"/>
                <w:sz w:val="21"/>
                <w:szCs w:val="21"/>
                <w:lang w:eastAsia="zh-CN"/>
              </w:rPr>
              <w:t>户</w:t>
            </w:r>
            <w:r>
              <w:rPr>
                <w:rFonts w:hint="eastAsia" w:ascii="宋体" w:hAnsi="宋体" w:cs="宋体"/>
                <w:snapToGrid w:val="0"/>
                <w:color w:val="000000"/>
                <w:kern w:val="0"/>
                <w:sz w:val="21"/>
                <w:szCs w:val="21"/>
              </w:rPr>
              <w:t>数（万</w:t>
            </w:r>
            <w:r>
              <w:rPr>
                <w:rFonts w:hint="eastAsia" w:ascii="宋体" w:hAnsi="宋体" w:cs="宋体"/>
                <w:snapToGrid w:val="0"/>
                <w:color w:val="000000"/>
                <w:kern w:val="0"/>
                <w:sz w:val="21"/>
                <w:szCs w:val="21"/>
                <w:lang w:eastAsia="zh-CN"/>
              </w:rPr>
              <w:t>户</w:t>
            </w:r>
            <w:r>
              <w:rPr>
                <w:rFonts w:hint="eastAsia" w:ascii="宋体" w:hAnsi="宋体" w:cs="宋体"/>
                <w:snapToGrid w:val="0"/>
                <w:color w:val="000000"/>
                <w:kern w:val="0"/>
                <w:sz w:val="21"/>
                <w:szCs w:val="21"/>
              </w:rPr>
              <w:t>）</w:t>
            </w:r>
          </w:p>
        </w:tc>
        <w:tc>
          <w:tcPr>
            <w:tcW w:w="1357"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hAnsi="宋体" w:cs="宋体"/>
                <w:snapToGrid w:val="0"/>
                <w:color w:val="000000"/>
                <w:kern w:val="0"/>
                <w:sz w:val="21"/>
                <w:szCs w:val="21"/>
              </w:rPr>
            </w:pPr>
            <w:r>
              <w:rPr>
                <w:rFonts w:hint="eastAsia" w:ascii="宋体" w:cs="宋体"/>
                <w:snapToGrid w:val="0"/>
                <w:color w:val="000000"/>
                <w:kern w:val="0"/>
                <w:sz w:val="21"/>
                <w:szCs w:val="21"/>
              </w:rPr>
              <w:t>【</w:t>
            </w:r>
            <w:r>
              <w:rPr>
                <w:rFonts w:hint="eastAsia" w:ascii="宋体" w:hAnsi="宋体" w:eastAsia="宋体" w:cs="宋体"/>
                <w:snapToGrid w:val="0"/>
                <w:color w:val="000000"/>
                <w:kern w:val="0"/>
                <w:sz w:val="21"/>
                <w:szCs w:val="21"/>
              </w:rPr>
              <w:t>7.</w:t>
            </w:r>
            <w:r>
              <w:rPr>
                <w:rFonts w:hint="eastAsia" w:ascii="宋体" w:hAnsi="宋体" w:eastAsia="宋体" w:cs="宋体"/>
                <w:snapToGrid w:val="0"/>
                <w:color w:val="000000"/>
                <w:kern w:val="0"/>
                <w:sz w:val="21"/>
                <w:szCs w:val="21"/>
                <w:lang w:val="en-US" w:eastAsia="zh-CN"/>
              </w:rPr>
              <w:t>9</w:t>
            </w:r>
            <w:r>
              <w:rPr>
                <w:rFonts w:hint="eastAsia" w:ascii="宋体" w:cs="宋体"/>
                <w:snapToGrid w:val="0"/>
                <w:color w:val="000000"/>
                <w:kern w:val="0"/>
                <w:sz w:val="21"/>
                <w:szCs w:val="21"/>
              </w:rPr>
              <w:t>】</w:t>
            </w:r>
          </w:p>
        </w:tc>
        <w:tc>
          <w:tcPr>
            <w:tcW w:w="1419"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napToGrid w:val="0"/>
                <w:color w:val="000000"/>
                <w:kern w:val="0"/>
                <w:sz w:val="21"/>
                <w:szCs w:val="21"/>
              </w:rPr>
            </w:pPr>
            <w:r>
              <w:rPr>
                <w:rFonts w:hint="eastAsia" w:ascii="宋体" w:cs="宋体"/>
                <w:snapToGrid w:val="0"/>
                <w:color w:val="000000"/>
                <w:kern w:val="0"/>
                <w:sz w:val="21"/>
                <w:szCs w:val="21"/>
              </w:rPr>
              <w:t>【</w:t>
            </w:r>
            <w:r>
              <w:rPr>
                <w:rFonts w:hint="eastAsia" w:ascii="宋体" w:hAnsi="宋体" w:eastAsia="宋体" w:cs="宋体"/>
                <w:snapToGrid w:val="0"/>
                <w:color w:val="000000"/>
                <w:kern w:val="0"/>
                <w:sz w:val="21"/>
                <w:szCs w:val="21"/>
              </w:rPr>
              <w:t>7.</w:t>
            </w:r>
            <w:r>
              <w:rPr>
                <w:rFonts w:hint="eastAsia" w:ascii="宋体" w:hAnsi="宋体" w:eastAsia="宋体" w:cs="宋体"/>
                <w:snapToGrid w:val="0"/>
                <w:color w:val="000000"/>
                <w:kern w:val="0"/>
                <w:sz w:val="21"/>
                <w:szCs w:val="21"/>
                <w:lang w:val="en-US" w:eastAsia="zh-CN"/>
              </w:rPr>
              <w:t>7</w:t>
            </w:r>
            <w:r>
              <w:rPr>
                <w:rFonts w:hint="eastAsia" w:ascii="宋体" w:cs="宋体"/>
                <w:snapToGrid w:val="0"/>
                <w:color w:val="000000"/>
                <w:kern w:val="0"/>
                <w:sz w:val="21"/>
                <w:szCs w:val="21"/>
              </w:rPr>
              <w:t>】</w:t>
            </w:r>
          </w:p>
        </w:tc>
        <w:tc>
          <w:tcPr>
            <w:tcW w:w="886"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hAnsi="宋体" w:cs="宋体"/>
                <w:snapToGrid w:val="0"/>
                <w:color w:val="000000"/>
                <w:kern w:val="0"/>
                <w:sz w:val="21"/>
                <w:szCs w:val="21"/>
              </w:rPr>
            </w:pPr>
          </w:p>
        </w:tc>
        <w:tc>
          <w:tcPr>
            <w:tcW w:w="81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trHeight w:val="342" w:hRule="atLeast"/>
          <w:jc w:val="center"/>
        </w:trPr>
        <w:tc>
          <w:tcPr>
            <w:tcW w:w="453" w:type="dxa"/>
            <w:vMerge w:val="continue"/>
            <w:noWrap w:val="0"/>
            <w:textDirection w:val="tbRlV"/>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napToGrid w:val="0"/>
                <w:color w:val="000000"/>
                <w:kern w:val="0"/>
                <w:sz w:val="21"/>
                <w:szCs w:val="21"/>
              </w:rPr>
            </w:pPr>
          </w:p>
        </w:tc>
        <w:tc>
          <w:tcPr>
            <w:tcW w:w="384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ascii="宋体" w:cs="宋体"/>
                <w:snapToGrid w:val="0"/>
                <w:color w:val="000000"/>
                <w:kern w:val="0"/>
                <w:sz w:val="21"/>
                <w:szCs w:val="21"/>
              </w:rPr>
            </w:pPr>
            <w:r>
              <w:rPr>
                <w:rFonts w:hint="eastAsia" w:ascii="宋体" w:hAnsi="宋体" w:cs="宋体"/>
                <w:snapToGrid w:val="0"/>
                <w:color w:val="000000"/>
                <w:kern w:val="0"/>
                <w:sz w:val="21"/>
                <w:szCs w:val="21"/>
                <w:lang w:eastAsia="zh-CN"/>
              </w:rPr>
              <w:t>五年</w:t>
            </w:r>
            <w:r>
              <w:rPr>
                <w:rFonts w:hint="eastAsia" w:ascii="宋体" w:hAnsi="宋体" w:cs="宋体"/>
                <w:snapToGrid w:val="0"/>
                <w:color w:val="000000"/>
                <w:kern w:val="0"/>
                <w:sz w:val="21"/>
                <w:szCs w:val="21"/>
              </w:rPr>
              <w:t>累计脱贫人口（万人）</w:t>
            </w:r>
          </w:p>
        </w:tc>
        <w:tc>
          <w:tcPr>
            <w:tcW w:w="1357"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hAnsi="宋体" w:cs="宋体"/>
                <w:snapToGrid w:val="0"/>
                <w:color w:val="000000"/>
                <w:kern w:val="0"/>
                <w:sz w:val="21"/>
                <w:szCs w:val="21"/>
              </w:rPr>
            </w:pPr>
            <w:r>
              <w:rPr>
                <w:rFonts w:hint="eastAsia" w:ascii="宋体" w:cs="宋体"/>
                <w:snapToGrid w:val="0"/>
                <w:color w:val="000000"/>
                <w:kern w:val="0"/>
                <w:sz w:val="21"/>
                <w:szCs w:val="21"/>
              </w:rPr>
              <w:t>【</w:t>
            </w:r>
            <w:r>
              <w:rPr>
                <w:rFonts w:hint="eastAsia" w:ascii="宋体" w:cs="宋体"/>
                <w:snapToGrid w:val="0"/>
                <w:color w:val="000000"/>
                <w:kern w:val="0"/>
                <w:sz w:val="21"/>
                <w:szCs w:val="21"/>
                <w:lang w:val="en-US" w:eastAsia="zh-CN"/>
              </w:rPr>
              <w:t>42.4</w:t>
            </w:r>
            <w:r>
              <w:rPr>
                <w:rFonts w:hint="eastAsia" w:ascii="宋体" w:cs="宋体"/>
                <w:snapToGrid w:val="0"/>
                <w:color w:val="000000"/>
                <w:kern w:val="0"/>
                <w:sz w:val="21"/>
                <w:szCs w:val="21"/>
              </w:rPr>
              <w:t>】</w:t>
            </w:r>
          </w:p>
        </w:tc>
        <w:tc>
          <w:tcPr>
            <w:tcW w:w="1419"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snapToGrid w:val="0"/>
                <w:color w:val="000000"/>
                <w:kern w:val="0"/>
                <w:sz w:val="21"/>
                <w:szCs w:val="21"/>
              </w:rPr>
            </w:pPr>
            <w:r>
              <w:rPr>
                <w:rFonts w:hint="eastAsia" w:ascii="宋体" w:cs="宋体"/>
                <w:snapToGrid w:val="0"/>
                <w:color w:val="000000"/>
                <w:kern w:val="0"/>
                <w:sz w:val="21"/>
                <w:szCs w:val="21"/>
              </w:rPr>
              <w:t>【</w:t>
            </w:r>
            <w:r>
              <w:rPr>
                <w:rFonts w:hint="eastAsia" w:ascii="宋体" w:hAnsi="宋体" w:eastAsia="宋体" w:cs="宋体"/>
                <w:snapToGrid w:val="0"/>
                <w:color w:val="000000"/>
                <w:kern w:val="0"/>
                <w:sz w:val="21"/>
                <w:szCs w:val="21"/>
                <w:lang w:val="en-US" w:eastAsia="zh-CN"/>
              </w:rPr>
              <w:t>58.17</w:t>
            </w:r>
            <w:r>
              <w:rPr>
                <w:rFonts w:hint="eastAsia" w:ascii="宋体" w:cs="宋体"/>
                <w:snapToGrid w:val="0"/>
                <w:color w:val="000000"/>
                <w:kern w:val="0"/>
                <w:sz w:val="21"/>
                <w:szCs w:val="21"/>
              </w:rPr>
              <w:t>】</w:t>
            </w:r>
          </w:p>
        </w:tc>
        <w:tc>
          <w:tcPr>
            <w:tcW w:w="886"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snapToGrid w:val="0"/>
                <w:color w:val="000000"/>
                <w:kern w:val="0"/>
                <w:sz w:val="21"/>
                <w:szCs w:val="21"/>
              </w:rPr>
            </w:pPr>
            <w:r>
              <w:rPr>
                <w:snapToGrid w:val="0"/>
                <w:color w:val="000000"/>
                <w:kern w:val="0"/>
                <w:sz w:val="21"/>
                <w:szCs w:val="21"/>
              </w:rPr>
              <w:t>—</w:t>
            </w:r>
          </w:p>
        </w:tc>
        <w:tc>
          <w:tcPr>
            <w:tcW w:w="81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ascii="宋体" w:cs="宋体"/>
                <w:snapToGrid w:val="0"/>
                <w:color w:val="000000"/>
                <w:kern w:val="0"/>
                <w:sz w:val="21"/>
                <w:szCs w:val="21"/>
              </w:rPr>
            </w:pPr>
            <w:r>
              <w:rPr>
                <w:rFonts w:hint="eastAsia" w:ascii="宋体" w:hAnsi="宋体"/>
                <w:snapToGrid w:val="0"/>
                <w:color w:val="000000"/>
                <w:kern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trHeight w:val="317" w:hRule="atLeast"/>
          <w:jc w:val="center"/>
        </w:trPr>
        <w:tc>
          <w:tcPr>
            <w:tcW w:w="453" w:type="dxa"/>
            <w:vMerge w:val="continue"/>
            <w:noWrap w:val="0"/>
            <w:textDirection w:val="tbRlV"/>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napToGrid w:val="0"/>
                <w:color w:val="000000"/>
                <w:kern w:val="0"/>
                <w:sz w:val="21"/>
                <w:szCs w:val="21"/>
              </w:rPr>
            </w:pPr>
          </w:p>
        </w:tc>
        <w:tc>
          <w:tcPr>
            <w:tcW w:w="384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ascii="宋体" w:cs="宋体"/>
                <w:snapToGrid w:val="0"/>
                <w:color w:val="000000"/>
                <w:kern w:val="0"/>
                <w:sz w:val="21"/>
                <w:szCs w:val="21"/>
              </w:rPr>
            </w:pPr>
            <w:r>
              <w:rPr>
                <w:rFonts w:hint="eastAsia" w:ascii="宋体" w:hAnsi="宋体" w:cs="宋体"/>
                <w:snapToGrid w:val="0"/>
                <w:color w:val="000000"/>
                <w:kern w:val="0"/>
                <w:sz w:val="21"/>
                <w:szCs w:val="21"/>
              </w:rPr>
              <w:t>每千人拥有执业医师数（人</w:t>
            </w:r>
            <w:r>
              <w:rPr>
                <w:rFonts w:ascii="宋体" w:hAnsi="宋体" w:cs="宋体"/>
                <w:snapToGrid w:val="0"/>
                <w:color w:val="000000"/>
                <w:kern w:val="0"/>
                <w:sz w:val="21"/>
                <w:szCs w:val="21"/>
              </w:rPr>
              <w:t>/</w:t>
            </w:r>
            <w:r>
              <w:rPr>
                <w:rFonts w:hint="eastAsia" w:ascii="宋体" w:hAnsi="宋体" w:cs="宋体"/>
                <w:snapToGrid w:val="0"/>
                <w:color w:val="000000"/>
                <w:kern w:val="0"/>
                <w:sz w:val="21"/>
                <w:szCs w:val="21"/>
              </w:rPr>
              <w:t>千人）</w:t>
            </w:r>
          </w:p>
        </w:tc>
        <w:tc>
          <w:tcPr>
            <w:tcW w:w="1357"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rPr>
              <w:t>1.5</w:t>
            </w:r>
          </w:p>
        </w:tc>
        <w:tc>
          <w:tcPr>
            <w:tcW w:w="1419"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cs="宋体"/>
                <w:snapToGrid w:val="0"/>
                <w:color w:val="000000"/>
                <w:kern w:val="0"/>
                <w:sz w:val="21"/>
                <w:szCs w:val="21"/>
              </w:rPr>
            </w:pPr>
            <w:r>
              <w:rPr>
                <w:rFonts w:hint="eastAsia" w:ascii="宋体" w:hAnsi="宋体" w:cs="宋体"/>
                <w:snapToGrid w:val="0"/>
                <w:color w:val="000000"/>
                <w:kern w:val="0"/>
                <w:sz w:val="21"/>
                <w:szCs w:val="21"/>
              </w:rPr>
              <w:t>2.5</w:t>
            </w:r>
          </w:p>
        </w:tc>
        <w:tc>
          <w:tcPr>
            <w:tcW w:w="886"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snapToGrid w:val="0"/>
                <w:color w:val="000000"/>
                <w:kern w:val="0"/>
                <w:sz w:val="21"/>
                <w:szCs w:val="21"/>
              </w:rPr>
            </w:pPr>
            <w:r>
              <w:rPr>
                <w:rFonts w:ascii="宋体" w:hAnsi="宋体" w:cs="宋体"/>
                <w:snapToGrid w:val="0"/>
                <w:color w:val="000000"/>
                <w:kern w:val="0"/>
                <w:sz w:val="21"/>
                <w:szCs w:val="21"/>
              </w:rPr>
              <w:t>—</w:t>
            </w:r>
          </w:p>
        </w:tc>
        <w:tc>
          <w:tcPr>
            <w:tcW w:w="81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ascii="宋体" w:cs="宋体"/>
                <w:snapToGrid w:val="0"/>
                <w:color w:val="000000"/>
                <w:kern w:val="0"/>
                <w:sz w:val="21"/>
                <w:szCs w:val="21"/>
              </w:rPr>
            </w:pPr>
            <w:r>
              <w:rPr>
                <w:rFonts w:hint="eastAsia" w:ascii="宋体" w:hAnsi="宋体" w:cs="宋体"/>
                <w:snapToGrid w:val="0"/>
                <w:color w:val="000000"/>
                <w:kern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trHeight w:val="310" w:hRule="atLeast"/>
          <w:jc w:val="center"/>
        </w:trPr>
        <w:tc>
          <w:tcPr>
            <w:tcW w:w="453"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napToGrid w:val="0"/>
                <w:color w:val="000000"/>
                <w:kern w:val="0"/>
                <w:sz w:val="21"/>
                <w:szCs w:val="21"/>
              </w:rPr>
            </w:pPr>
            <w:r>
              <w:rPr>
                <w:rFonts w:hint="eastAsia" w:ascii="黑体" w:hAnsi="黑体" w:eastAsia="黑体" w:cs="黑体"/>
                <w:b w:val="0"/>
                <w:bCs w:val="0"/>
                <w:snapToGrid w:val="0"/>
                <w:color w:val="000000"/>
                <w:kern w:val="0"/>
                <w:sz w:val="21"/>
                <w:szCs w:val="21"/>
              </w:rPr>
              <w:t>生</w:t>
            </w: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napToGrid w:val="0"/>
                <w:color w:val="000000"/>
                <w:kern w:val="0"/>
                <w:sz w:val="21"/>
                <w:szCs w:val="21"/>
              </w:rPr>
            </w:pPr>
            <w:r>
              <w:rPr>
                <w:rFonts w:hint="eastAsia" w:ascii="黑体" w:hAnsi="黑体" w:eastAsia="黑体" w:cs="黑体"/>
                <w:b w:val="0"/>
                <w:bCs w:val="0"/>
                <w:snapToGrid w:val="0"/>
                <w:color w:val="000000"/>
                <w:kern w:val="0"/>
                <w:sz w:val="21"/>
                <w:szCs w:val="21"/>
              </w:rPr>
              <w:t>态</w:t>
            </w: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napToGrid w:val="0"/>
                <w:color w:val="000000"/>
                <w:kern w:val="0"/>
                <w:sz w:val="21"/>
                <w:szCs w:val="21"/>
              </w:rPr>
            </w:pPr>
            <w:r>
              <w:rPr>
                <w:rFonts w:hint="eastAsia" w:ascii="黑体" w:hAnsi="黑体" w:eastAsia="黑体" w:cs="黑体"/>
                <w:b w:val="0"/>
                <w:bCs w:val="0"/>
                <w:snapToGrid w:val="0"/>
                <w:color w:val="000000"/>
                <w:kern w:val="0"/>
                <w:sz w:val="21"/>
                <w:szCs w:val="21"/>
              </w:rPr>
              <w:t>文</w:t>
            </w: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napToGrid w:val="0"/>
                <w:color w:val="000000"/>
                <w:kern w:val="0"/>
                <w:sz w:val="21"/>
                <w:szCs w:val="21"/>
              </w:rPr>
            </w:pPr>
            <w:r>
              <w:rPr>
                <w:rFonts w:hint="eastAsia" w:ascii="黑体" w:hAnsi="黑体" w:eastAsia="黑体" w:cs="黑体"/>
                <w:b w:val="0"/>
                <w:bCs w:val="0"/>
                <w:snapToGrid w:val="0"/>
                <w:color w:val="000000"/>
                <w:kern w:val="0"/>
                <w:sz w:val="21"/>
                <w:szCs w:val="21"/>
              </w:rPr>
              <w:t>明</w:t>
            </w:r>
          </w:p>
        </w:tc>
        <w:tc>
          <w:tcPr>
            <w:tcW w:w="384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ascii="宋体" w:cs="宋体"/>
                <w:snapToGrid w:val="0"/>
                <w:color w:val="000000"/>
                <w:kern w:val="0"/>
                <w:sz w:val="21"/>
                <w:szCs w:val="21"/>
              </w:rPr>
            </w:pPr>
            <w:r>
              <w:rPr>
                <w:rFonts w:hint="eastAsia" w:ascii="宋体" w:hAnsi="宋体" w:cs="宋体"/>
                <w:snapToGrid w:val="0"/>
                <w:color w:val="000000"/>
                <w:kern w:val="0"/>
                <w:sz w:val="21"/>
                <w:szCs w:val="21"/>
              </w:rPr>
              <w:t>单位</w:t>
            </w:r>
            <w:r>
              <w:rPr>
                <w:rFonts w:ascii="宋体" w:hAnsi="宋体" w:cs="宋体"/>
                <w:snapToGrid w:val="0"/>
                <w:color w:val="000000"/>
                <w:kern w:val="0"/>
                <w:sz w:val="21"/>
                <w:szCs w:val="21"/>
              </w:rPr>
              <w:t>GDP</w:t>
            </w:r>
            <w:r>
              <w:rPr>
                <w:rFonts w:hint="eastAsia" w:ascii="宋体" w:hAnsi="宋体" w:cs="宋体"/>
                <w:snapToGrid w:val="0"/>
                <w:color w:val="000000"/>
                <w:kern w:val="0"/>
                <w:sz w:val="21"/>
                <w:szCs w:val="21"/>
              </w:rPr>
              <w:t>能耗累计降低（</w:t>
            </w:r>
            <w:r>
              <w:rPr>
                <w:rFonts w:ascii="宋体" w:hAnsi="宋体" w:cs="宋体"/>
                <w:snapToGrid w:val="0"/>
                <w:color w:val="000000"/>
                <w:kern w:val="0"/>
                <w:sz w:val="21"/>
                <w:szCs w:val="21"/>
              </w:rPr>
              <w:t>%</w:t>
            </w:r>
            <w:r>
              <w:rPr>
                <w:rFonts w:hint="eastAsia" w:ascii="宋体" w:hAnsi="宋体" w:cs="宋体"/>
                <w:snapToGrid w:val="0"/>
                <w:color w:val="000000"/>
                <w:kern w:val="0"/>
                <w:sz w:val="21"/>
                <w:szCs w:val="21"/>
              </w:rPr>
              <w:t>）</w:t>
            </w:r>
          </w:p>
        </w:tc>
        <w:tc>
          <w:tcPr>
            <w:tcW w:w="1357"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lang w:val="en-US" w:eastAsia="zh-CN"/>
              </w:rPr>
              <w:t>16.6</w:t>
            </w:r>
          </w:p>
        </w:tc>
        <w:tc>
          <w:tcPr>
            <w:tcW w:w="1419"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snapToGrid w:val="0"/>
                <w:color w:val="000000"/>
                <w:kern w:val="0"/>
                <w:sz w:val="21"/>
                <w:szCs w:val="21"/>
              </w:rPr>
            </w:pPr>
            <w:r>
              <w:rPr>
                <w:rFonts w:hint="eastAsia" w:ascii="宋体" w:hAnsi="宋体" w:cs="宋体"/>
                <w:snapToGrid w:val="0"/>
                <w:color w:val="000000"/>
                <w:kern w:val="0"/>
                <w:sz w:val="21"/>
                <w:szCs w:val="21"/>
              </w:rPr>
              <w:t>完成省定目标</w:t>
            </w:r>
          </w:p>
        </w:tc>
        <w:tc>
          <w:tcPr>
            <w:tcW w:w="886"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snapToGrid w:val="0"/>
                <w:color w:val="000000"/>
                <w:kern w:val="0"/>
                <w:sz w:val="21"/>
                <w:szCs w:val="21"/>
              </w:rPr>
            </w:pPr>
            <w:r>
              <w:rPr>
                <w:rFonts w:ascii="宋体" w:hAnsi="宋体" w:cs="宋体"/>
                <w:snapToGrid w:val="0"/>
                <w:color w:val="000000"/>
                <w:kern w:val="0"/>
                <w:sz w:val="21"/>
                <w:szCs w:val="21"/>
              </w:rPr>
              <w:t>—</w:t>
            </w:r>
          </w:p>
        </w:tc>
        <w:tc>
          <w:tcPr>
            <w:tcW w:w="81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ascii="宋体" w:cs="宋体"/>
                <w:snapToGrid w:val="0"/>
                <w:color w:val="000000"/>
                <w:kern w:val="0"/>
                <w:sz w:val="21"/>
                <w:szCs w:val="21"/>
              </w:rPr>
            </w:pPr>
            <w:r>
              <w:rPr>
                <w:rFonts w:hint="eastAsia" w:ascii="宋体" w:hAnsi="宋体" w:cs="宋体"/>
                <w:snapToGrid w:val="0"/>
                <w:color w:val="000000"/>
                <w:kern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trHeight w:val="376" w:hRule="atLeast"/>
          <w:jc w:val="center"/>
        </w:trPr>
        <w:tc>
          <w:tcPr>
            <w:tcW w:w="453"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napToGrid w:val="0"/>
                <w:color w:val="000000"/>
                <w:kern w:val="0"/>
                <w:sz w:val="21"/>
                <w:szCs w:val="21"/>
              </w:rPr>
            </w:pPr>
          </w:p>
        </w:tc>
        <w:tc>
          <w:tcPr>
            <w:tcW w:w="384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ascii="宋体" w:cs="宋体"/>
                <w:snapToGrid w:val="0"/>
                <w:color w:val="000000"/>
                <w:kern w:val="0"/>
                <w:sz w:val="21"/>
                <w:szCs w:val="21"/>
              </w:rPr>
            </w:pPr>
            <w:r>
              <w:rPr>
                <w:rFonts w:hint="eastAsia" w:ascii="宋体" w:hAnsi="宋体" w:cs="宋体"/>
                <w:snapToGrid w:val="0"/>
                <w:color w:val="000000"/>
                <w:kern w:val="0"/>
                <w:sz w:val="21"/>
                <w:szCs w:val="21"/>
              </w:rPr>
              <w:t>单位GDP二氧化碳排放强度累计降低（%）</w:t>
            </w:r>
          </w:p>
        </w:tc>
        <w:tc>
          <w:tcPr>
            <w:tcW w:w="1357"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rPr>
              <w:t>—</w:t>
            </w:r>
          </w:p>
        </w:tc>
        <w:tc>
          <w:tcPr>
            <w:tcW w:w="1419"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snapToGrid w:val="0"/>
                <w:color w:val="000000"/>
                <w:kern w:val="0"/>
                <w:sz w:val="21"/>
                <w:szCs w:val="21"/>
              </w:rPr>
            </w:pPr>
            <w:r>
              <w:rPr>
                <w:rFonts w:hint="eastAsia" w:ascii="宋体" w:hAnsi="宋体" w:cs="宋体"/>
                <w:snapToGrid w:val="0"/>
                <w:color w:val="000000"/>
                <w:kern w:val="0"/>
                <w:sz w:val="21"/>
                <w:szCs w:val="21"/>
              </w:rPr>
              <w:t>完成省定目标</w:t>
            </w:r>
          </w:p>
        </w:tc>
        <w:tc>
          <w:tcPr>
            <w:tcW w:w="886"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snapToGrid w:val="0"/>
                <w:color w:val="000000"/>
                <w:kern w:val="0"/>
                <w:sz w:val="21"/>
                <w:szCs w:val="21"/>
              </w:rPr>
            </w:pPr>
            <w:r>
              <w:rPr>
                <w:rFonts w:ascii="宋体" w:hAnsi="宋体" w:cs="宋体"/>
                <w:snapToGrid w:val="0"/>
                <w:color w:val="000000"/>
                <w:kern w:val="0"/>
                <w:sz w:val="21"/>
                <w:szCs w:val="21"/>
              </w:rPr>
              <w:t>—</w:t>
            </w:r>
          </w:p>
        </w:tc>
        <w:tc>
          <w:tcPr>
            <w:tcW w:w="81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ascii="宋体" w:cs="宋体"/>
                <w:snapToGrid w:val="0"/>
                <w:color w:val="000000"/>
                <w:kern w:val="0"/>
                <w:sz w:val="21"/>
                <w:szCs w:val="21"/>
              </w:rPr>
            </w:pPr>
            <w:r>
              <w:rPr>
                <w:rFonts w:hint="eastAsia" w:ascii="宋体" w:hAnsi="宋体" w:cs="宋体"/>
                <w:snapToGrid w:val="0"/>
                <w:color w:val="000000"/>
                <w:kern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trHeight w:val="362" w:hRule="atLeast"/>
          <w:jc w:val="center"/>
        </w:trPr>
        <w:tc>
          <w:tcPr>
            <w:tcW w:w="453"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napToGrid w:val="0"/>
                <w:color w:val="000000"/>
                <w:kern w:val="0"/>
                <w:sz w:val="21"/>
                <w:szCs w:val="21"/>
              </w:rPr>
            </w:pPr>
          </w:p>
        </w:tc>
        <w:tc>
          <w:tcPr>
            <w:tcW w:w="150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rPr>
              <w:t>主要污染物排放降低（%）</w:t>
            </w:r>
          </w:p>
        </w:tc>
        <w:tc>
          <w:tcPr>
            <w:tcW w:w="23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rPr>
              <w:t>化学需氧量</w:t>
            </w:r>
          </w:p>
        </w:tc>
        <w:tc>
          <w:tcPr>
            <w:tcW w:w="1357"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lang w:val="en-US" w:eastAsia="zh-CN"/>
              </w:rPr>
              <w:t>2</w:t>
            </w:r>
          </w:p>
        </w:tc>
        <w:tc>
          <w:tcPr>
            <w:tcW w:w="1419"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rPr>
              <w:t>完成省定目标</w:t>
            </w:r>
          </w:p>
        </w:tc>
        <w:tc>
          <w:tcPr>
            <w:tcW w:w="886"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hAnsi="宋体" w:cs="宋体"/>
                <w:snapToGrid w:val="0"/>
                <w:color w:val="000000"/>
                <w:kern w:val="0"/>
                <w:sz w:val="21"/>
                <w:szCs w:val="21"/>
              </w:rPr>
            </w:pPr>
          </w:p>
        </w:tc>
        <w:tc>
          <w:tcPr>
            <w:tcW w:w="81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trHeight w:val="308" w:hRule="atLeast"/>
          <w:jc w:val="center"/>
        </w:trPr>
        <w:tc>
          <w:tcPr>
            <w:tcW w:w="453"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napToGrid w:val="0"/>
                <w:color w:val="000000"/>
                <w:kern w:val="0"/>
                <w:sz w:val="21"/>
                <w:szCs w:val="21"/>
              </w:rPr>
            </w:pPr>
          </w:p>
        </w:tc>
        <w:tc>
          <w:tcPr>
            <w:tcW w:w="15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cs="宋体"/>
                <w:snapToGrid w:val="0"/>
                <w:color w:val="000000"/>
                <w:kern w:val="0"/>
                <w:sz w:val="21"/>
                <w:szCs w:val="21"/>
              </w:rPr>
            </w:pPr>
          </w:p>
        </w:tc>
        <w:tc>
          <w:tcPr>
            <w:tcW w:w="23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rPr>
              <w:t>氨氮</w:t>
            </w:r>
          </w:p>
        </w:tc>
        <w:tc>
          <w:tcPr>
            <w:tcW w:w="1357"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snapToGrid w:val="0"/>
                <w:color w:val="000000"/>
                <w:kern w:val="0"/>
                <w:sz w:val="21"/>
                <w:szCs w:val="21"/>
                <w:lang w:eastAsia="zh-CN"/>
              </w:rPr>
            </w:pPr>
            <w:r>
              <w:rPr>
                <w:rFonts w:hint="eastAsia" w:ascii="宋体" w:hAnsi="宋体" w:cs="宋体"/>
                <w:snapToGrid w:val="0"/>
                <w:color w:val="000000"/>
                <w:kern w:val="0"/>
                <w:sz w:val="21"/>
                <w:szCs w:val="21"/>
                <w:lang w:val="en-US" w:eastAsia="zh-CN"/>
              </w:rPr>
              <w:t>2</w:t>
            </w:r>
          </w:p>
        </w:tc>
        <w:tc>
          <w:tcPr>
            <w:tcW w:w="1419"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rPr>
              <w:t>完成省定目标</w:t>
            </w:r>
          </w:p>
        </w:tc>
        <w:tc>
          <w:tcPr>
            <w:tcW w:w="886"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hAnsi="宋体" w:cs="宋体"/>
                <w:snapToGrid w:val="0"/>
                <w:color w:val="000000"/>
                <w:kern w:val="0"/>
                <w:sz w:val="21"/>
                <w:szCs w:val="21"/>
              </w:rPr>
            </w:pPr>
          </w:p>
        </w:tc>
        <w:tc>
          <w:tcPr>
            <w:tcW w:w="81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trHeight w:val="312" w:hRule="atLeast"/>
          <w:jc w:val="center"/>
        </w:trPr>
        <w:tc>
          <w:tcPr>
            <w:tcW w:w="453"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napToGrid w:val="0"/>
                <w:color w:val="000000"/>
                <w:kern w:val="0"/>
                <w:sz w:val="21"/>
                <w:szCs w:val="21"/>
              </w:rPr>
            </w:pPr>
          </w:p>
        </w:tc>
        <w:tc>
          <w:tcPr>
            <w:tcW w:w="15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cs="宋体"/>
                <w:snapToGrid w:val="0"/>
                <w:color w:val="000000"/>
                <w:kern w:val="0"/>
                <w:sz w:val="21"/>
                <w:szCs w:val="21"/>
              </w:rPr>
            </w:pPr>
          </w:p>
        </w:tc>
        <w:tc>
          <w:tcPr>
            <w:tcW w:w="23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rPr>
              <w:t>氮氧化物</w:t>
            </w:r>
          </w:p>
        </w:tc>
        <w:tc>
          <w:tcPr>
            <w:tcW w:w="1357"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snapToGrid w:val="0"/>
                <w:color w:val="000000"/>
                <w:kern w:val="0"/>
                <w:sz w:val="21"/>
                <w:szCs w:val="21"/>
                <w:lang w:eastAsia="zh-CN"/>
              </w:rPr>
            </w:pPr>
            <w:r>
              <w:rPr>
                <w:rFonts w:hint="eastAsia" w:ascii="宋体" w:hAnsi="宋体" w:cs="宋体"/>
                <w:snapToGrid w:val="0"/>
                <w:color w:val="000000"/>
                <w:kern w:val="0"/>
                <w:sz w:val="21"/>
                <w:szCs w:val="21"/>
                <w:lang w:val="en-US" w:eastAsia="zh-CN"/>
              </w:rPr>
              <w:t>4</w:t>
            </w:r>
          </w:p>
        </w:tc>
        <w:tc>
          <w:tcPr>
            <w:tcW w:w="1419"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rPr>
              <w:t>完成省定目标</w:t>
            </w:r>
          </w:p>
        </w:tc>
        <w:tc>
          <w:tcPr>
            <w:tcW w:w="886"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hAnsi="宋体" w:cs="宋体"/>
                <w:snapToGrid w:val="0"/>
                <w:color w:val="000000"/>
                <w:kern w:val="0"/>
                <w:sz w:val="21"/>
                <w:szCs w:val="21"/>
              </w:rPr>
            </w:pPr>
          </w:p>
        </w:tc>
        <w:tc>
          <w:tcPr>
            <w:tcW w:w="81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trHeight w:val="306" w:hRule="atLeast"/>
          <w:jc w:val="center"/>
        </w:trPr>
        <w:tc>
          <w:tcPr>
            <w:tcW w:w="453"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napToGrid w:val="0"/>
                <w:color w:val="000000"/>
                <w:kern w:val="0"/>
                <w:sz w:val="21"/>
                <w:szCs w:val="21"/>
              </w:rPr>
            </w:pPr>
          </w:p>
        </w:tc>
        <w:tc>
          <w:tcPr>
            <w:tcW w:w="15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cs="宋体"/>
                <w:snapToGrid w:val="0"/>
                <w:color w:val="000000"/>
                <w:kern w:val="0"/>
                <w:sz w:val="21"/>
                <w:szCs w:val="21"/>
              </w:rPr>
            </w:pPr>
          </w:p>
        </w:tc>
        <w:tc>
          <w:tcPr>
            <w:tcW w:w="23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rPr>
              <w:t>二氧化硫</w:t>
            </w:r>
          </w:p>
        </w:tc>
        <w:tc>
          <w:tcPr>
            <w:tcW w:w="1357"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lang w:val="en-US" w:eastAsia="zh-CN"/>
              </w:rPr>
              <w:t>0.3</w:t>
            </w:r>
          </w:p>
        </w:tc>
        <w:tc>
          <w:tcPr>
            <w:tcW w:w="1419"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rPr>
              <w:t>完成省定目标</w:t>
            </w:r>
          </w:p>
        </w:tc>
        <w:tc>
          <w:tcPr>
            <w:tcW w:w="886"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hAnsi="宋体" w:cs="宋体"/>
                <w:snapToGrid w:val="0"/>
                <w:color w:val="000000"/>
                <w:kern w:val="0"/>
                <w:sz w:val="21"/>
                <w:szCs w:val="21"/>
              </w:rPr>
            </w:pPr>
          </w:p>
        </w:tc>
        <w:tc>
          <w:tcPr>
            <w:tcW w:w="81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trHeight w:val="342" w:hRule="atLeast"/>
          <w:jc w:val="center"/>
        </w:trPr>
        <w:tc>
          <w:tcPr>
            <w:tcW w:w="453"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napToGrid w:val="0"/>
                <w:color w:val="000000"/>
                <w:kern w:val="0"/>
                <w:sz w:val="21"/>
                <w:szCs w:val="21"/>
              </w:rPr>
            </w:pPr>
          </w:p>
        </w:tc>
        <w:tc>
          <w:tcPr>
            <w:tcW w:w="15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宋体" w:cs="宋体"/>
                <w:snapToGrid w:val="0"/>
                <w:color w:val="000000"/>
                <w:kern w:val="0"/>
                <w:sz w:val="21"/>
                <w:szCs w:val="21"/>
              </w:rPr>
            </w:pPr>
          </w:p>
        </w:tc>
        <w:tc>
          <w:tcPr>
            <w:tcW w:w="23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宋体" w:cs="宋体"/>
                <w:snapToGrid w:val="0"/>
                <w:color w:val="000000"/>
                <w:kern w:val="0"/>
                <w:sz w:val="21"/>
                <w:szCs w:val="21"/>
              </w:rPr>
            </w:pPr>
            <w:r>
              <w:rPr>
                <w:rFonts w:hint="eastAsia" w:ascii="宋体" w:hAnsi="宋体" w:cs="宋体"/>
                <w:snapToGrid w:val="0"/>
                <w:color w:val="000000"/>
                <w:kern w:val="0"/>
                <w:sz w:val="21"/>
                <w:szCs w:val="21"/>
              </w:rPr>
              <w:t>可吸入颗粒物浓度</w:t>
            </w:r>
          </w:p>
        </w:tc>
        <w:tc>
          <w:tcPr>
            <w:tcW w:w="1357"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rPr>
              <w:t>—</w:t>
            </w:r>
          </w:p>
        </w:tc>
        <w:tc>
          <w:tcPr>
            <w:tcW w:w="1419"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cs="宋体"/>
                <w:snapToGrid w:val="0"/>
                <w:color w:val="000000"/>
                <w:kern w:val="0"/>
                <w:sz w:val="21"/>
                <w:szCs w:val="21"/>
              </w:rPr>
            </w:pPr>
            <w:r>
              <w:rPr>
                <w:rFonts w:hint="eastAsia" w:ascii="宋体" w:hAnsi="宋体" w:cs="宋体"/>
                <w:snapToGrid w:val="0"/>
                <w:color w:val="000000"/>
                <w:kern w:val="0"/>
                <w:sz w:val="21"/>
                <w:szCs w:val="21"/>
              </w:rPr>
              <w:t>完成省定目标</w:t>
            </w:r>
          </w:p>
        </w:tc>
        <w:tc>
          <w:tcPr>
            <w:tcW w:w="886"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snapToGrid w:val="0"/>
                <w:color w:val="000000"/>
                <w:kern w:val="0"/>
                <w:sz w:val="21"/>
                <w:szCs w:val="21"/>
              </w:rPr>
            </w:pPr>
          </w:p>
        </w:tc>
        <w:tc>
          <w:tcPr>
            <w:tcW w:w="81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ascii="宋体" w:cs="宋体"/>
                <w:snapToGrid w:val="0"/>
                <w:color w:val="000000"/>
                <w:kern w:val="0"/>
                <w:sz w:val="21"/>
                <w:szCs w:val="21"/>
              </w:rPr>
            </w:pPr>
            <w:r>
              <w:rPr>
                <w:rFonts w:hint="eastAsia" w:ascii="宋体" w:hAnsi="宋体" w:cs="宋体"/>
                <w:snapToGrid w:val="0"/>
                <w:color w:val="000000"/>
                <w:kern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trHeight w:val="369" w:hRule="atLeast"/>
          <w:jc w:val="center"/>
        </w:trPr>
        <w:tc>
          <w:tcPr>
            <w:tcW w:w="453"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napToGrid w:val="0"/>
                <w:color w:val="000000"/>
                <w:kern w:val="0"/>
                <w:sz w:val="21"/>
                <w:szCs w:val="21"/>
              </w:rPr>
            </w:pPr>
          </w:p>
        </w:tc>
        <w:tc>
          <w:tcPr>
            <w:tcW w:w="384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rPr>
              <w:t>空气优良天数比例（%）</w:t>
            </w:r>
          </w:p>
        </w:tc>
        <w:tc>
          <w:tcPr>
            <w:tcW w:w="1357"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eastAsia="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78.6</w:t>
            </w:r>
          </w:p>
        </w:tc>
        <w:tc>
          <w:tcPr>
            <w:tcW w:w="1419"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snapToGrid w:val="0"/>
                <w:color w:val="000000"/>
                <w:kern w:val="0"/>
                <w:sz w:val="21"/>
                <w:szCs w:val="21"/>
              </w:rPr>
            </w:pPr>
            <w:r>
              <w:rPr>
                <w:rFonts w:hint="eastAsia" w:ascii="宋体" w:hAnsi="宋体" w:eastAsia="宋体" w:cs="宋体"/>
                <w:snapToGrid w:val="0"/>
                <w:color w:val="000000"/>
                <w:kern w:val="0"/>
                <w:sz w:val="21"/>
                <w:szCs w:val="21"/>
              </w:rPr>
              <w:t>＞</w:t>
            </w:r>
            <w:r>
              <w:rPr>
                <w:rFonts w:hint="eastAsia" w:ascii="宋体" w:hAnsi="宋体" w:cs="宋体"/>
                <w:snapToGrid w:val="0"/>
                <w:color w:val="000000"/>
                <w:kern w:val="0"/>
                <w:sz w:val="21"/>
                <w:szCs w:val="21"/>
              </w:rPr>
              <w:t>80</w:t>
            </w:r>
          </w:p>
        </w:tc>
        <w:tc>
          <w:tcPr>
            <w:tcW w:w="886"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snapToGrid w:val="0"/>
                <w:color w:val="000000"/>
                <w:kern w:val="0"/>
                <w:sz w:val="21"/>
                <w:szCs w:val="21"/>
              </w:rPr>
            </w:pPr>
          </w:p>
        </w:tc>
        <w:tc>
          <w:tcPr>
            <w:tcW w:w="81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trHeight w:val="367" w:hRule="atLeast"/>
          <w:jc w:val="center"/>
        </w:trPr>
        <w:tc>
          <w:tcPr>
            <w:tcW w:w="453"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napToGrid w:val="0"/>
                <w:color w:val="000000"/>
                <w:kern w:val="0"/>
                <w:sz w:val="21"/>
                <w:szCs w:val="21"/>
              </w:rPr>
            </w:pPr>
          </w:p>
        </w:tc>
        <w:tc>
          <w:tcPr>
            <w:tcW w:w="384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ascii="宋体" w:cs="宋体"/>
                <w:snapToGrid w:val="0"/>
                <w:color w:val="000000"/>
                <w:kern w:val="0"/>
                <w:sz w:val="21"/>
                <w:szCs w:val="21"/>
              </w:rPr>
            </w:pPr>
            <w:r>
              <w:rPr>
                <w:rFonts w:hint="eastAsia" w:ascii="宋体" w:hAnsi="宋体" w:cs="宋体"/>
                <w:snapToGrid w:val="0"/>
                <w:color w:val="000000"/>
                <w:kern w:val="0"/>
                <w:sz w:val="21"/>
                <w:szCs w:val="21"/>
              </w:rPr>
              <w:t>汉江出境断面水质</w:t>
            </w:r>
          </w:p>
        </w:tc>
        <w:tc>
          <w:tcPr>
            <w:tcW w:w="135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000000"/>
                <w:sz w:val="21"/>
                <w:szCs w:val="21"/>
              </w:rPr>
            </w:pPr>
            <w:r>
              <w:rPr>
                <w:rFonts w:hint="eastAsia" w:ascii="宋体" w:hAnsi="宋体" w:cs="宋体"/>
                <w:color w:val="000000"/>
                <w:sz w:val="21"/>
                <w:szCs w:val="21"/>
              </w:rPr>
              <w:t>保持Ⅱ类标准</w:t>
            </w:r>
          </w:p>
        </w:tc>
        <w:tc>
          <w:tcPr>
            <w:tcW w:w="141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000000"/>
                <w:sz w:val="21"/>
                <w:szCs w:val="21"/>
              </w:rPr>
            </w:pPr>
            <w:r>
              <w:rPr>
                <w:rFonts w:hint="eastAsia" w:ascii="宋体" w:hAnsi="宋体" w:cs="宋体"/>
                <w:color w:val="000000"/>
                <w:sz w:val="21"/>
                <w:szCs w:val="21"/>
              </w:rPr>
              <w:t>保持Ⅱ类标准</w:t>
            </w:r>
          </w:p>
        </w:tc>
        <w:tc>
          <w:tcPr>
            <w:tcW w:w="88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000000"/>
                <w:sz w:val="21"/>
                <w:szCs w:val="21"/>
              </w:rPr>
            </w:pPr>
            <w:r>
              <w:rPr>
                <w:rFonts w:ascii="宋体" w:hAnsi="宋体" w:cs="宋体"/>
                <w:color w:val="000000"/>
                <w:sz w:val="21"/>
                <w:szCs w:val="21"/>
              </w:rPr>
              <w:t>—</w:t>
            </w:r>
          </w:p>
        </w:tc>
        <w:tc>
          <w:tcPr>
            <w:tcW w:w="81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ascii="宋体" w:cs="宋体"/>
                <w:snapToGrid w:val="0"/>
                <w:color w:val="000000"/>
                <w:kern w:val="0"/>
                <w:sz w:val="21"/>
                <w:szCs w:val="21"/>
              </w:rPr>
            </w:pPr>
            <w:r>
              <w:rPr>
                <w:rFonts w:hint="eastAsia" w:ascii="宋体" w:hAnsi="宋体" w:cs="宋体"/>
                <w:snapToGrid w:val="0"/>
                <w:color w:val="000000"/>
                <w:kern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trHeight w:val="322" w:hRule="atLeast"/>
          <w:jc w:val="center"/>
        </w:trPr>
        <w:tc>
          <w:tcPr>
            <w:tcW w:w="453"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napToGrid w:val="0"/>
                <w:color w:val="000000"/>
                <w:kern w:val="0"/>
                <w:sz w:val="21"/>
                <w:szCs w:val="21"/>
              </w:rPr>
            </w:pPr>
          </w:p>
        </w:tc>
        <w:tc>
          <w:tcPr>
            <w:tcW w:w="384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rPr>
              <w:t>城镇饮用水达标率（%）</w:t>
            </w:r>
          </w:p>
        </w:tc>
        <w:tc>
          <w:tcPr>
            <w:tcW w:w="1357"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rPr>
              <w:t>95</w:t>
            </w:r>
          </w:p>
        </w:tc>
        <w:tc>
          <w:tcPr>
            <w:tcW w:w="1419"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rPr>
              <w:t>98</w:t>
            </w:r>
          </w:p>
        </w:tc>
        <w:tc>
          <w:tcPr>
            <w:tcW w:w="886"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hAnsi="宋体" w:cs="宋体"/>
                <w:color w:val="000000"/>
                <w:sz w:val="21"/>
                <w:szCs w:val="21"/>
              </w:rPr>
            </w:pPr>
          </w:p>
        </w:tc>
        <w:tc>
          <w:tcPr>
            <w:tcW w:w="81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trHeight w:val="348" w:hRule="atLeast"/>
          <w:jc w:val="center"/>
        </w:trPr>
        <w:tc>
          <w:tcPr>
            <w:tcW w:w="453"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napToGrid w:val="0"/>
                <w:color w:val="000000"/>
                <w:kern w:val="0"/>
                <w:sz w:val="21"/>
                <w:szCs w:val="21"/>
              </w:rPr>
            </w:pPr>
          </w:p>
        </w:tc>
        <w:tc>
          <w:tcPr>
            <w:tcW w:w="384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lang w:eastAsia="zh-CN"/>
              </w:rPr>
              <w:t>中心</w:t>
            </w:r>
            <w:r>
              <w:rPr>
                <w:rFonts w:hint="eastAsia" w:ascii="宋体" w:hAnsi="宋体" w:cs="宋体"/>
                <w:snapToGrid w:val="0"/>
                <w:color w:val="000000"/>
                <w:kern w:val="0"/>
                <w:sz w:val="21"/>
                <w:szCs w:val="21"/>
              </w:rPr>
              <w:t>城市</w:t>
            </w:r>
            <w:r>
              <w:rPr>
                <w:rFonts w:hint="eastAsia" w:ascii="宋体" w:hAnsi="宋体" w:cs="宋体"/>
                <w:snapToGrid w:val="0"/>
                <w:color w:val="000000"/>
                <w:kern w:val="0"/>
                <w:sz w:val="21"/>
                <w:szCs w:val="21"/>
                <w:lang w:val="en-US" w:eastAsia="zh-CN"/>
              </w:rPr>
              <w:t>/</w:t>
            </w:r>
            <w:r>
              <w:rPr>
                <w:rFonts w:hint="eastAsia" w:ascii="宋体" w:hAnsi="宋体" w:cs="宋体"/>
                <w:snapToGrid w:val="0"/>
                <w:color w:val="000000"/>
                <w:kern w:val="0"/>
                <w:sz w:val="21"/>
                <w:szCs w:val="21"/>
              </w:rPr>
              <w:t>县城污水处理率（%）</w:t>
            </w:r>
          </w:p>
        </w:tc>
        <w:tc>
          <w:tcPr>
            <w:tcW w:w="1357"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lang w:val="en-US" w:eastAsia="zh-CN"/>
              </w:rPr>
              <w:t>86/75</w:t>
            </w:r>
          </w:p>
        </w:tc>
        <w:tc>
          <w:tcPr>
            <w:tcW w:w="1419"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snapToGrid w:val="0"/>
                <w:color w:val="000000"/>
                <w:kern w:val="0"/>
                <w:sz w:val="21"/>
                <w:szCs w:val="21"/>
                <w:lang w:eastAsia="zh-CN"/>
              </w:rPr>
            </w:pPr>
            <w:r>
              <w:rPr>
                <w:rFonts w:hint="eastAsia" w:ascii="宋体" w:hAnsi="宋体" w:cs="宋体"/>
                <w:snapToGrid w:val="0"/>
                <w:color w:val="000000"/>
                <w:kern w:val="0"/>
                <w:sz w:val="21"/>
                <w:szCs w:val="21"/>
                <w:lang w:val="en-US" w:eastAsia="zh-CN"/>
              </w:rPr>
              <w:t>90/85</w:t>
            </w:r>
          </w:p>
        </w:tc>
        <w:tc>
          <w:tcPr>
            <w:tcW w:w="886"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hAnsi="宋体" w:cs="宋体"/>
                <w:color w:val="000000"/>
                <w:sz w:val="21"/>
                <w:szCs w:val="21"/>
              </w:rPr>
            </w:pPr>
          </w:p>
        </w:tc>
        <w:tc>
          <w:tcPr>
            <w:tcW w:w="81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trHeight w:val="354" w:hRule="atLeast"/>
          <w:jc w:val="center"/>
        </w:trPr>
        <w:tc>
          <w:tcPr>
            <w:tcW w:w="453"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napToGrid w:val="0"/>
                <w:color w:val="000000"/>
                <w:kern w:val="0"/>
                <w:sz w:val="21"/>
                <w:szCs w:val="21"/>
              </w:rPr>
            </w:pPr>
          </w:p>
        </w:tc>
        <w:tc>
          <w:tcPr>
            <w:tcW w:w="384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lang w:eastAsia="zh-CN"/>
              </w:rPr>
              <w:t>中心</w:t>
            </w:r>
            <w:r>
              <w:rPr>
                <w:rFonts w:hint="eastAsia" w:ascii="宋体" w:hAnsi="宋体" w:cs="宋体"/>
                <w:snapToGrid w:val="0"/>
                <w:color w:val="000000"/>
                <w:kern w:val="0"/>
                <w:sz w:val="21"/>
                <w:szCs w:val="21"/>
              </w:rPr>
              <w:t>城市</w:t>
            </w:r>
            <w:r>
              <w:rPr>
                <w:rFonts w:hint="eastAsia" w:ascii="宋体" w:hAnsi="宋体" w:cs="宋体"/>
                <w:snapToGrid w:val="0"/>
                <w:color w:val="000000"/>
                <w:kern w:val="0"/>
                <w:sz w:val="21"/>
                <w:szCs w:val="21"/>
                <w:lang w:val="en-US" w:eastAsia="zh-CN"/>
              </w:rPr>
              <w:t>/</w:t>
            </w:r>
            <w:r>
              <w:rPr>
                <w:rFonts w:hint="eastAsia" w:ascii="宋体" w:hAnsi="宋体" w:cs="宋体"/>
                <w:snapToGrid w:val="0"/>
                <w:color w:val="000000"/>
                <w:kern w:val="0"/>
                <w:sz w:val="21"/>
                <w:szCs w:val="21"/>
              </w:rPr>
              <w:t>县城生活垃圾无害化处理率（%）</w:t>
            </w:r>
          </w:p>
        </w:tc>
        <w:tc>
          <w:tcPr>
            <w:tcW w:w="1357"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snapToGrid w:val="0"/>
                <w:color w:val="000000"/>
                <w:kern w:val="0"/>
                <w:sz w:val="21"/>
                <w:szCs w:val="21"/>
                <w:lang w:val="en-US" w:eastAsia="zh-CN"/>
              </w:rPr>
            </w:pPr>
            <w:r>
              <w:rPr>
                <w:rFonts w:hint="eastAsia" w:ascii="宋体" w:hAnsi="宋体" w:cs="宋体"/>
                <w:snapToGrid w:val="0"/>
                <w:color w:val="000000"/>
                <w:kern w:val="0"/>
                <w:sz w:val="21"/>
                <w:szCs w:val="21"/>
              </w:rPr>
              <w:t>99.7</w:t>
            </w:r>
            <w:r>
              <w:rPr>
                <w:rFonts w:hint="eastAsia" w:ascii="宋体" w:hAnsi="宋体" w:cs="宋体"/>
                <w:snapToGrid w:val="0"/>
                <w:color w:val="000000"/>
                <w:kern w:val="0"/>
                <w:sz w:val="21"/>
                <w:szCs w:val="21"/>
                <w:lang w:val="en-US" w:eastAsia="zh-CN"/>
              </w:rPr>
              <w:t>/</w:t>
            </w:r>
            <w:r>
              <w:rPr>
                <w:rFonts w:hint="eastAsia" w:ascii="宋体" w:hAnsi="宋体" w:cs="宋体"/>
                <w:snapToGrid w:val="0"/>
                <w:color w:val="000000"/>
                <w:kern w:val="0"/>
                <w:sz w:val="21"/>
                <w:szCs w:val="21"/>
              </w:rPr>
              <w:t>95</w:t>
            </w:r>
          </w:p>
        </w:tc>
        <w:tc>
          <w:tcPr>
            <w:tcW w:w="1419"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snapToGrid w:val="0"/>
                <w:color w:val="000000"/>
                <w:kern w:val="0"/>
                <w:sz w:val="21"/>
                <w:szCs w:val="21"/>
                <w:lang w:eastAsia="zh-CN"/>
              </w:rPr>
            </w:pPr>
            <w:r>
              <w:rPr>
                <w:rFonts w:hint="eastAsia" w:ascii="宋体" w:hAnsi="宋体" w:cs="宋体"/>
                <w:snapToGrid w:val="0"/>
                <w:color w:val="000000"/>
                <w:kern w:val="0"/>
                <w:sz w:val="21"/>
                <w:szCs w:val="21"/>
                <w:lang w:val="en-US" w:eastAsia="zh-CN"/>
              </w:rPr>
              <w:t>100/95</w:t>
            </w:r>
          </w:p>
        </w:tc>
        <w:tc>
          <w:tcPr>
            <w:tcW w:w="886"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hAnsi="宋体" w:cs="宋体"/>
                <w:color w:val="000000"/>
                <w:sz w:val="21"/>
                <w:szCs w:val="21"/>
              </w:rPr>
            </w:pPr>
          </w:p>
        </w:tc>
        <w:tc>
          <w:tcPr>
            <w:tcW w:w="81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trHeight w:val="305" w:hRule="atLeast"/>
          <w:jc w:val="center"/>
        </w:trPr>
        <w:tc>
          <w:tcPr>
            <w:tcW w:w="453"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napToGrid w:val="0"/>
                <w:color w:val="000000"/>
                <w:kern w:val="0"/>
                <w:sz w:val="21"/>
                <w:szCs w:val="21"/>
              </w:rPr>
            </w:pPr>
          </w:p>
        </w:tc>
        <w:tc>
          <w:tcPr>
            <w:tcW w:w="384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ascii="宋体" w:cs="宋体"/>
                <w:snapToGrid w:val="0"/>
                <w:color w:val="000000"/>
                <w:kern w:val="0"/>
                <w:sz w:val="21"/>
                <w:szCs w:val="21"/>
              </w:rPr>
            </w:pPr>
            <w:r>
              <w:rPr>
                <w:rFonts w:hint="eastAsia" w:ascii="宋体" w:hAnsi="宋体" w:cs="宋体"/>
                <w:snapToGrid w:val="0"/>
                <w:color w:val="000000"/>
                <w:kern w:val="0"/>
                <w:sz w:val="21"/>
                <w:szCs w:val="21"/>
              </w:rPr>
              <w:t>森林覆盖率（</w:t>
            </w:r>
            <w:r>
              <w:rPr>
                <w:rFonts w:ascii="宋体" w:hAnsi="宋体" w:cs="宋体"/>
                <w:snapToGrid w:val="0"/>
                <w:color w:val="000000"/>
                <w:kern w:val="0"/>
                <w:sz w:val="21"/>
                <w:szCs w:val="21"/>
              </w:rPr>
              <w:t>%</w:t>
            </w:r>
            <w:r>
              <w:rPr>
                <w:rFonts w:hint="eastAsia" w:ascii="宋体" w:hAnsi="宋体" w:cs="宋体"/>
                <w:snapToGrid w:val="0"/>
                <w:color w:val="000000"/>
                <w:kern w:val="0"/>
                <w:sz w:val="21"/>
                <w:szCs w:val="21"/>
              </w:rPr>
              <w:t>）</w:t>
            </w:r>
          </w:p>
        </w:tc>
        <w:tc>
          <w:tcPr>
            <w:tcW w:w="1357"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snapToGrid w:val="0"/>
                <w:color w:val="000000"/>
                <w:kern w:val="0"/>
                <w:sz w:val="21"/>
                <w:szCs w:val="21"/>
              </w:rPr>
            </w:pPr>
            <w:r>
              <w:rPr>
                <w:rFonts w:ascii="宋体" w:hAnsi="宋体" w:cs="宋体"/>
                <w:snapToGrid w:val="0"/>
                <w:color w:val="000000"/>
                <w:kern w:val="0"/>
                <w:sz w:val="21"/>
                <w:szCs w:val="21"/>
              </w:rPr>
              <w:t>65</w:t>
            </w:r>
          </w:p>
        </w:tc>
        <w:tc>
          <w:tcPr>
            <w:tcW w:w="1419"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eastAsia="宋体" w:cs="宋体"/>
                <w:snapToGrid w:val="0"/>
                <w:color w:val="000000"/>
                <w:kern w:val="0"/>
                <w:sz w:val="21"/>
                <w:szCs w:val="21"/>
              </w:rPr>
            </w:pPr>
            <w:r>
              <w:rPr>
                <w:rFonts w:ascii="宋体" w:hAnsi="宋体" w:cs="宋体"/>
                <w:snapToGrid w:val="0"/>
                <w:color w:val="000000"/>
                <w:kern w:val="0"/>
                <w:sz w:val="21"/>
                <w:szCs w:val="21"/>
              </w:rPr>
              <w:t>6</w:t>
            </w:r>
            <w:r>
              <w:rPr>
                <w:rFonts w:hint="eastAsia" w:ascii="宋体" w:hAnsi="宋体" w:eastAsia="宋体" w:cs="宋体"/>
                <w:snapToGrid w:val="0"/>
                <w:color w:val="000000"/>
                <w:kern w:val="0"/>
                <w:sz w:val="21"/>
                <w:szCs w:val="21"/>
              </w:rPr>
              <w:t>8</w:t>
            </w:r>
          </w:p>
        </w:tc>
        <w:tc>
          <w:tcPr>
            <w:tcW w:w="886"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snapToGrid w:val="0"/>
                <w:color w:val="000000"/>
                <w:kern w:val="0"/>
                <w:sz w:val="21"/>
                <w:szCs w:val="21"/>
              </w:rPr>
            </w:pPr>
            <w:r>
              <w:rPr>
                <w:rFonts w:ascii="宋体" w:hAnsi="宋体" w:cs="宋体"/>
                <w:snapToGrid w:val="0"/>
                <w:color w:val="000000"/>
                <w:kern w:val="0"/>
                <w:sz w:val="21"/>
                <w:szCs w:val="21"/>
              </w:rPr>
              <w:t>—</w:t>
            </w:r>
          </w:p>
        </w:tc>
        <w:tc>
          <w:tcPr>
            <w:tcW w:w="81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ascii="宋体" w:cs="宋体"/>
                <w:snapToGrid w:val="0"/>
                <w:color w:val="000000"/>
                <w:kern w:val="0"/>
                <w:sz w:val="21"/>
                <w:szCs w:val="21"/>
              </w:rPr>
            </w:pPr>
            <w:r>
              <w:rPr>
                <w:rFonts w:hint="eastAsia" w:ascii="宋体" w:hAnsi="宋体" w:cs="宋体"/>
                <w:snapToGrid w:val="0"/>
                <w:color w:val="000000"/>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trHeight w:val="336" w:hRule="atLeast"/>
          <w:jc w:val="center"/>
        </w:trPr>
        <w:tc>
          <w:tcPr>
            <w:tcW w:w="453"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napToGrid w:val="0"/>
                <w:color w:val="000000"/>
                <w:kern w:val="0"/>
                <w:sz w:val="21"/>
                <w:szCs w:val="21"/>
              </w:rPr>
            </w:pPr>
          </w:p>
        </w:tc>
        <w:tc>
          <w:tcPr>
            <w:tcW w:w="384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rPr>
              <w:t>森林蓄积量（</w:t>
            </w:r>
            <w:r>
              <w:rPr>
                <w:rFonts w:hint="eastAsia" w:ascii="宋体" w:hAnsi="宋体" w:cs="宋体"/>
                <w:snapToGrid w:val="0"/>
                <w:color w:val="000000"/>
                <w:kern w:val="0"/>
                <w:sz w:val="21"/>
                <w:szCs w:val="21"/>
                <w:lang w:eastAsia="zh-CN"/>
              </w:rPr>
              <w:t>万</w:t>
            </w:r>
            <w:r>
              <w:rPr>
                <w:rFonts w:hint="eastAsia" w:ascii="宋体" w:hAnsi="宋体" w:cs="宋体"/>
                <w:snapToGrid w:val="0"/>
                <w:color w:val="000000"/>
                <w:kern w:val="0"/>
                <w:sz w:val="21"/>
                <w:szCs w:val="21"/>
              </w:rPr>
              <w:t>立方米）</w:t>
            </w:r>
          </w:p>
        </w:tc>
        <w:tc>
          <w:tcPr>
            <w:tcW w:w="1357"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napToGrid w:val="0"/>
                <w:color w:val="000000"/>
                <w:kern w:val="0"/>
                <w:sz w:val="21"/>
                <w:szCs w:val="21"/>
                <w:lang w:val="en-US" w:eastAsia="zh-CN"/>
              </w:rPr>
            </w:pPr>
            <w:r>
              <w:rPr>
                <w:rFonts w:hint="eastAsia" w:ascii="宋体" w:hAnsi="宋体" w:cs="宋体"/>
                <w:snapToGrid w:val="0"/>
                <w:color w:val="000000"/>
                <w:kern w:val="0"/>
                <w:sz w:val="21"/>
                <w:szCs w:val="21"/>
                <w:lang w:val="en-US" w:eastAsia="zh-CN"/>
              </w:rPr>
              <w:t>6500</w:t>
            </w:r>
          </w:p>
        </w:tc>
        <w:tc>
          <w:tcPr>
            <w:tcW w:w="1419"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lang w:val="en-US" w:eastAsia="zh-CN"/>
              </w:rPr>
              <w:t>700</w:t>
            </w:r>
            <w:r>
              <w:rPr>
                <w:rFonts w:hint="eastAsia" w:ascii="宋体" w:hAnsi="宋体" w:cs="宋体"/>
                <w:snapToGrid w:val="0"/>
                <w:color w:val="000000"/>
                <w:kern w:val="0"/>
                <w:sz w:val="21"/>
                <w:szCs w:val="21"/>
              </w:rPr>
              <w:t>0</w:t>
            </w:r>
          </w:p>
        </w:tc>
        <w:tc>
          <w:tcPr>
            <w:tcW w:w="886"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hAnsi="宋体" w:cs="宋体"/>
                <w:snapToGrid w:val="0"/>
                <w:color w:val="000000"/>
                <w:kern w:val="0"/>
                <w:sz w:val="21"/>
                <w:szCs w:val="21"/>
              </w:rPr>
            </w:pPr>
          </w:p>
        </w:tc>
        <w:tc>
          <w:tcPr>
            <w:tcW w:w="81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trHeight w:val="332" w:hRule="atLeast"/>
          <w:jc w:val="center"/>
        </w:trPr>
        <w:tc>
          <w:tcPr>
            <w:tcW w:w="453"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napToGrid w:val="0"/>
                <w:color w:val="000000"/>
                <w:kern w:val="0"/>
                <w:sz w:val="21"/>
                <w:szCs w:val="21"/>
              </w:rPr>
            </w:pPr>
          </w:p>
        </w:tc>
        <w:tc>
          <w:tcPr>
            <w:tcW w:w="384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rPr>
              <w:t>新增建设用地规模（万亩）</w:t>
            </w:r>
          </w:p>
        </w:tc>
        <w:tc>
          <w:tcPr>
            <w:tcW w:w="1357"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napToGrid w:val="0"/>
                <w:color w:val="000000"/>
                <w:kern w:val="0"/>
                <w:sz w:val="21"/>
                <w:szCs w:val="21"/>
                <w:lang w:eastAsia="zh-CN"/>
              </w:rPr>
            </w:pPr>
            <w:r>
              <w:rPr>
                <w:rFonts w:hint="eastAsia" w:ascii="宋体" w:hAnsi="宋体" w:cs="宋体"/>
                <w:snapToGrid w:val="0"/>
                <w:color w:val="000000"/>
                <w:kern w:val="0"/>
                <w:sz w:val="21"/>
                <w:szCs w:val="21"/>
                <w:lang w:val="en-US" w:eastAsia="zh-CN"/>
              </w:rPr>
              <w:t>0.6</w:t>
            </w:r>
          </w:p>
        </w:tc>
        <w:tc>
          <w:tcPr>
            <w:tcW w:w="1419"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napToGrid w:val="0"/>
                <w:color w:val="000000"/>
                <w:kern w:val="0"/>
                <w:sz w:val="21"/>
                <w:szCs w:val="21"/>
                <w:lang w:eastAsia="zh-CN"/>
              </w:rPr>
            </w:pPr>
            <w:r>
              <w:rPr>
                <w:rFonts w:hint="eastAsia" w:ascii="宋体" w:hAnsi="宋体" w:cs="宋体"/>
                <w:snapToGrid w:val="0"/>
                <w:color w:val="000000"/>
                <w:kern w:val="0"/>
                <w:sz w:val="21"/>
                <w:szCs w:val="21"/>
                <w:lang w:val="en-US" w:eastAsia="zh-CN"/>
              </w:rPr>
              <w:t>3.9</w:t>
            </w:r>
          </w:p>
        </w:tc>
        <w:tc>
          <w:tcPr>
            <w:tcW w:w="886"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hAnsi="宋体" w:cs="宋体"/>
                <w:snapToGrid w:val="0"/>
                <w:color w:val="000000"/>
                <w:kern w:val="0"/>
                <w:sz w:val="21"/>
                <w:szCs w:val="21"/>
              </w:rPr>
            </w:pPr>
          </w:p>
        </w:tc>
        <w:tc>
          <w:tcPr>
            <w:tcW w:w="81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trHeight w:val="336" w:hRule="atLeast"/>
          <w:jc w:val="center"/>
        </w:trPr>
        <w:tc>
          <w:tcPr>
            <w:tcW w:w="453"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napToGrid w:val="0"/>
                <w:color w:val="000000"/>
                <w:kern w:val="0"/>
                <w:sz w:val="21"/>
                <w:szCs w:val="21"/>
              </w:rPr>
            </w:pPr>
          </w:p>
        </w:tc>
        <w:tc>
          <w:tcPr>
            <w:tcW w:w="384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rPr>
              <w:t>单位</w:t>
            </w:r>
            <w:r>
              <w:rPr>
                <w:rFonts w:ascii="宋体" w:hAnsi="宋体" w:cs="宋体"/>
                <w:snapToGrid w:val="0"/>
                <w:color w:val="000000"/>
                <w:kern w:val="0"/>
                <w:sz w:val="21"/>
                <w:szCs w:val="21"/>
              </w:rPr>
              <w:t>GDP建设用地下降率</w:t>
            </w:r>
            <w:r>
              <w:rPr>
                <w:rFonts w:hint="eastAsia" w:ascii="宋体" w:hAnsi="宋体" w:cs="宋体"/>
                <w:snapToGrid w:val="0"/>
                <w:color w:val="000000"/>
                <w:kern w:val="0"/>
                <w:sz w:val="21"/>
                <w:szCs w:val="21"/>
              </w:rPr>
              <w:t>（</w:t>
            </w:r>
            <w:r>
              <w:rPr>
                <w:rFonts w:ascii="宋体" w:hAnsi="宋体" w:cs="宋体"/>
                <w:snapToGrid w:val="0"/>
                <w:color w:val="000000"/>
                <w:kern w:val="0"/>
                <w:sz w:val="21"/>
                <w:szCs w:val="21"/>
              </w:rPr>
              <w:t>%</w:t>
            </w:r>
            <w:r>
              <w:rPr>
                <w:rFonts w:hint="eastAsia" w:ascii="宋体" w:hAnsi="宋体" w:cs="宋体"/>
                <w:snapToGrid w:val="0"/>
                <w:color w:val="000000"/>
                <w:kern w:val="0"/>
                <w:sz w:val="21"/>
                <w:szCs w:val="21"/>
              </w:rPr>
              <w:t>）</w:t>
            </w:r>
          </w:p>
        </w:tc>
        <w:tc>
          <w:tcPr>
            <w:tcW w:w="1357"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snapToGrid w:val="0"/>
                <w:color w:val="000000"/>
                <w:kern w:val="0"/>
                <w:sz w:val="21"/>
                <w:szCs w:val="21"/>
              </w:rPr>
            </w:pPr>
          </w:p>
        </w:tc>
        <w:tc>
          <w:tcPr>
            <w:tcW w:w="1419"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napToGrid w:val="0"/>
                <w:color w:val="000000"/>
                <w:kern w:val="0"/>
                <w:sz w:val="21"/>
                <w:szCs w:val="21"/>
                <w:lang w:eastAsia="zh-CN"/>
              </w:rPr>
            </w:pPr>
            <w:r>
              <w:rPr>
                <w:rFonts w:hint="eastAsia" w:ascii="宋体" w:hAnsi="宋体" w:cs="宋体"/>
                <w:snapToGrid w:val="0"/>
                <w:color w:val="000000"/>
                <w:kern w:val="0"/>
                <w:sz w:val="21"/>
                <w:szCs w:val="21"/>
                <w:lang w:val="en-US" w:eastAsia="zh-CN"/>
              </w:rPr>
              <w:t>18</w:t>
            </w:r>
          </w:p>
        </w:tc>
        <w:tc>
          <w:tcPr>
            <w:tcW w:w="886"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hAnsi="宋体" w:cs="宋体"/>
                <w:snapToGrid w:val="0"/>
                <w:color w:val="000000"/>
                <w:kern w:val="0"/>
                <w:sz w:val="21"/>
                <w:szCs w:val="21"/>
              </w:rPr>
            </w:pPr>
          </w:p>
        </w:tc>
        <w:tc>
          <w:tcPr>
            <w:tcW w:w="81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trHeight w:val="355" w:hRule="atLeast"/>
          <w:jc w:val="center"/>
        </w:trPr>
        <w:tc>
          <w:tcPr>
            <w:tcW w:w="453"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napToGrid w:val="0"/>
                <w:color w:val="000000"/>
                <w:kern w:val="0"/>
                <w:sz w:val="21"/>
                <w:szCs w:val="21"/>
              </w:rPr>
            </w:pPr>
            <w:r>
              <w:rPr>
                <w:rFonts w:hint="eastAsia" w:ascii="黑体" w:hAnsi="黑体" w:eastAsia="黑体" w:cs="黑体"/>
                <w:b w:val="0"/>
                <w:bCs w:val="0"/>
                <w:snapToGrid w:val="0"/>
                <w:color w:val="000000"/>
                <w:kern w:val="0"/>
                <w:sz w:val="21"/>
                <w:szCs w:val="21"/>
              </w:rPr>
              <w:t>改</w:t>
            </w: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napToGrid w:val="0"/>
                <w:color w:val="000000"/>
                <w:kern w:val="0"/>
                <w:sz w:val="21"/>
                <w:szCs w:val="21"/>
              </w:rPr>
            </w:pPr>
            <w:r>
              <w:rPr>
                <w:rFonts w:hint="eastAsia" w:ascii="黑体" w:hAnsi="黑体" w:eastAsia="黑体" w:cs="黑体"/>
                <w:b w:val="0"/>
                <w:bCs w:val="0"/>
                <w:snapToGrid w:val="0"/>
                <w:color w:val="000000"/>
                <w:kern w:val="0"/>
                <w:sz w:val="21"/>
                <w:szCs w:val="21"/>
              </w:rPr>
              <w:t>革</w:t>
            </w: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napToGrid w:val="0"/>
                <w:color w:val="000000"/>
                <w:kern w:val="0"/>
                <w:sz w:val="21"/>
                <w:szCs w:val="21"/>
              </w:rPr>
            </w:pPr>
            <w:r>
              <w:rPr>
                <w:rFonts w:hint="eastAsia" w:ascii="黑体" w:hAnsi="黑体" w:eastAsia="黑体" w:cs="黑体"/>
                <w:b w:val="0"/>
                <w:bCs w:val="0"/>
                <w:snapToGrid w:val="0"/>
                <w:color w:val="000000"/>
                <w:kern w:val="0"/>
                <w:sz w:val="21"/>
                <w:szCs w:val="21"/>
              </w:rPr>
              <w:t>开</w:t>
            </w: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napToGrid w:val="0"/>
                <w:color w:val="000000"/>
                <w:kern w:val="0"/>
                <w:sz w:val="21"/>
                <w:szCs w:val="21"/>
              </w:rPr>
            </w:pPr>
            <w:r>
              <w:rPr>
                <w:rFonts w:hint="eastAsia" w:ascii="黑体" w:hAnsi="黑体" w:eastAsia="黑体" w:cs="黑体"/>
                <w:b w:val="0"/>
                <w:bCs w:val="0"/>
                <w:snapToGrid w:val="0"/>
                <w:color w:val="000000"/>
                <w:kern w:val="0"/>
                <w:sz w:val="21"/>
                <w:szCs w:val="21"/>
              </w:rPr>
              <w:t>放</w:t>
            </w:r>
          </w:p>
        </w:tc>
        <w:tc>
          <w:tcPr>
            <w:tcW w:w="384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ascii="宋体" w:cs="宋体"/>
                <w:snapToGrid w:val="0"/>
                <w:color w:val="000000"/>
                <w:kern w:val="0"/>
                <w:sz w:val="21"/>
                <w:szCs w:val="21"/>
              </w:rPr>
            </w:pPr>
            <w:r>
              <w:rPr>
                <w:rFonts w:hint="eastAsia" w:ascii="宋体" w:hAnsi="宋体" w:cs="宋体"/>
                <w:snapToGrid w:val="0"/>
                <w:color w:val="000000"/>
                <w:kern w:val="0"/>
                <w:sz w:val="21"/>
                <w:szCs w:val="21"/>
              </w:rPr>
              <w:t>非公经济增加值占</w:t>
            </w:r>
            <w:r>
              <w:rPr>
                <w:rFonts w:ascii="宋体" w:hAnsi="宋体" w:cs="宋体"/>
                <w:snapToGrid w:val="0"/>
                <w:color w:val="000000"/>
                <w:kern w:val="0"/>
                <w:sz w:val="21"/>
                <w:szCs w:val="21"/>
              </w:rPr>
              <w:t>GDP</w:t>
            </w:r>
            <w:r>
              <w:rPr>
                <w:rFonts w:hint="eastAsia" w:ascii="宋体" w:hAnsi="宋体" w:cs="宋体"/>
                <w:snapToGrid w:val="0"/>
                <w:color w:val="000000"/>
                <w:kern w:val="0"/>
                <w:sz w:val="21"/>
                <w:szCs w:val="21"/>
              </w:rPr>
              <w:t>比重（</w:t>
            </w:r>
            <w:r>
              <w:rPr>
                <w:rFonts w:ascii="宋体" w:hAnsi="宋体" w:cs="宋体"/>
                <w:snapToGrid w:val="0"/>
                <w:color w:val="000000"/>
                <w:kern w:val="0"/>
                <w:sz w:val="21"/>
                <w:szCs w:val="21"/>
              </w:rPr>
              <w:t>%</w:t>
            </w:r>
            <w:r>
              <w:rPr>
                <w:rFonts w:hint="eastAsia" w:ascii="宋体" w:hAnsi="宋体" w:cs="宋体"/>
                <w:snapToGrid w:val="0"/>
                <w:color w:val="000000"/>
                <w:kern w:val="0"/>
                <w:sz w:val="21"/>
                <w:szCs w:val="21"/>
              </w:rPr>
              <w:t>）</w:t>
            </w:r>
          </w:p>
        </w:tc>
        <w:tc>
          <w:tcPr>
            <w:tcW w:w="1357"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snapToGrid w:val="0"/>
                <w:color w:val="000000"/>
                <w:kern w:val="0"/>
                <w:sz w:val="21"/>
                <w:szCs w:val="21"/>
              </w:rPr>
            </w:pPr>
            <w:r>
              <w:rPr>
                <w:rFonts w:ascii="宋体" w:hAnsi="宋体" w:cs="宋体"/>
                <w:snapToGrid w:val="0"/>
                <w:color w:val="000000"/>
                <w:kern w:val="0"/>
                <w:sz w:val="21"/>
                <w:szCs w:val="21"/>
              </w:rPr>
              <w:t>54</w:t>
            </w:r>
            <w:r>
              <w:rPr>
                <w:rFonts w:hint="eastAsia" w:ascii="宋体" w:hAnsi="宋体" w:cs="宋体"/>
                <w:snapToGrid w:val="0"/>
                <w:color w:val="000000"/>
                <w:kern w:val="0"/>
                <w:sz w:val="21"/>
                <w:szCs w:val="21"/>
                <w:lang w:val="en-US" w:eastAsia="zh-CN"/>
              </w:rPr>
              <w:t>.2</w:t>
            </w:r>
          </w:p>
        </w:tc>
        <w:tc>
          <w:tcPr>
            <w:tcW w:w="1419"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snapToGrid w:val="0"/>
                <w:color w:val="000000"/>
                <w:kern w:val="0"/>
                <w:sz w:val="21"/>
                <w:szCs w:val="21"/>
              </w:rPr>
            </w:pPr>
            <w:r>
              <w:rPr>
                <w:rFonts w:ascii="宋体" w:hAnsi="宋体" w:cs="宋体"/>
                <w:snapToGrid w:val="0"/>
                <w:color w:val="000000"/>
                <w:kern w:val="0"/>
                <w:sz w:val="21"/>
                <w:szCs w:val="21"/>
              </w:rPr>
              <w:t>60</w:t>
            </w:r>
          </w:p>
        </w:tc>
        <w:tc>
          <w:tcPr>
            <w:tcW w:w="886"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snapToGrid w:val="0"/>
                <w:color w:val="000000"/>
                <w:kern w:val="0"/>
                <w:sz w:val="21"/>
                <w:szCs w:val="21"/>
              </w:rPr>
            </w:pPr>
            <w:r>
              <w:rPr>
                <w:rFonts w:ascii="宋体" w:hAnsi="宋体" w:cs="宋体"/>
                <w:snapToGrid w:val="0"/>
                <w:color w:val="000000"/>
                <w:kern w:val="0"/>
                <w:sz w:val="21"/>
                <w:szCs w:val="21"/>
              </w:rPr>
              <w:t>—</w:t>
            </w:r>
          </w:p>
        </w:tc>
        <w:tc>
          <w:tcPr>
            <w:tcW w:w="81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ascii="宋体" w:cs="宋体"/>
                <w:snapToGrid w:val="0"/>
                <w:color w:val="000000"/>
                <w:kern w:val="0"/>
                <w:sz w:val="21"/>
                <w:szCs w:val="21"/>
              </w:rPr>
            </w:pPr>
            <w:r>
              <w:rPr>
                <w:rFonts w:hint="eastAsia" w:ascii="宋体" w:hAnsi="宋体" w:cs="宋体"/>
                <w:snapToGrid w:val="0"/>
                <w:color w:val="000000"/>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trHeight w:val="357" w:hRule="atLeast"/>
          <w:jc w:val="center"/>
        </w:trPr>
        <w:tc>
          <w:tcPr>
            <w:tcW w:w="453"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ascii="宋体" w:cs="宋体"/>
                <w:snapToGrid w:val="0"/>
                <w:color w:val="000000"/>
                <w:kern w:val="0"/>
                <w:sz w:val="21"/>
                <w:szCs w:val="21"/>
              </w:rPr>
            </w:pPr>
          </w:p>
        </w:tc>
        <w:tc>
          <w:tcPr>
            <w:tcW w:w="384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rPr>
              <w:t>市场主体培育每年注册企业增长数（%）</w:t>
            </w:r>
          </w:p>
        </w:tc>
        <w:tc>
          <w:tcPr>
            <w:tcW w:w="13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rPr>
              <w:t>12</w:t>
            </w:r>
          </w:p>
        </w:tc>
        <w:tc>
          <w:tcPr>
            <w:tcW w:w="14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snapToGrid w:val="0"/>
                <w:color w:val="000000"/>
                <w:kern w:val="0"/>
                <w:sz w:val="21"/>
                <w:szCs w:val="21"/>
              </w:rPr>
            </w:pPr>
          </w:p>
        </w:tc>
        <w:tc>
          <w:tcPr>
            <w:tcW w:w="8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rPr>
              <w:t>10</w:t>
            </w:r>
          </w:p>
        </w:tc>
        <w:tc>
          <w:tcPr>
            <w:tcW w:w="8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lang w:val="en-US" w:eastAsia="zh-CN"/>
              </w:rPr>
              <w:t xml:space="preserve"> 预期</w:t>
            </w:r>
            <w:r>
              <w:rPr>
                <w:rFonts w:hint="eastAsia" w:ascii="宋体" w:hAnsi="宋体" w:cs="宋体"/>
                <w:snapToGrid w:val="0"/>
                <w:color w:val="000000"/>
                <w:kern w:val="0"/>
                <w:sz w:val="21"/>
                <w:szCs w:val="21"/>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trHeight w:val="398" w:hRule="atLeast"/>
          <w:jc w:val="center"/>
        </w:trPr>
        <w:tc>
          <w:tcPr>
            <w:tcW w:w="453"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ascii="宋体" w:cs="宋体"/>
                <w:snapToGrid w:val="0"/>
                <w:color w:val="000000"/>
                <w:kern w:val="0"/>
                <w:sz w:val="21"/>
                <w:szCs w:val="21"/>
              </w:rPr>
            </w:pPr>
          </w:p>
        </w:tc>
        <w:tc>
          <w:tcPr>
            <w:tcW w:w="384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ascii="宋体" w:cs="宋体"/>
                <w:snapToGrid w:val="0"/>
                <w:color w:val="000000"/>
                <w:kern w:val="0"/>
                <w:sz w:val="21"/>
                <w:szCs w:val="21"/>
              </w:rPr>
            </w:pPr>
            <w:r>
              <w:rPr>
                <w:rFonts w:hint="eastAsia" w:ascii="宋体" w:hAnsi="宋体" w:cs="宋体"/>
                <w:snapToGrid w:val="0"/>
                <w:color w:val="000000"/>
                <w:kern w:val="0"/>
                <w:sz w:val="21"/>
                <w:szCs w:val="21"/>
                <w:lang w:eastAsia="zh-CN"/>
              </w:rPr>
              <w:t>五年</w:t>
            </w:r>
            <w:r>
              <w:rPr>
                <w:rFonts w:hint="eastAsia" w:ascii="宋体" w:hAnsi="宋体" w:cs="宋体"/>
                <w:snapToGrid w:val="0"/>
                <w:color w:val="000000"/>
                <w:kern w:val="0"/>
                <w:sz w:val="21"/>
                <w:szCs w:val="21"/>
              </w:rPr>
              <w:t>累计招商引资实际到位资金（亿元）</w:t>
            </w:r>
          </w:p>
        </w:tc>
        <w:tc>
          <w:tcPr>
            <w:tcW w:w="1357"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cs="宋体"/>
                <w:snapToGrid w:val="0"/>
                <w:color w:val="000000"/>
                <w:kern w:val="0"/>
                <w:sz w:val="21"/>
                <w:szCs w:val="21"/>
              </w:rPr>
            </w:pPr>
            <w:r>
              <w:rPr>
                <w:rFonts w:hint="eastAsia" w:ascii="宋体" w:hAnsi="宋体" w:cs="宋体"/>
                <w:snapToGrid w:val="0"/>
                <w:color w:val="000000"/>
                <w:kern w:val="0"/>
                <w:sz w:val="21"/>
                <w:szCs w:val="21"/>
              </w:rPr>
              <w:t>【14</w:t>
            </w:r>
            <w:r>
              <w:rPr>
                <w:rFonts w:hint="eastAsia" w:ascii="宋体" w:hAnsi="宋体" w:cs="宋体"/>
                <w:snapToGrid w:val="0"/>
                <w:color w:val="000000"/>
                <w:kern w:val="0"/>
                <w:sz w:val="21"/>
                <w:szCs w:val="21"/>
                <w:lang w:val="en-US" w:eastAsia="zh-CN"/>
              </w:rPr>
              <w:t>62</w:t>
            </w:r>
            <w:r>
              <w:rPr>
                <w:rFonts w:hint="eastAsia" w:ascii="宋体" w:hAnsi="宋体" w:cs="宋体"/>
                <w:snapToGrid w:val="0"/>
                <w:color w:val="000000"/>
                <w:kern w:val="0"/>
                <w:sz w:val="21"/>
                <w:szCs w:val="21"/>
              </w:rPr>
              <w:t>】</w:t>
            </w:r>
          </w:p>
        </w:tc>
        <w:tc>
          <w:tcPr>
            <w:tcW w:w="1419"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cs="宋体"/>
                <w:snapToGrid w:val="0"/>
                <w:color w:val="000000"/>
                <w:kern w:val="0"/>
                <w:sz w:val="21"/>
                <w:szCs w:val="21"/>
              </w:rPr>
            </w:pPr>
            <w:r>
              <w:rPr>
                <w:rFonts w:hint="eastAsia" w:ascii="宋体" w:hAnsi="宋体" w:cs="宋体"/>
                <w:snapToGrid w:val="0"/>
                <w:color w:val="000000"/>
                <w:kern w:val="0"/>
                <w:sz w:val="21"/>
                <w:szCs w:val="21"/>
              </w:rPr>
              <w:t>【3200】</w:t>
            </w:r>
          </w:p>
        </w:tc>
        <w:tc>
          <w:tcPr>
            <w:tcW w:w="886"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snapToGrid w:val="0"/>
                <w:color w:val="000000"/>
                <w:kern w:val="0"/>
                <w:sz w:val="21"/>
                <w:szCs w:val="21"/>
              </w:rPr>
            </w:pPr>
            <w:r>
              <w:rPr>
                <w:rFonts w:ascii="宋体" w:hAnsi="宋体" w:cs="宋体"/>
                <w:snapToGrid w:val="0"/>
                <w:color w:val="000000"/>
                <w:kern w:val="0"/>
                <w:sz w:val="21"/>
                <w:szCs w:val="21"/>
              </w:rPr>
              <w:t>16</w:t>
            </w:r>
          </w:p>
        </w:tc>
        <w:tc>
          <w:tcPr>
            <w:tcW w:w="81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ascii="宋体" w:cs="宋体"/>
                <w:snapToGrid w:val="0"/>
                <w:color w:val="000000"/>
                <w:kern w:val="0"/>
                <w:sz w:val="21"/>
                <w:szCs w:val="21"/>
              </w:rPr>
            </w:pPr>
            <w:r>
              <w:rPr>
                <w:rFonts w:hint="eastAsia" w:ascii="宋体" w:hAnsi="宋体" w:cs="宋体"/>
                <w:snapToGrid w:val="0"/>
                <w:color w:val="000000"/>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trHeight w:val="371" w:hRule="atLeast"/>
          <w:jc w:val="center"/>
        </w:trPr>
        <w:tc>
          <w:tcPr>
            <w:tcW w:w="453"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ascii="宋体" w:cs="宋体"/>
                <w:snapToGrid w:val="0"/>
                <w:color w:val="000000"/>
                <w:kern w:val="0"/>
                <w:sz w:val="21"/>
                <w:szCs w:val="21"/>
              </w:rPr>
            </w:pPr>
          </w:p>
        </w:tc>
        <w:tc>
          <w:tcPr>
            <w:tcW w:w="384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ascii="宋体" w:cs="宋体"/>
                <w:snapToGrid w:val="0"/>
                <w:color w:val="000000"/>
                <w:kern w:val="0"/>
                <w:sz w:val="21"/>
                <w:szCs w:val="21"/>
              </w:rPr>
            </w:pPr>
            <w:r>
              <w:rPr>
                <w:rFonts w:hint="eastAsia" w:ascii="宋体" w:hAnsi="宋体" w:cs="宋体"/>
                <w:snapToGrid w:val="0"/>
                <w:color w:val="000000"/>
                <w:kern w:val="0"/>
                <w:sz w:val="21"/>
                <w:szCs w:val="21"/>
              </w:rPr>
              <w:t>进出口贸易总额（万美元）</w:t>
            </w:r>
          </w:p>
        </w:tc>
        <w:tc>
          <w:tcPr>
            <w:tcW w:w="1357"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eastAsia="宋体" w:cs="宋体"/>
                <w:bCs/>
                <w:snapToGrid w:val="0"/>
                <w:color w:val="000000"/>
                <w:kern w:val="0"/>
                <w:sz w:val="21"/>
                <w:szCs w:val="21"/>
                <w:lang w:eastAsia="zh-CN"/>
              </w:rPr>
            </w:pPr>
            <w:r>
              <w:rPr>
                <w:rFonts w:hint="eastAsia" w:ascii="宋体" w:cs="宋体"/>
                <w:bCs/>
                <w:snapToGrid w:val="0"/>
                <w:color w:val="000000"/>
                <w:kern w:val="0"/>
                <w:sz w:val="21"/>
                <w:szCs w:val="21"/>
                <w:lang w:val="en-US" w:eastAsia="zh-CN"/>
              </w:rPr>
              <w:t>4767</w:t>
            </w:r>
          </w:p>
        </w:tc>
        <w:tc>
          <w:tcPr>
            <w:tcW w:w="1419"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bCs/>
                <w:snapToGrid w:val="0"/>
                <w:color w:val="000000"/>
                <w:kern w:val="0"/>
                <w:sz w:val="21"/>
                <w:szCs w:val="21"/>
              </w:rPr>
            </w:pPr>
            <w:r>
              <w:rPr>
                <w:rFonts w:hint="eastAsia" w:ascii="宋体" w:hAnsi="宋体" w:cs="宋体"/>
                <w:bCs/>
                <w:snapToGrid w:val="0"/>
                <w:color w:val="000000"/>
                <w:kern w:val="0"/>
                <w:sz w:val="21"/>
                <w:szCs w:val="21"/>
              </w:rPr>
              <w:t>1</w:t>
            </w:r>
            <w:r>
              <w:rPr>
                <w:rFonts w:ascii="宋体" w:hAnsi="宋体" w:cs="宋体"/>
                <w:bCs/>
                <w:snapToGrid w:val="0"/>
                <w:color w:val="000000"/>
                <w:kern w:val="0"/>
                <w:sz w:val="21"/>
                <w:szCs w:val="21"/>
              </w:rPr>
              <w:t>0000</w:t>
            </w:r>
          </w:p>
        </w:tc>
        <w:tc>
          <w:tcPr>
            <w:tcW w:w="886" w:type="dxa"/>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eastAsia="宋体" w:cs="宋体"/>
                <w:b/>
                <w:bCs/>
                <w:snapToGrid w:val="0"/>
                <w:color w:val="000000"/>
                <w:kern w:val="0"/>
                <w:sz w:val="21"/>
                <w:szCs w:val="21"/>
                <w:lang w:eastAsia="zh-CN"/>
              </w:rPr>
            </w:pPr>
            <w:r>
              <w:rPr>
                <w:rFonts w:hint="eastAsia" w:ascii="宋体" w:cs="宋体"/>
                <w:b w:val="0"/>
                <w:bCs w:val="0"/>
                <w:snapToGrid w:val="0"/>
                <w:color w:val="000000"/>
                <w:kern w:val="0"/>
                <w:sz w:val="21"/>
                <w:szCs w:val="21"/>
                <w:lang w:val="en-US" w:eastAsia="zh-CN"/>
              </w:rPr>
              <w:t>16</w:t>
            </w:r>
          </w:p>
        </w:tc>
        <w:tc>
          <w:tcPr>
            <w:tcW w:w="81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ascii="宋体" w:cs="宋体"/>
                <w:snapToGrid w:val="0"/>
                <w:color w:val="000000"/>
                <w:kern w:val="0"/>
                <w:sz w:val="21"/>
                <w:szCs w:val="21"/>
              </w:rPr>
            </w:pPr>
            <w:r>
              <w:rPr>
                <w:rFonts w:hint="eastAsia" w:ascii="宋体" w:hAnsi="宋体" w:cs="宋体"/>
                <w:snapToGrid w:val="0"/>
                <w:color w:val="000000"/>
                <w:kern w:val="0"/>
                <w:sz w:val="21"/>
                <w:szCs w:val="21"/>
              </w:rPr>
              <w:t>预期性</w:t>
            </w:r>
          </w:p>
        </w:tc>
      </w:tr>
    </w:tbl>
    <w:p>
      <w:pPr>
        <w:keepNext w:val="0"/>
        <w:keepLines w:val="0"/>
        <w:pageBreakBefore w:val="0"/>
        <w:kinsoku/>
        <w:wordWrap/>
        <w:overflowPunct/>
        <w:topLinePunct w:val="0"/>
        <w:autoSpaceDE/>
        <w:autoSpaceDN/>
        <w:bidi w:val="0"/>
        <w:adjustRightInd/>
        <w:snapToGrid/>
        <w:spacing w:line="260" w:lineRule="exact"/>
        <w:ind w:left="0" w:leftChars="0" w:right="0" w:rightChars="0" w:firstLine="640" w:firstLineChars="200"/>
        <w:textAlignment w:val="auto"/>
        <w:outlineLvl w:val="9"/>
        <w:rPr>
          <w:rFonts w:eastAsia="仿宋_GB2312" w:cs="仿宋_GB2312"/>
          <w:snapToGrid w:val="0"/>
          <w:color w:val="000000"/>
          <w:kern w:val="0"/>
          <w:sz w:val="32"/>
          <w:szCs w:val="32"/>
        </w:rPr>
      </w:pPr>
    </w:p>
    <w:p>
      <w:pPr>
        <w:spacing w:line="560" w:lineRule="exact"/>
        <w:jc w:val="center"/>
        <w:outlineLvl w:val="0"/>
        <w:rPr>
          <w:rFonts w:hint="eastAsia" w:ascii="方正小标宋简体" w:hAnsi="黑体" w:eastAsia="方正小标宋简体" w:cs="黑体"/>
          <w:color w:val="000000"/>
          <w:sz w:val="36"/>
          <w:szCs w:val="36"/>
        </w:rPr>
      </w:pPr>
      <w:bookmarkStart w:id="10" w:name="_Toc436739615"/>
      <w:bookmarkStart w:id="11" w:name="_Toc32143"/>
    </w:p>
    <w:p>
      <w:pPr>
        <w:spacing w:line="560" w:lineRule="exact"/>
        <w:jc w:val="center"/>
        <w:outlineLvl w:val="0"/>
        <w:rPr>
          <w:rFonts w:hint="eastAsia" w:ascii="方正小标宋简体" w:hAnsi="黑体" w:eastAsia="方正小标宋简体" w:cs="黑体"/>
          <w:color w:val="000000"/>
          <w:sz w:val="36"/>
          <w:szCs w:val="36"/>
        </w:rPr>
      </w:pPr>
      <w:r>
        <w:rPr>
          <w:rFonts w:hint="eastAsia" w:ascii="方正小标宋简体" w:hAnsi="黑体" w:eastAsia="方正小标宋简体" w:cs="黑体"/>
          <w:color w:val="000000"/>
          <w:sz w:val="36"/>
          <w:szCs w:val="36"/>
        </w:rPr>
        <w:t>第二章</w:t>
      </w:r>
      <w:r>
        <w:rPr>
          <w:rFonts w:hint="eastAsia" w:ascii="方正小标宋简体" w:hAnsi="黑体" w:eastAsia="方正小标宋简体" w:cs="黑体"/>
          <w:color w:val="000000"/>
          <w:sz w:val="36"/>
          <w:szCs w:val="36"/>
          <w:lang w:val="en-US" w:eastAsia="zh-CN"/>
        </w:rPr>
        <w:t xml:space="preserve">  </w:t>
      </w:r>
      <w:r>
        <w:rPr>
          <w:rFonts w:hint="eastAsia" w:ascii="方正小标宋简体" w:hAnsi="黑体" w:eastAsia="方正小标宋简体" w:cs="黑体"/>
          <w:color w:val="000000"/>
          <w:sz w:val="36"/>
          <w:szCs w:val="36"/>
        </w:rPr>
        <w:t>协调发展　优化空间开发格局</w:t>
      </w:r>
      <w:bookmarkEnd w:id="10"/>
      <w:bookmarkEnd w:id="11"/>
    </w:p>
    <w:p>
      <w:pPr>
        <w:spacing w:line="560" w:lineRule="exact"/>
        <w:ind w:firstLine="640" w:firstLineChars="200"/>
        <w:rPr>
          <w:rFonts w:hint="eastAsia" w:eastAsia="仿宋_GB2312"/>
          <w:snapToGrid w:val="0"/>
          <w:color w:val="000000"/>
          <w:kern w:val="0"/>
          <w:sz w:val="32"/>
          <w:szCs w:val="32"/>
        </w:rPr>
      </w:pPr>
    </w:p>
    <w:p>
      <w:pPr>
        <w:spacing w:line="560" w:lineRule="exact"/>
        <w:ind w:firstLine="640" w:firstLineChars="200"/>
        <w:rPr>
          <w:rFonts w:hint="eastAsia" w:eastAsia="仿宋_GB2312"/>
          <w:snapToGrid w:val="0"/>
          <w:color w:val="000000"/>
          <w:kern w:val="0"/>
          <w:sz w:val="32"/>
          <w:szCs w:val="32"/>
        </w:rPr>
      </w:pPr>
      <w:r>
        <w:rPr>
          <w:rFonts w:hint="eastAsia" w:eastAsia="仿宋_GB2312"/>
          <w:snapToGrid w:val="0"/>
          <w:color w:val="000000"/>
          <w:kern w:val="0"/>
          <w:sz w:val="32"/>
          <w:szCs w:val="32"/>
        </w:rPr>
        <w:t>按照国家主体功能区定位，坚持“点上开发、面上保护”，综合调控各类空间开发需求，构建主体功能约束有效、多点多极支撑、板块轴带结合、互补互动互惠的发展格局，在协调发展中拓宽发展空间、提升质量效益。</w:t>
      </w:r>
    </w:p>
    <w:p>
      <w:pPr>
        <w:spacing w:line="560" w:lineRule="exact"/>
        <w:ind w:firstLine="640" w:firstLineChars="200"/>
        <w:rPr>
          <w:rFonts w:hint="eastAsia" w:eastAsia="仿宋_GB2312"/>
          <w:snapToGrid w:val="0"/>
          <w:color w:val="000000"/>
          <w:kern w:val="0"/>
          <w:sz w:val="32"/>
          <w:szCs w:val="32"/>
        </w:rPr>
      </w:pPr>
    </w:p>
    <w:p>
      <w:pPr>
        <w:spacing w:line="560" w:lineRule="exact"/>
        <w:jc w:val="center"/>
        <w:outlineLvl w:val="1"/>
        <w:rPr>
          <w:rFonts w:eastAsia="黑体"/>
          <w:bCs/>
          <w:snapToGrid w:val="0"/>
          <w:color w:val="000000"/>
          <w:spacing w:val="6"/>
          <w:kern w:val="0"/>
          <w:sz w:val="32"/>
          <w:szCs w:val="32"/>
        </w:rPr>
      </w:pPr>
      <w:bookmarkStart w:id="12" w:name="_Toc3249"/>
      <w:bookmarkStart w:id="13" w:name="_Toc436739616"/>
      <w:r>
        <w:rPr>
          <w:rFonts w:hint="eastAsia" w:eastAsia="黑体"/>
          <w:bCs/>
          <w:snapToGrid w:val="0"/>
          <w:color w:val="000000"/>
          <w:spacing w:val="6"/>
          <w:kern w:val="0"/>
          <w:sz w:val="32"/>
          <w:szCs w:val="32"/>
        </w:rPr>
        <w:t>第五节</w:t>
      </w:r>
      <w:r>
        <w:rPr>
          <w:rFonts w:hint="eastAsia" w:eastAsia="黑体"/>
          <w:bCs/>
          <w:snapToGrid w:val="0"/>
          <w:color w:val="000000"/>
          <w:spacing w:val="6"/>
          <w:kern w:val="0"/>
          <w:sz w:val="32"/>
          <w:szCs w:val="32"/>
          <w:lang w:val="en-US" w:eastAsia="zh-CN"/>
        </w:rPr>
        <w:t xml:space="preserve">  </w:t>
      </w:r>
      <w:r>
        <w:rPr>
          <w:rFonts w:hint="eastAsia" w:eastAsia="黑体"/>
          <w:bCs/>
          <w:snapToGrid w:val="0"/>
          <w:color w:val="000000"/>
          <w:spacing w:val="6"/>
          <w:kern w:val="0"/>
          <w:sz w:val="32"/>
          <w:szCs w:val="32"/>
        </w:rPr>
        <w:t>推进主体功能区建设试点示范</w:t>
      </w:r>
      <w:bookmarkEnd w:id="12"/>
      <w:bookmarkEnd w:id="13"/>
    </w:p>
    <w:p>
      <w:pPr>
        <w:spacing w:line="560" w:lineRule="exact"/>
        <w:ind w:firstLine="640" w:firstLineChars="200"/>
        <w:rPr>
          <w:rFonts w:eastAsia="仿宋_GB2312"/>
          <w:snapToGrid w:val="0"/>
          <w:color w:val="000000"/>
          <w:kern w:val="0"/>
          <w:sz w:val="32"/>
          <w:szCs w:val="32"/>
        </w:rPr>
      </w:pPr>
      <w:r>
        <w:rPr>
          <w:rFonts w:hint="eastAsia" w:eastAsia="仿宋_GB2312"/>
          <w:snapToGrid w:val="0"/>
          <w:color w:val="000000"/>
          <w:kern w:val="0"/>
          <w:sz w:val="32"/>
          <w:szCs w:val="32"/>
        </w:rPr>
        <w:t>全面落实《安康市国家主体功能区建设试点示范实施方案》，引导重点开发区域、限制开发区域、禁止开发区域科学有序开发，促进生产空间集约高效、生活空间宜居适度、生态空间山清水秀。围绕试点示范主要任务，探索重点生态功能区科学发展的新模式，发挥示范带动效应</w:t>
      </w:r>
      <w:r>
        <w:rPr>
          <w:rFonts w:hint="eastAsia" w:eastAsia="仿宋_GB2312"/>
          <w:snapToGrid w:val="0"/>
          <w:color w:val="000000"/>
          <w:kern w:val="0"/>
          <w:sz w:val="32"/>
          <w:szCs w:val="32"/>
          <w:lang w:eastAsia="zh-CN"/>
        </w:rPr>
        <w:t>，建设国家生态文明综合改革试验区</w:t>
      </w:r>
      <w:r>
        <w:rPr>
          <w:rFonts w:hint="eastAsia" w:eastAsia="仿宋_GB2312"/>
          <w:snapToGrid w:val="0"/>
          <w:color w:val="000000"/>
          <w:kern w:val="0"/>
          <w:sz w:val="32"/>
          <w:szCs w:val="32"/>
        </w:rPr>
        <w:t>。</w:t>
      </w:r>
    </w:p>
    <w:p>
      <w:pPr>
        <w:spacing w:line="560" w:lineRule="exact"/>
        <w:ind w:firstLine="640" w:firstLineChars="200"/>
        <w:rPr>
          <w:rFonts w:eastAsia="仿宋_GB2312"/>
          <w:snapToGrid w:val="0"/>
          <w:color w:val="000000"/>
          <w:kern w:val="0"/>
          <w:sz w:val="32"/>
          <w:szCs w:val="32"/>
        </w:rPr>
      </w:pPr>
      <w:r>
        <w:rPr>
          <w:rFonts w:hint="eastAsia" w:eastAsia="仿宋_GB2312"/>
          <w:snapToGrid w:val="0"/>
          <w:color w:val="000000"/>
          <w:kern w:val="0"/>
          <w:sz w:val="32"/>
          <w:szCs w:val="32"/>
        </w:rPr>
        <w:t>以主体功能区规划为基础，统筹各类空间性规划，科学</w:t>
      </w:r>
      <w:r>
        <w:rPr>
          <w:rFonts w:hint="eastAsia" w:eastAsia="仿宋_GB2312" w:cs="仿宋_GB2312"/>
          <w:snapToGrid w:val="0"/>
          <w:color w:val="000000"/>
          <w:kern w:val="0"/>
          <w:sz w:val="32"/>
          <w:szCs w:val="32"/>
        </w:rPr>
        <w:t>划定生态保护红线、现代农业园区红线、城镇发展边界控制线</w:t>
      </w:r>
      <w:r>
        <w:rPr>
          <w:rFonts w:hint="eastAsia" w:eastAsia="仿宋_GB2312"/>
          <w:snapToGrid w:val="0"/>
          <w:color w:val="000000"/>
          <w:kern w:val="0"/>
          <w:sz w:val="32"/>
          <w:szCs w:val="32"/>
        </w:rPr>
        <w:t>。推进县区经济社会发展、城乡建设、土地利用、生态环境保护“多规融合”，</w:t>
      </w:r>
      <w:r>
        <w:rPr>
          <w:rFonts w:hint="eastAsia" w:eastAsia="仿宋_GB2312"/>
          <w:snapToGrid w:val="0"/>
          <w:color w:val="000000"/>
          <w:kern w:val="0"/>
          <w:sz w:val="32"/>
          <w:szCs w:val="32"/>
          <w:lang w:eastAsia="zh-CN"/>
        </w:rPr>
        <w:t>促进</w:t>
      </w:r>
      <w:r>
        <w:rPr>
          <w:rFonts w:hint="eastAsia" w:eastAsia="仿宋_GB2312"/>
          <w:snapToGrid w:val="0"/>
          <w:color w:val="000000"/>
          <w:kern w:val="0"/>
          <w:sz w:val="32"/>
          <w:szCs w:val="32"/>
        </w:rPr>
        <w:t>安康高新区、恒口示范区、瀛湖生态旅游区和石泉县“多规合一”试点</w:t>
      </w:r>
      <w:r>
        <w:rPr>
          <w:rFonts w:hint="eastAsia" w:eastAsia="仿宋_GB2312" w:cs="仿宋_GB2312"/>
          <w:snapToGrid w:val="0"/>
          <w:color w:val="000000"/>
          <w:kern w:val="0"/>
          <w:sz w:val="32"/>
          <w:szCs w:val="32"/>
        </w:rPr>
        <w:t>。</w:t>
      </w:r>
    </w:p>
    <w:p>
      <w:pPr>
        <w:spacing w:line="560" w:lineRule="exact"/>
        <w:ind w:firstLine="640" w:firstLineChars="200"/>
        <w:rPr>
          <w:rFonts w:eastAsia="仿宋_GB2312"/>
          <w:snapToGrid w:val="0"/>
          <w:color w:val="000000"/>
          <w:kern w:val="0"/>
          <w:sz w:val="32"/>
          <w:szCs w:val="32"/>
        </w:rPr>
      </w:pPr>
      <w:r>
        <w:rPr>
          <w:rFonts w:hint="eastAsia" w:eastAsia="仿宋_GB2312"/>
          <w:snapToGrid w:val="0"/>
          <w:color w:val="000000"/>
          <w:kern w:val="0"/>
          <w:sz w:val="32"/>
          <w:szCs w:val="32"/>
        </w:rPr>
        <w:t>制订有利于主体功能区建设的配套政策，实行分类管理，推行差别化绩效考核评估制度，形成符合主体功能定位的导向机制。制订限制开发区域产业准入负面清单，</w:t>
      </w:r>
      <w:r>
        <w:rPr>
          <w:rFonts w:hint="eastAsia" w:eastAsia="仿宋_GB2312"/>
          <w:snapToGrid w:val="0"/>
          <w:color w:val="000000"/>
          <w:kern w:val="0"/>
          <w:sz w:val="32"/>
          <w:szCs w:val="32"/>
          <w:lang w:eastAsia="zh-CN"/>
        </w:rPr>
        <w:t>进一步提高产业准入门槛</w:t>
      </w:r>
      <w:r>
        <w:rPr>
          <w:rFonts w:hint="eastAsia" w:eastAsia="仿宋_GB2312"/>
          <w:snapToGrid w:val="0"/>
          <w:color w:val="000000"/>
          <w:kern w:val="0"/>
          <w:sz w:val="32"/>
          <w:szCs w:val="32"/>
        </w:rPr>
        <w:t>。建立由空间规划、用途管制、领导干部自然资源资产离任审计、差异化绩效考核等构成的空间治理体系。</w:t>
      </w:r>
    </w:p>
    <w:p>
      <w:pPr>
        <w:spacing w:line="560" w:lineRule="exact"/>
        <w:ind w:firstLine="664" w:firstLineChars="200"/>
        <w:outlineLvl w:val="1"/>
        <w:rPr>
          <w:rFonts w:hint="eastAsia" w:eastAsia="黑体"/>
          <w:bCs/>
          <w:snapToGrid w:val="0"/>
          <w:color w:val="000000"/>
          <w:spacing w:val="6"/>
          <w:kern w:val="0"/>
          <w:sz w:val="32"/>
          <w:szCs w:val="32"/>
        </w:rPr>
      </w:pPr>
      <w:bookmarkStart w:id="14" w:name="_Toc436739617"/>
    </w:p>
    <w:p>
      <w:pPr>
        <w:spacing w:line="560" w:lineRule="exact"/>
        <w:jc w:val="center"/>
        <w:outlineLvl w:val="1"/>
        <w:rPr>
          <w:rFonts w:hint="eastAsia" w:eastAsia="仿宋_GB2312"/>
          <w:b/>
          <w:snapToGrid w:val="0"/>
          <w:color w:val="000000"/>
          <w:kern w:val="0"/>
          <w:sz w:val="32"/>
          <w:szCs w:val="32"/>
        </w:rPr>
      </w:pPr>
      <w:bookmarkStart w:id="15" w:name="_Toc23342"/>
      <w:r>
        <w:rPr>
          <w:rFonts w:hint="eastAsia" w:eastAsia="黑体"/>
          <w:bCs/>
          <w:snapToGrid w:val="0"/>
          <w:color w:val="000000"/>
          <w:spacing w:val="6"/>
          <w:kern w:val="0"/>
          <w:sz w:val="32"/>
          <w:szCs w:val="32"/>
        </w:rPr>
        <w:t>第六节</w:t>
      </w:r>
      <w:r>
        <w:rPr>
          <w:rFonts w:hint="eastAsia" w:eastAsia="黑体"/>
          <w:bCs/>
          <w:snapToGrid w:val="0"/>
          <w:color w:val="000000"/>
          <w:spacing w:val="6"/>
          <w:kern w:val="0"/>
          <w:sz w:val="32"/>
          <w:szCs w:val="32"/>
          <w:lang w:val="en-US" w:eastAsia="zh-CN"/>
        </w:rPr>
        <w:t xml:space="preserve">  </w:t>
      </w:r>
      <w:r>
        <w:rPr>
          <w:rFonts w:hint="eastAsia" w:eastAsia="黑体"/>
          <w:bCs/>
          <w:snapToGrid w:val="0"/>
          <w:color w:val="000000"/>
          <w:spacing w:val="6"/>
          <w:kern w:val="0"/>
          <w:sz w:val="32"/>
          <w:szCs w:val="32"/>
        </w:rPr>
        <w:t>加快安康国家高新区建设</w:t>
      </w:r>
      <w:bookmarkEnd w:id="15"/>
    </w:p>
    <w:p>
      <w:pPr>
        <w:spacing w:line="560" w:lineRule="exact"/>
        <w:ind w:firstLine="640" w:firstLineChars="200"/>
        <w:rPr>
          <w:rFonts w:eastAsia="仿宋_GB2312"/>
          <w:snapToGrid w:val="0"/>
          <w:color w:val="000000"/>
          <w:kern w:val="0"/>
          <w:sz w:val="32"/>
          <w:szCs w:val="32"/>
        </w:rPr>
      </w:pPr>
      <w:r>
        <w:rPr>
          <w:rFonts w:hint="eastAsia" w:eastAsia="仿宋_GB2312"/>
          <w:snapToGrid w:val="0"/>
          <w:color w:val="000000"/>
          <w:kern w:val="0"/>
          <w:sz w:val="32"/>
          <w:szCs w:val="32"/>
        </w:rPr>
        <w:t>抢抓秦巴山区唯一国家高新区建设重大机遇，科学确定功能定位，坚持规划引领、生态为本、创新驱动、产业支撑和循环发展，扶贫开发与科技创新相结合，合理布局“五大园区”，着力打造“七大聚集区”，加快形成“十大功能圈”，扎实推进现代化城市新区、高新产业聚集区、创新创业示范区“三区共建”，打造科技支撑、创新驱动的国家高新技术产业开发区、全国具备后发潜力的产城融合新区</w:t>
      </w:r>
      <w:r>
        <w:rPr>
          <w:rFonts w:hint="eastAsia" w:eastAsia="仿宋_GB2312"/>
          <w:snapToGrid w:val="0"/>
          <w:color w:val="000000"/>
          <w:kern w:val="0"/>
          <w:sz w:val="32"/>
          <w:szCs w:val="32"/>
          <w:lang w:eastAsia="zh-CN"/>
        </w:rPr>
        <w:t>，</w:t>
      </w:r>
      <w:r>
        <w:rPr>
          <w:rFonts w:hint="eastAsia" w:eastAsia="仿宋_GB2312"/>
          <w:snapToGrid w:val="0"/>
          <w:color w:val="000000"/>
          <w:kern w:val="0"/>
          <w:sz w:val="32"/>
          <w:szCs w:val="32"/>
        </w:rPr>
        <w:t>充分发挥在秦巴区域的示范引领作用</w:t>
      </w:r>
      <w:r>
        <w:rPr>
          <w:rFonts w:hint="eastAsia" w:ascii="仿宋_GB2312" w:eastAsia="仿宋_GB2312"/>
          <w:snapToGrid w:val="0"/>
          <w:color w:val="000000"/>
          <w:kern w:val="0"/>
          <w:sz w:val="32"/>
          <w:szCs w:val="32"/>
        </w:rPr>
        <w:t>。到2020年，实现生产总值150亿元，占全市比重达到10%。</w:t>
      </w:r>
    </w:p>
    <w:p>
      <w:pPr>
        <w:spacing w:line="560" w:lineRule="exact"/>
        <w:jc w:val="center"/>
        <w:outlineLvl w:val="1"/>
        <w:rPr>
          <w:rFonts w:hint="eastAsia" w:eastAsia="黑体"/>
          <w:bCs/>
          <w:snapToGrid w:val="0"/>
          <w:color w:val="000000"/>
          <w:spacing w:val="6"/>
          <w:kern w:val="0"/>
          <w:sz w:val="32"/>
          <w:szCs w:val="32"/>
        </w:rPr>
      </w:pPr>
      <w:bookmarkStart w:id="16" w:name="_Toc23805"/>
    </w:p>
    <w:p>
      <w:pPr>
        <w:spacing w:line="560" w:lineRule="exact"/>
        <w:jc w:val="center"/>
        <w:outlineLvl w:val="1"/>
        <w:rPr>
          <w:rFonts w:hint="eastAsia" w:eastAsia="仿宋_GB2312"/>
          <w:snapToGrid w:val="0"/>
          <w:color w:val="000000"/>
          <w:spacing w:val="0"/>
          <w:kern w:val="0"/>
          <w:sz w:val="32"/>
          <w:szCs w:val="32"/>
        </w:rPr>
      </w:pPr>
      <w:r>
        <w:rPr>
          <w:rFonts w:hint="eastAsia" w:eastAsia="黑体"/>
          <w:bCs/>
          <w:snapToGrid w:val="0"/>
          <w:color w:val="000000"/>
          <w:spacing w:val="0"/>
          <w:kern w:val="0"/>
          <w:sz w:val="32"/>
          <w:szCs w:val="32"/>
        </w:rPr>
        <w:t>第七节</w:t>
      </w:r>
      <w:r>
        <w:rPr>
          <w:rFonts w:hint="eastAsia" w:eastAsia="黑体"/>
          <w:bCs/>
          <w:snapToGrid w:val="0"/>
          <w:color w:val="000000"/>
          <w:spacing w:val="0"/>
          <w:kern w:val="0"/>
          <w:sz w:val="32"/>
          <w:szCs w:val="32"/>
          <w:lang w:val="en-US" w:eastAsia="zh-CN"/>
        </w:rPr>
        <w:t xml:space="preserve">  </w:t>
      </w:r>
      <w:bookmarkEnd w:id="16"/>
      <w:r>
        <w:rPr>
          <w:rFonts w:hint="eastAsia" w:eastAsia="黑体"/>
          <w:bCs/>
          <w:snapToGrid w:val="0"/>
          <w:color w:val="000000"/>
          <w:spacing w:val="0"/>
          <w:kern w:val="0"/>
          <w:sz w:val="32"/>
          <w:szCs w:val="32"/>
        </w:rPr>
        <w:t>强化重点板块辐射</w:t>
      </w:r>
      <w:r>
        <w:rPr>
          <w:rFonts w:hint="eastAsia" w:eastAsia="黑体"/>
          <w:bCs/>
          <w:snapToGrid w:val="0"/>
          <w:color w:val="000000"/>
          <w:spacing w:val="0"/>
          <w:kern w:val="0"/>
          <w:sz w:val="32"/>
          <w:szCs w:val="32"/>
          <w:lang w:eastAsia="zh-CN"/>
        </w:rPr>
        <w:t>带动</w:t>
      </w:r>
    </w:p>
    <w:p>
      <w:pPr>
        <w:spacing w:line="560" w:lineRule="exact"/>
        <w:ind w:firstLine="640" w:firstLineChars="200"/>
        <w:rPr>
          <w:rFonts w:eastAsia="仿宋_GB2312"/>
          <w:snapToGrid w:val="0"/>
          <w:color w:val="000000"/>
          <w:kern w:val="0"/>
          <w:sz w:val="32"/>
          <w:szCs w:val="32"/>
        </w:rPr>
      </w:pPr>
      <w:r>
        <w:rPr>
          <w:rFonts w:hint="eastAsia" w:eastAsia="仿宋_GB2312"/>
          <w:snapToGrid w:val="0"/>
          <w:color w:val="000000"/>
          <w:kern w:val="0"/>
          <w:sz w:val="32"/>
          <w:szCs w:val="32"/>
        </w:rPr>
        <w:t>释放园区活力，推进点轴开发，加快“三区两园两带”和“飞地经济”园区建设，充分发挥园区经济的动力引擎作用，培育区域经济</w:t>
      </w:r>
      <w:r>
        <w:rPr>
          <w:rFonts w:hint="eastAsia" w:eastAsia="仿宋_GB2312"/>
          <w:snapToGrid w:val="0"/>
          <w:color w:val="000000"/>
          <w:kern w:val="0"/>
          <w:sz w:val="32"/>
          <w:szCs w:val="32"/>
          <w:lang w:eastAsia="zh-CN"/>
        </w:rPr>
        <w:t>新</w:t>
      </w:r>
      <w:r>
        <w:rPr>
          <w:rFonts w:hint="eastAsia" w:eastAsia="仿宋_GB2312"/>
          <w:snapToGrid w:val="0"/>
          <w:color w:val="000000"/>
          <w:kern w:val="0"/>
          <w:sz w:val="32"/>
          <w:szCs w:val="32"/>
        </w:rPr>
        <w:t>的增长极、发展带。</w:t>
      </w:r>
    </w:p>
    <w:p>
      <w:pPr>
        <w:spacing w:line="560" w:lineRule="exact"/>
        <w:ind w:firstLine="643" w:firstLineChars="200"/>
        <w:rPr>
          <w:rFonts w:eastAsia="仿宋_GB2312"/>
          <w:snapToGrid w:val="0"/>
          <w:color w:val="000000"/>
          <w:kern w:val="0"/>
          <w:sz w:val="32"/>
          <w:szCs w:val="32"/>
        </w:rPr>
      </w:pPr>
      <w:r>
        <w:rPr>
          <w:rFonts w:hint="eastAsia" w:eastAsia="仿宋_GB2312"/>
          <w:b/>
          <w:snapToGrid w:val="0"/>
          <w:color w:val="000000"/>
          <w:kern w:val="0"/>
          <w:sz w:val="32"/>
          <w:szCs w:val="32"/>
        </w:rPr>
        <w:t>恒口示范区：</w:t>
      </w:r>
      <w:r>
        <w:rPr>
          <w:rFonts w:hint="eastAsia" w:eastAsia="仿宋_GB2312"/>
          <w:snapToGrid w:val="0"/>
          <w:color w:val="000000"/>
          <w:kern w:val="0"/>
          <w:sz w:val="32"/>
          <w:szCs w:val="32"/>
        </w:rPr>
        <w:t>围绕“文化名镇•富硒新城”，着力构建城乡一体的田园城镇、循环产业的配套城镇、文化旅游的知名城镇、开放包容的新兴城镇，凸显月河川道城镇带的重要支点作用</w:t>
      </w:r>
      <w:r>
        <w:rPr>
          <w:rFonts w:hint="eastAsia" w:eastAsia="仿宋_GB2312"/>
          <w:snapToGrid w:val="0"/>
          <w:color w:val="000000"/>
          <w:kern w:val="0"/>
          <w:sz w:val="32"/>
          <w:szCs w:val="32"/>
          <w:lang w:eastAsia="zh-CN"/>
        </w:rPr>
        <w:t>。</w:t>
      </w:r>
      <w:r>
        <w:rPr>
          <w:rFonts w:hint="eastAsia" w:eastAsia="仿宋_GB2312"/>
          <w:snapToGrid w:val="0"/>
          <w:color w:val="000000"/>
          <w:kern w:val="0"/>
          <w:sz w:val="32"/>
          <w:szCs w:val="32"/>
        </w:rPr>
        <w:t>抓好城市新区、移民社区和产业园区建设，加快省级小城市培育、新型城镇化试点和重点示范镇建设，打造秦巴山区带动作用强、统筹水平高、体制机制活的</w:t>
      </w:r>
      <w:r>
        <w:rPr>
          <w:rFonts w:hint="eastAsia" w:eastAsia="仿宋_GB2312"/>
          <w:bCs/>
          <w:snapToGrid w:val="0"/>
          <w:color w:val="000000"/>
          <w:kern w:val="0"/>
          <w:sz w:val="32"/>
          <w:szCs w:val="32"/>
        </w:rPr>
        <w:t>镇级小城市综合改革试验区和</w:t>
      </w:r>
      <w:r>
        <w:rPr>
          <w:rFonts w:hint="eastAsia" w:eastAsia="仿宋_GB2312"/>
          <w:snapToGrid w:val="0"/>
          <w:color w:val="000000"/>
          <w:kern w:val="0"/>
          <w:sz w:val="32"/>
          <w:szCs w:val="32"/>
        </w:rPr>
        <w:t>城乡一体化发展示范区。</w:t>
      </w:r>
    </w:p>
    <w:p>
      <w:pPr>
        <w:spacing w:line="560" w:lineRule="exact"/>
        <w:ind w:firstLine="643" w:firstLineChars="200"/>
        <w:rPr>
          <w:rFonts w:hint="eastAsia" w:eastAsia="仿宋_GB2312"/>
          <w:snapToGrid w:val="0"/>
          <w:color w:val="000000"/>
          <w:kern w:val="0"/>
          <w:sz w:val="32"/>
          <w:szCs w:val="32"/>
        </w:rPr>
      </w:pPr>
      <w:r>
        <w:rPr>
          <w:rFonts w:hint="eastAsia" w:eastAsia="仿宋_GB2312"/>
          <w:b/>
          <w:snapToGrid w:val="0"/>
          <w:color w:val="000000"/>
          <w:kern w:val="0"/>
          <w:sz w:val="32"/>
          <w:szCs w:val="32"/>
        </w:rPr>
        <w:t>瀛湖生态旅游区：</w:t>
      </w:r>
      <w:r>
        <w:rPr>
          <w:rFonts w:hint="eastAsia" w:eastAsia="仿宋_GB2312"/>
          <w:snapToGrid w:val="0"/>
          <w:color w:val="000000"/>
          <w:kern w:val="0"/>
          <w:sz w:val="32"/>
          <w:szCs w:val="32"/>
        </w:rPr>
        <w:t>围绕“湖城一体”战略布局和“国家级生态涵养旅游示范区”建设目标，提升基础设施保障和配套服务能力，着力构建大旅游产业链，打造具有较强影响力的旅游文化产业基地，创建国家</w:t>
      </w:r>
      <w:r>
        <w:rPr>
          <w:rFonts w:hint="eastAsia" w:ascii="仿宋_GB2312" w:hAnsi="仿宋_GB2312" w:eastAsia="仿宋_GB2312" w:cs="仿宋_GB2312"/>
          <w:snapToGrid w:val="0"/>
          <w:color w:val="000000"/>
          <w:kern w:val="0"/>
          <w:sz w:val="32"/>
          <w:szCs w:val="32"/>
        </w:rPr>
        <w:t>5A</w:t>
      </w:r>
      <w:r>
        <w:rPr>
          <w:rFonts w:hint="eastAsia" w:eastAsia="仿宋_GB2312"/>
          <w:snapToGrid w:val="0"/>
          <w:color w:val="000000"/>
          <w:kern w:val="0"/>
          <w:sz w:val="32"/>
          <w:szCs w:val="32"/>
        </w:rPr>
        <w:t>级旅游景区，形成全市生态旅游产业发展的龙头</w:t>
      </w:r>
      <w:r>
        <w:rPr>
          <w:rFonts w:hint="eastAsia" w:eastAsia="仿宋_GB2312"/>
          <w:snapToGrid w:val="0"/>
          <w:color w:val="000000"/>
          <w:kern w:val="0"/>
          <w:sz w:val="32"/>
          <w:szCs w:val="32"/>
          <w:lang w:eastAsia="zh-CN"/>
        </w:rPr>
        <w:t>和</w:t>
      </w:r>
      <w:r>
        <w:rPr>
          <w:rFonts w:hint="eastAsia" w:eastAsia="仿宋_GB2312"/>
          <w:snapToGrid w:val="0"/>
          <w:color w:val="000000"/>
          <w:kern w:val="0"/>
          <w:sz w:val="32"/>
          <w:szCs w:val="32"/>
        </w:rPr>
        <w:t>生态文明的窗口。</w:t>
      </w:r>
    </w:p>
    <w:p>
      <w:pPr>
        <w:spacing w:line="560" w:lineRule="exact"/>
        <w:ind w:firstLine="643" w:firstLineChars="200"/>
        <w:rPr>
          <w:rFonts w:hint="eastAsia" w:eastAsia="仿宋_GB2312"/>
          <w:snapToGrid w:val="0"/>
          <w:color w:val="000000"/>
          <w:kern w:val="0"/>
          <w:sz w:val="32"/>
          <w:szCs w:val="32"/>
        </w:rPr>
      </w:pPr>
      <w:r>
        <w:rPr>
          <w:rFonts w:hint="eastAsia" w:eastAsia="仿宋_GB2312"/>
          <w:b/>
          <w:snapToGrid w:val="0"/>
          <w:color w:val="000000"/>
          <w:kern w:val="0"/>
          <w:sz w:val="32"/>
          <w:szCs w:val="32"/>
        </w:rPr>
        <w:t>县域工业集中区：</w:t>
      </w:r>
      <w:r>
        <w:rPr>
          <w:rFonts w:hint="eastAsia" w:eastAsia="仿宋_GB2312"/>
          <w:bCs/>
          <w:snapToGrid w:val="0"/>
          <w:color w:val="000000"/>
          <w:kern w:val="0"/>
          <w:sz w:val="32"/>
          <w:szCs w:val="32"/>
        </w:rPr>
        <w:t>以全产业链引进培育为目标，</w:t>
      </w:r>
      <w:r>
        <w:rPr>
          <w:rFonts w:hint="eastAsia" w:eastAsia="仿宋_GB2312"/>
          <w:snapToGrid w:val="0"/>
          <w:color w:val="000000"/>
          <w:kern w:val="0"/>
          <w:sz w:val="32"/>
          <w:szCs w:val="32"/>
        </w:rPr>
        <w:t>推动工业集中区发展由粗放型向集约型转变，由初级产品加工向精深加工、产业链中高端延伸，全面提升质量效益，增强承载带动功能，创建一批省级高新技术产业开发区（经济技术开发区）。</w:t>
      </w:r>
    </w:p>
    <w:p>
      <w:pPr>
        <w:spacing w:line="560" w:lineRule="exact"/>
        <w:ind w:firstLine="643" w:firstLineChars="200"/>
        <w:rPr>
          <w:rFonts w:hint="eastAsia" w:eastAsia="仿宋_GB2312"/>
          <w:snapToGrid w:val="0"/>
          <w:color w:val="000000"/>
          <w:kern w:val="0"/>
          <w:sz w:val="32"/>
          <w:szCs w:val="32"/>
        </w:rPr>
      </w:pPr>
      <w:r>
        <w:rPr>
          <w:rFonts w:hint="eastAsia" w:eastAsia="仿宋_GB2312"/>
          <w:b/>
          <w:snapToGrid w:val="0"/>
          <w:color w:val="000000"/>
          <w:kern w:val="0"/>
          <w:sz w:val="32"/>
          <w:szCs w:val="32"/>
        </w:rPr>
        <w:t>现代农业园区：</w:t>
      </w:r>
      <w:r>
        <w:rPr>
          <w:rFonts w:hint="eastAsia" w:eastAsia="仿宋_GB2312"/>
          <w:bCs/>
          <w:snapToGrid w:val="0"/>
          <w:color w:val="000000"/>
          <w:kern w:val="0"/>
          <w:sz w:val="32"/>
          <w:szCs w:val="32"/>
        </w:rPr>
        <w:t>围绕基础配套、产业培育、品牌打造和提质增效，以设施农业发展为重点，</w:t>
      </w:r>
      <w:r>
        <w:rPr>
          <w:rFonts w:hint="eastAsia" w:eastAsia="仿宋_GB2312"/>
          <w:snapToGrid w:val="0"/>
          <w:color w:val="000000"/>
          <w:kern w:val="0"/>
          <w:sz w:val="32"/>
          <w:szCs w:val="32"/>
        </w:rPr>
        <w:t>做优“一园一业”，发挥龙头企业带动作用，提高园区集约化、标准化、组织化、产业化水平。</w:t>
      </w:r>
    </w:p>
    <w:p>
      <w:pPr>
        <w:spacing w:line="560" w:lineRule="exact"/>
        <w:ind w:firstLine="643" w:firstLineChars="200"/>
        <w:rPr>
          <w:rFonts w:eastAsia="仿宋_GB2312"/>
          <w:snapToGrid w:val="0"/>
          <w:color w:val="000000"/>
          <w:kern w:val="0"/>
          <w:sz w:val="32"/>
          <w:szCs w:val="32"/>
        </w:rPr>
      </w:pPr>
      <w:r>
        <w:rPr>
          <w:rFonts w:hint="eastAsia" w:eastAsia="仿宋_GB2312"/>
          <w:b/>
          <w:snapToGrid w:val="0"/>
          <w:color w:val="000000"/>
          <w:kern w:val="0"/>
          <w:sz w:val="32"/>
          <w:szCs w:val="32"/>
        </w:rPr>
        <w:t>“飞地经济”园区：</w:t>
      </w:r>
      <w:r>
        <w:rPr>
          <w:rFonts w:hint="eastAsia" w:eastAsia="仿宋_GB2312"/>
          <w:snapToGrid w:val="0"/>
          <w:color w:val="000000"/>
          <w:kern w:val="0"/>
          <w:sz w:val="32"/>
          <w:szCs w:val="32"/>
        </w:rPr>
        <w:t>创新</w:t>
      </w:r>
      <w:r>
        <w:rPr>
          <w:rFonts w:hint="eastAsia" w:eastAsia="仿宋_GB2312"/>
          <w:bCs/>
          <w:snapToGrid w:val="0"/>
          <w:color w:val="000000"/>
          <w:kern w:val="0"/>
          <w:sz w:val="32"/>
          <w:szCs w:val="32"/>
        </w:rPr>
        <w:t>安康高新区、恒口示范区“飞地园区”</w:t>
      </w:r>
      <w:r>
        <w:rPr>
          <w:rFonts w:hint="eastAsia" w:eastAsia="仿宋_GB2312"/>
          <w:snapToGrid w:val="0"/>
          <w:color w:val="000000"/>
          <w:kern w:val="0"/>
          <w:sz w:val="32"/>
          <w:szCs w:val="32"/>
        </w:rPr>
        <w:t>合作方式和管理模式，</w:t>
      </w:r>
      <w:r>
        <w:rPr>
          <w:rFonts w:hint="eastAsia" w:ascii="仿宋_GB2312" w:hAnsi="宋体" w:eastAsia="仿宋_GB2312" w:cs="宋体"/>
          <w:sz w:val="32"/>
          <w:szCs w:val="32"/>
        </w:rPr>
        <w:t>通过合作共建、净地托管、第三方托管等方式，</w:t>
      </w:r>
      <w:r>
        <w:rPr>
          <w:rFonts w:hint="eastAsia" w:eastAsia="仿宋_GB2312"/>
          <w:snapToGrid w:val="0"/>
          <w:color w:val="000000"/>
          <w:kern w:val="0"/>
          <w:sz w:val="32"/>
          <w:szCs w:val="32"/>
        </w:rPr>
        <w:t>积极探索“飞入地”和“飞出地”区域协作与利益共享机制，破解融资难题，加快项目落地，推动形成“种养基地在县区、加工生产在飞地、销售市场在全域”的发展模式，打造全国重点生态功能区“飞地经济”发展样板。</w:t>
      </w:r>
    </w:p>
    <w:p>
      <w:pPr>
        <w:spacing w:line="560" w:lineRule="exact"/>
        <w:ind w:firstLine="643" w:firstLineChars="200"/>
        <w:rPr>
          <w:rFonts w:hint="eastAsia" w:eastAsia="仿宋_GB2312"/>
          <w:snapToGrid w:val="0"/>
          <w:color w:val="000000"/>
          <w:kern w:val="0"/>
          <w:sz w:val="32"/>
          <w:szCs w:val="32"/>
        </w:rPr>
      </w:pPr>
      <w:r>
        <w:rPr>
          <w:rFonts w:hint="eastAsia" w:eastAsia="仿宋_GB2312"/>
          <w:b/>
          <w:snapToGrid w:val="0"/>
          <w:color w:val="000000"/>
          <w:kern w:val="0"/>
          <w:sz w:val="32"/>
          <w:szCs w:val="32"/>
        </w:rPr>
        <w:t>月河川道循环经济聚集带：</w:t>
      </w:r>
      <w:r>
        <w:rPr>
          <w:rFonts w:hint="eastAsia" w:eastAsia="仿宋_GB2312"/>
          <w:snapToGrid w:val="0"/>
          <w:color w:val="000000"/>
          <w:kern w:val="0"/>
          <w:sz w:val="32"/>
          <w:szCs w:val="32"/>
        </w:rPr>
        <w:t>按照产城融合、城乡统筹、示范带动的总体要求，加快培育主导产业，提升县域工业集中区和现代农业园区综合承载能力，形成一体化发展格局，构建“两园协调、飞地助推”的陕南循环经济产业核心聚集区。</w:t>
      </w:r>
    </w:p>
    <w:p>
      <w:pPr>
        <w:spacing w:line="560" w:lineRule="exact"/>
        <w:ind w:firstLine="643" w:firstLineChars="200"/>
        <w:rPr>
          <w:rFonts w:eastAsia="仿宋_GB2312"/>
          <w:snapToGrid w:val="0"/>
          <w:color w:val="000000"/>
          <w:kern w:val="0"/>
          <w:sz w:val="32"/>
          <w:szCs w:val="32"/>
        </w:rPr>
      </w:pPr>
      <w:r>
        <w:rPr>
          <w:rFonts w:hint="eastAsia" w:eastAsia="仿宋_GB2312"/>
          <w:b/>
          <w:snapToGrid w:val="0"/>
          <w:color w:val="000000"/>
          <w:kern w:val="0"/>
          <w:sz w:val="32"/>
          <w:szCs w:val="32"/>
        </w:rPr>
        <w:t>石紫岚沿江沿线生态经济带：</w:t>
      </w:r>
      <w:r>
        <w:rPr>
          <w:rFonts w:hint="eastAsia" w:eastAsia="仿宋_GB2312"/>
          <w:snapToGrid w:val="0"/>
          <w:color w:val="000000"/>
          <w:kern w:val="0"/>
          <w:sz w:val="32"/>
          <w:szCs w:val="32"/>
        </w:rPr>
        <w:t>以国道</w:t>
      </w:r>
      <w:r>
        <w:rPr>
          <w:rFonts w:ascii="仿宋_GB2312" w:hAnsi="仿宋_GB2312" w:eastAsia="仿宋_GB2312" w:cs="仿宋_GB2312"/>
          <w:snapToGrid w:val="0"/>
          <w:color w:val="000000"/>
          <w:kern w:val="0"/>
          <w:sz w:val="32"/>
          <w:szCs w:val="32"/>
        </w:rPr>
        <w:t>541</w:t>
      </w:r>
      <w:r>
        <w:rPr>
          <w:rFonts w:hint="eastAsia" w:ascii="仿宋_GB2312" w:hAnsi="仿宋_GB2312" w:eastAsia="仿宋_GB2312" w:cs="仿宋_GB2312"/>
          <w:snapToGrid w:val="0"/>
          <w:color w:val="000000"/>
          <w:kern w:val="0"/>
          <w:sz w:val="32"/>
          <w:szCs w:val="32"/>
        </w:rPr>
        <w:t>建</w:t>
      </w:r>
      <w:r>
        <w:rPr>
          <w:rFonts w:hint="eastAsia" w:eastAsia="仿宋_GB2312"/>
          <w:snapToGrid w:val="0"/>
          <w:color w:val="000000"/>
          <w:kern w:val="0"/>
          <w:sz w:val="32"/>
          <w:szCs w:val="32"/>
        </w:rPr>
        <w:t>设为契机，以石泉、紫阳和岚皋县城及沿线重点镇为依托，以建设绿色产业基地为重点，构建“一轴三核七支点”的开发格局，加快融入汉江生态经济带乃至长江经济带。</w:t>
      </w:r>
    </w:p>
    <w:p>
      <w:pPr>
        <w:spacing w:line="560" w:lineRule="exact"/>
        <w:jc w:val="center"/>
        <w:outlineLvl w:val="1"/>
        <w:rPr>
          <w:rFonts w:hint="eastAsia" w:eastAsia="仿宋_GB2312"/>
          <w:snapToGrid w:val="0"/>
          <w:color w:val="000000"/>
          <w:kern w:val="0"/>
          <w:sz w:val="32"/>
          <w:szCs w:val="32"/>
        </w:rPr>
      </w:pPr>
      <w:bookmarkStart w:id="17" w:name="_Toc11501"/>
    </w:p>
    <w:p>
      <w:pPr>
        <w:spacing w:line="560" w:lineRule="exact"/>
        <w:jc w:val="center"/>
        <w:outlineLvl w:val="1"/>
        <w:rPr>
          <w:rFonts w:eastAsia="黑体"/>
          <w:bCs/>
          <w:snapToGrid w:val="0"/>
          <w:color w:val="000000"/>
          <w:spacing w:val="6"/>
          <w:kern w:val="0"/>
          <w:sz w:val="32"/>
          <w:szCs w:val="32"/>
        </w:rPr>
      </w:pPr>
      <w:r>
        <w:rPr>
          <w:rFonts w:hint="eastAsia" w:eastAsia="黑体"/>
          <w:bCs/>
          <w:snapToGrid w:val="0"/>
          <w:color w:val="000000"/>
          <w:spacing w:val="6"/>
          <w:kern w:val="0"/>
          <w:sz w:val="32"/>
          <w:szCs w:val="32"/>
        </w:rPr>
        <w:t>第八节</w:t>
      </w:r>
      <w:r>
        <w:rPr>
          <w:rFonts w:hint="eastAsia" w:eastAsia="黑体"/>
          <w:bCs/>
          <w:snapToGrid w:val="0"/>
          <w:color w:val="000000"/>
          <w:spacing w:val="6"/>
          <w:kern w:val="0"/>
          <w:sz w:val="32"/>
          <w:szCs w:val="32"/>
          <w:lang w:val="en-US" w:eastAsia="zh-CN"/>
        </w:rPr>
        <w:t xml:space="preserve">  </w:t>
      </w:r>
      <w:r>
        <w:rPr>
          <w:rFonts w:hint="eastAsia" w:eastAsia="黑体"/>
          <w:bCs/>
          <w:snapToGrid w:val="0"/>
          <w:color w:val="000000"/>
          <w:spacing w:val="6"/>
          <w:kern w:val="0"/>
          <w:sz w:val="32"/>
          <w:szCs w:val="32"/>
        </w:rPr>
        <w:t>促进县域经济协调发展</w:t>
      </w:r>
      <w:bookmarkEnd w:id="17"/>
    </w:p>
    <w:bookmarkEnd w:id="14"/>
    <w:p>
      <w:pPr>
        <w:spacing w:line="560" w:lineRule="exact"/>
        <w:ind w:firstLine="640" w:firstLineChars="200"/>
        <w:rPr>
          <w:rFonts w:eastAsia="仿宋_GB2312"/>
          <w:snapToGrid w:val="0"/>
          <w:color w:val="000000"/>
          <w:kern w:val="0"/>
          <w:sz w:val="32"/>
          <w:szCs w:val="32"/>
        </w:rPr>
      </w:pPr>
      <w:r>
        <w:rPr>
          <w:rFonts w:hint="eastAsia" w:eastAsia="仿宋_GB2312"/>
          <w:snapToGrid w:val="0"/>
          <w:color w:val="000000"/>
          <w:kern w:val="0"/>
          <w:sz w:val="32"/>
          <w:szCs w:val="32"/>
        </w:rPr>
        <w:t>因地制宜、精准施策</w:t>
      </w:r>
      <w:r>
        <w:rPr>
          <w:rFonts w:hint="eastAsia" w:eastAsia="仿宋_GB2312"/>
          <w:snapToGrid w:val="0"/>
          <w:color w:val="000000"/>
          <w:kern w:val="0"/>
          <w:sz w:val="32"/>
          <w:szCs w:val="32"/>
          <w:lang w:eastAsia="zh-CN"/>
        </w:rPr>
        <w:t>，实行差别化的县域经济发展支持政策，</w:t>
      </w:r>
      <w:r>
        <w:rPr>
          <w:rFonts w:hint="eastAsia" w:eastAsia="仿宋_GB2312"/>
          <w:snapToGrid w:val="0"/>
          <w:color w:val="000000"/>
          <w:kern w:val="0"/>
          <w:sz w:val="32"/>
          <w:szCs w:val="32"/>
        </w:rPr>
        <w:t>围绕经济社会发展的重点领域、重大任务和关键问题，着力推动机制创新</w:t>
      </w:r>
      <w:r>
        <w:rPr>
          <w:rFonts w:hint="eastAsia" w:eastAsia="仿宋_GB2312"/>
          <w:snapToGrid w:val="0"/>
          <w:color w:val="000000"/>
          <w:kern w:val="0"/>
          <w:sz w:val="32"/>
          <w:szCs w:val="32"/>
          <w:lang w:eastAsia="zh-CN"/>
        </w:rPr>
        <w:t>，促进</w:t>
      </w:r>
      <w:r>
        <w:rPr>
          <w:rFonts w:hint="eastAsia" w:eastAsia="仿宋_GB2312"/>
          <w:snapToGrid w:val="0"/>
          <w:color w:val="000000"/>
          <w:kern w:val="0"/>
          <w:sz w:val="32"/>
          <w:szCs w:val="32"/>
        </w:rPr>
        <w:t>县区争先进位、错位发展、协调互动。</w:t>
      </w:r>
    </w:p>
    <w:p>
      <w:pPr>
        <w:spacing w:line="560" w:lineRule="exact"/>
        <w:ind w:firstLine="643" w:firstLineChars="200"/>
        <w:rPr>
          <w:rFonts w:hint="eastAsia" w:eastAsia="仿宋_GB2312"/>
          <w:snapToGrid w:val="0"/>
          <w:color w:val="000000"/>
          <w:kern w:val="0"/>
          <w:sz w:val="32"/>
          <w:szCs w:val="32"/>
        </w:rPr>
      </w:pPr>
      <w:r>
        <w:rPr>
          <w:rFonts w:hint="eastAsia" w:eastAsia="仿宋_GB2312"/>
          <w:b/>
          <w:snapToGrid w:val="0"/>
          <w:color w:val="000000"/>
          <w:kern w:val="0"/>
          <w:sz w:val="32"/>
          <w:szCs w:val="32"/>
        </w:rPr>
        <w:t>汉滨区：</w:t>
      </w:r>
      <w:r>
        <w:rPr>
          <w:rFonts w:hint="eastAsia" w:eastAsia="仿宋_GB2312"/>
          <w:snapToGrid w:val="0"/>
          <w:color w:val="000000"/>
          <w:kern w:val="0"/>
          <w:sz w:val="32"/>
          <w:szCs w:val="32"/>
        </w:rPr>
        <w:t>以中心城区和月河川道为重点，坚持市区共建、发挥优势、重点推进，在循环产业、对外开放、城镇建设、现代服务业和社会治理等方面发挥龙头引领带动作用。五里工业集中区建成省级经济技术开发区。到</w:t>
      </w:r>
      <w:r>
        <w:rPr>
          <w:rFonts w:hint="eastAsia" w:ascii="仿宋_GB2312" w:hAnsi="仿宋_GB2312" w:eastAsia="仿宋_GB2312" w:cs="仿宋_GB2312"/>
          <w:snapToGrid w:val="0"/>
          <w:color w:val="000000"/>
          <w:kern w:val="0"/>
          <w:sz w:val="32"/>
          <w:szCs w:val="32"/>
        </w:rPr>
        <w:t>2020年，</w:t>
      </w:r>
      <w:r>
        <w:rPr>
          <w:rFonts w:hint="eastAsia" w:eastAsia="仿宋_GB2312"/>
          <w:snapToGrid w:val="0"/>
          <w:color w:val="000000"/>
          <w:kern w:val="0"/>
          <w:sz w:val="32"/>
          <w:szCs w:val="32"/>
        </w:rPr>
        <w:t>生产总值、规模工业增加值、财政总收入分别占全市的</w:t>
      </w:r>
      <w:r>
        <w:rPr>
          <w:rFonts w:ascii="仿宋_GB2312" w:hAnsi="仿宋_GB2312" w:eastAsia="仿宋_GB2312" w:cs="仿宋_GB2312"/>
          <w:snapToGrid w:val="0"/>
          <w:color w:val="000000"/>
          <w:kern w:val="0"/>
          <w:sz w:val="32"/>
          <w:szCs w:val="32"/>
        </w:rPr>
        <w:t>40%</w:t>
      </w:r>
      <w:r>
        <w:rPr>
          <w:rFonts w:hint="eastAsia" w:ascii="仿宋_GB2312" w:hAnsi="仿宋_GB2312" w:eastAsia="仿宋_GB2312" w:cs="仿宋_GB2312"/>
          <w:snapToGrid w:val="0"/>
          <w:color w:val="000000"/>
          <w:kern w:val="0"/>
          <w:sz w:val="32"/>
          <w:szCs w:val="32"/>
        </w:rPr>
        <w:t>、</w:t>
      </w:r>
      <w:r>
        <w:rPr>
          <w:rFonts w:ascii="仿宋_GB2312" w:hAnsi="仿宋_GB2312" w:eastAsia="仿宋_GB2312" w:cs="仿宋_GB2312"/>
          <w:snapToGrid w:val="0"/>
          <w:color w:val="000000"/>
          <w:kern w:val="0"/>
          <w:sz w:val="32"/>
          <w:szCs w:val="32"/>
        </w:rPr>
        <w:t>25%</w:t>
      </w:r>
      <w:r>
        <w:rPr>
          <w:rFonts w:hint="eastAsia" w:ascii="仿宋_GB2312" w:hAnsi="仿宋_GB2312" w:eastAsia="仿宋_GB2312" w:cs="仿宋_GB2312"/>
          <w:snapToGrid w:val="0"/>
          <w:color w:val="000000"/>
          <w:kern w:val="0"/>
          <w:sz w:val="32"/>
          <w:szCs w:val="32"/>
          <w:lang w:eastAsia="zh-CN"/>
        </w:rPr>
        <w:t>和</w:t>
      </w:r>
      <w:r>
        <w:rPr>
          <w:rFonts w:ascii="仿宋_GB2312" w:hAnsi="仿宋_GB2312" w:eastAsia="仿宋_GB2312" w:cs="仿宋_GB2312"/>
          <w:snapToGrid w:val="0"/>
          <w:color w:val="000000"/>
          <w:kern w:val="0"/>
          <w:sz w:val="32"/>
          <w:szCs w:val="32"/>
        </w:rPr>
        <w:t>30</w:t>
      </w:r>
      <w:r>
        <w:rPr>
          <w:rFonts w:hint="eastAsia" w:ascii="仿宋_GB2312" w:hAnsi="仿宋_GB2312" w:eastAsia="仿宋_GB2312" w:cs="仿宋_GB2312"/>
          <w:snapToGrid w:val="0"/>
          <w:color w:val="000000"/>
          <w:kern w:val="0"/>
          <w:sz w:val="32"/>
          <w:szCs w:val="32"/>
        </w:rPr>
        <w:t>%</w:t>
      </w:r>
      <w:r>
        <w:rPr>
          <w:rFonts w:hint="eastAsia" w:eastAsia="仿宋_GB2312"/>
          <w:snapToGrid w:val="0"/>
          <w:color w:val="000000"/>
          <w:kern w:val="0"/>
          <w:sz w:val="32"/>
          <w:szCs w:val="32"/>
        </w:rPr>
        <w:t>以上</w:t>
      </w:r>
      <w:r>
        <w:rPr>
          <w:rFonts w:hint="eastAsia" w:eastAsia="仿宋_GB2312"/>
          <w:snapToGrid w:val="0"/>
          <w:color w:val="000000"/>
          <w:kern w:val="0"/>
          <w:sz w:val="32"/>
          <w:szCs w:val="32"/>
          <w:lang w:eastAsia="zh-CN"/>
        </w:rPr>
        <w:t>，</w:t>
      </w:r>
      <w:r>
        <w:rPr>
          <w:rFonts w:hint="eastAsia" w:eastAsia="仿宋_GB2312"/>
          <w:snapToGrid w:val="0"/>
          <w:color w:val="000000"/>
          <w:kern w:val="0"/>
          <w:sz w:val="32"/>
          <w:szCs w:val="32"/>
        </w:rPr>
        <w:t>在全省</w:t>
      </w:r>
      <w:r>
        <w:rPr>
          <w:rFonts w:hint="eastAsia" w:ascii="仿宋_GB2312" w:hAnsi="仿宋_GB2312" w:eastAsia="仿宋_GB2312" w:cs="仿宋_GB2312"/>
          <w:snapToGrid w:val="0"/>
          <w:color w:val="000000"/>
          <w:kern w:val="0"/>
          <w:sz w:val="32"/>
          <w:szCs w:val="32"/>
        </w:rPr>
        <w:t>24个</w:t>
      </w:r>
      <w:r>
        <w:rPr>
          <w:rFonts w:hint="eastAsia" w:eastAsia="仿宋_GB2312"/>
          <w:snapToGrid w:val="0"/>
          <w:color w:val="000000"/>
          <w:kern w:val="0"/>
          <w:sz w:val="32"/>
          <w:szCs w:val="32"/>
        </w:rPr>
        <w:t>城区经济社会发展监测综合排名进入前</w:t>
      </w:r>
      <w:r>
        <w:rPr>
          <w:rFonts w:hint="eastAsia" w:ascii="仿宋_GB2312" w:hAnsi="仿宋_GB2312" w:eastAsia="仿宋_GB2312" w:cs="仿宋_GB2312"/>
          <w:snapToGrid w:val="0"/>
          <w:color w:val="000000"/>
          <w:kern w:val="0"/>
          <w:sz w:val="32"/>
          <w:szCs w:val="32"/>
        </w:rPr>
        <w:t>18</w:t>
      </w:r>
      <w:r>
        <w:rPr>
          <w:rFonts w:hint="eastAsia" w:eastAsia="仿宋_GB2312"/>
          <w:snapToGrid w:val="0"/>
          <w:color w:val="000000"/>
          <w:kern w:val="0"/>
          <w:sz w:val="32"/>
          <w:szCs w:val="32"/>
        </w:rPr>
        <w:t>位。</w:t>
      </w:r>
    </w:p>
    <w:p>
      <w:pPr>
        <w:spacing w:line="560" w:lineRule="exact"/>
        <w:ind w:firstLine="643" w:firstLineChars="200"/>
        <w:rPr>
          <w:rFonts w:hint="eastAsia" w:eastAsia="仿宋_GB2312"/>
          <w:snapToGrid w:val="0"/>
          <w:color w:val="000000"/>
          <w:kern w:val="0"/>
          <w:sz w:val="32"/>
          <w:szCs w:val="32"/>
        </w:rPr>
      </w:pPr>
      <w:r>
        <w:rPr>
          <w:rFonts w:hint="eastAsia" w:eastAsia="仿宋_GB2312"/>
          <w:b/>
          <w:snapToGrid w:val="0"/>
          <w:color w:val="000000"/>
          <w:kern w:val="0"/>
          <w:sz w:val="32"/>
          <w:szCs w:val="32"/>
        </w:rPr>
        <w:t>旬阳县：</w:t>
      </w:r>
      <w:r>
        <w:rPr>
          <w:rFonts w:hint="eastAsia" w:eastAsia="仿宋_GB2312"/>
          <w:snapToGrid w:val="0"/>
          <w:color w:val="000000"/>
          <w:kern w:val="0"/>
          <w:sz w:val="32"/>
          <w:szCs w:val="32"/>
        </w:rPr>
        <w:t>围绕撤县设市目标，发挥特色资源优势，</w:t>
      </w:r>
      <w:r>
        <w:rPr>
          <w:rFonts w:hint="eastAsia" w:eastAsia="仿宋_GB2312"/>
          <w:snapToGrid w:val="0"/>
          <w:color w:val="000000"/>
          <w:kern w:val="0"/>
          <w:sz w:val="32"/>
          <w:szCs w:val="32"/>
          <w:lang w:eastAsia="zh-CN"/>
        </w:rPr>
        <w:t>加快</w:t>
      </w:r>
      <w:r>
        <w:rPr>
          <w:rFonts w:hint="eastAsia" w:eastAsia="仿宋_GB2312"/>
          <w:snapToGrid w:val="0"/>
          <w:color w:val="000000"/>
          <w:kern w:val="0"/>
          <w:sz w:val="32"/>
          <w:szCs w:val="32"/>
        </w:rPr>
        <w:t>产业转型升级，力促工业转型、交通改善、城市建设、文化旅游、生态农业</w:t>
      </w:r>
      <w:r>
        <w:rPr>
          <w:rFonts w:hint="eastAsia" w:eastAsia="仿宋_GB2312"/>
          <w:snapToGrid w:val="0"/>
          <w:color w:val="000000"/>
          <w:kern w:val="0"/>
          <w:sz w:val="32"/>
          <w:szCs w:val="32"/>
          <w:lang w:eastAsia="zh-CN"/>
        </w:rPr>
        <w:t>等方面</w:t>
      </w:r>
      <w:r>
        <w:rPr>
          <w:rFonts w:hint="eastAsia" w:eastAsia="仿宋_GB2312"/>
          <w:snapToGrid w:val="0"/>
          <w:color w:val="000000"/>
          <w:kern w:val="0"/>
          <w:sz w:val="32"/>
          <w:szCs w:val="32"/>
        </w:rPr>
        <w:t>率先发展。旬阳生态工业集中区和吕河工业园区建成省级高新技术产业开发区。</w:t>
      </w:r>
      <w:r>
        <w:rPr>
          <w:rFonts w:hint="eastAsia" w:ascii="仿宋_GB2312" w:hAnsi="仿宋_GB2312" w:eastAsia="仿宋_GB2312" w:cs="仿宋_GB2312"/>
          <w:snapToGrid w:val="0"/>
          <w:color w:val="000000"/>
          <w:kern w:val="0"/>
          <w:sz w:val="32"/>
          <w:szCs w:val="32"/>
        </w:rPr>
        <w:t>到2020年，</w:t>
      </w:r>
      <w:r>
        <w:rPr>
          <w:rFonts w:hint="eastAsia" w:eastAsia="仿宋_GB2312"/>
          <w:snapToGrid w:val="0"/>
          <w:color w:val="000000"/>
          <w:kern w:val="0"/>
          <w:sz w:val="32"/>
          <w:szCs w:val="32"/>
        </w:rPr>
        <w:t>生产总值、工业增加值、财政收入分别占全市的</w:t>
      </w:r>
      <w:r>
        <w:rPr>
          <w:rFonts w:hint="eastAsia" w:ascii="仿宋_GB2312" w:hAnsi="仿宋_GB2312" w:eastAsia="仿宋_GB2312" w:cs="仿宋_GB2312"/>
          <w:snapToGrid w:val="0"/>
          <w:color w:val="000000"/>
          <w:kern w:val="0"/>
          <w:sz w:val="32"/>
          <w:szCs w:val="32"/>
        </w:rPr>
        <w:t>20%、25%</w:t>
      </w:r>
      <w:r>
        <w:rPr>
          <w:rFonts w:hint="eastAsia" w:ascii="仿宋_GB2312" w:hAnsi="仿宋_GB2312" w:eastAsia="仿宋_GB2312" w:cs="仿宋_GB2312"/>
          <w:snapToGrid w:val="0"/>
          <w:color w:val="000000"/>
          <w:kern w:val="0"/>
          <w:sz w:val="32"/>
          <w:szCs w:val="32"/>
          <w:lang w:eastAsia="zh-CN"/>
        </w:rPr>
        <w:t>和</w:t>
      </w:r>
      <w:r>
        <w:rPr>
          <w:rFonts w:hint="eastAsia" w:ascii="仿宋_GB2312" w:hAnsi="仿宋_GB2312" w:eastAsia="仿宋_GB2312" w:cs="仿宋_GB2312"/>
          <w:snapToGrid w:val="0"/>
          <w:color w:val="000000"/>
          <w:kern w:val="0"/>
          <w:sz w:val="32"/>
          <w:szCs w:val="32"/>
        </w:rPr>
        <w:t>30%</w:t>
      </w:r>
      <w:r>
        <w:rPr>
          <w:rFonts w:hint="eastAsia" w:eastAsia="仿宋_GB2312"/>
          <w:snapToGrid w:val="0"/>
          <w:color w:val="000000"/>
          <w:kern w:val="0"/>
          <w:sz w:val="32"/>
          <w:szCs w:val="32"/>
        </w:rPr>
        <w:t>以上，县域经济社会发展监测综合排名进入全省前</w:t>
      </w:r>
      <w:r>
        <w:rPr>
          <w:rFonts w:hint="eastAsia" w:ascii="仿宋_GB2312" w:hAnsi="仿宋_GB2312" w:eastAsia="仿宋_GB2312" w:cs="仿宋_GB2312"/>
          <w:snapToGrid w:val="0"/>
          <w:color w:val="000000"/>
          <w:kern w:val="0"/>
          <w:sz w:val="32"/>
          <w:szCs w:val="32"/>
        </w:rPr>
        <w:t>20</w:t>
      </w:r>
      <w:r>
        <w:rPr>
          <w:rFonts w:hint="eastAsia" w:eastAsia="仿宋_GB2312"/>
          <w:snapToGrid w:val="0"/>
          <w:color w:val="000000"/>
          <w:kern w:val="0"/>
          <w:sz w:val="32"/>
          <w:szCs w:val="32"/>
        </w:rPr>
        <w:t>位，基本建成安康东部副中心城市。</w:t>
      </w:r>
    </w:p>
    <w:p>
      <w:pPr>
        <w:spacing w:line="560" w:lineRule="exact"/>
        <w:ind w:firstLine="640" w:firstLineChars="200"/>
        <w:rPr>
          <w:rFonts w:hint="eastAsia" w:eastAsia="仿宋_GB2312"/>
          <w:snapToGrid w:val="0"/>
          <w:color w:val="000000"/>
          <w:kern w:val="0"/>
          <w:sz w:val="32"/>
          <w:szCs w:val="32"/>
        </w:rPr>
      </w:pPr>
      <w:r>
        <w:rPr>
          <w:rFonts w:hint="eastAsia" w:eastAsia="仿宋_GB2312"/>
          <w:snapToGrid w:val="0"/>
          <w:color w:val="000000"/>
          <w:kern w:val="0"/>
          <w:sz w:val="32"/>
          <w:szCs w:val="32"/>
        </w:rPr>
        <w:t>汉阴</w:t>
      </w:r>
      <w:r>
        <w:rPr>
          <w:rFonts w:hint="eastAsia" w:eastAsia="仿宋_GB2312"/>
          <w:snapToGrid w:val="0"/>
          <w:color w:val="000000"/>
          <w:kern w:val="0"/>
          <w:sz w:val="32"/>
          <w:szCs w:val="32"/>
          <w:lang w:eastAsia="zh-CN"/>
        </w:rPr>
        <w:t>县</w:t>
      </w:r>
      <w:r>
        <w:rPr>
          <w:rFonts w:hint="eastAsia" w:eastAsia="仿宋_GB2312"/>
          <w:snapToGrid w:val="0"/>
          <w:color w:val="000000"/>
          <w:kern w:val="0"/>
          <w:sz w:val="32"/>
          <w:szCs w:val="32"/>
        </w:rPr>
        <w:t>、石泉</w:t>
      </w:r>
      <w:r>
        <w:rPr>
          <w:rFonts w:hint="eastAsia" w:eastAsia="仿宋_GB2312"/>
          <w:snapToGrid w:val="0"/>
          <w:color w:val="000000"/>
          <w:kern w:val="0"/>
          <w:sz w:val="32"/>
          <w:szCs w:val="32"/>
          <w:lang w:eastAsia="zh-CN"/>
        </w:rPr>
        <w:t>县</w:t>
      </w:r>
      <w:r>
        <w:rPr>
          <w:rFonts w:hint="eastAsia" w:eastAsia="仿宋_GB2312"/>
          <w:snapToGrid w:val="0"/>
          <w:color w:val="000000"/>
          <w:kern w:val="0"/>
          <w:sz w:val="32"/>
          <w:szCs w:val="32"/>
        </w:rPr>
        <w:t>要加快基础设施互联互通，促进产业分工协作，推动生态环境共保共治，协同打造月河川道产业带的增长板块。发挥各自优势，厚植“一县一业”，重点推动</w:t>
      </w:r>
      <w:r>
        <w:rPr>
          <w:rFonts w:hint="eastAsia" w:eastAsia="仿宋_GB2312"/>
          <w:snapToGrid w:val="0"/>
          <w:color w:val="000000"/>
          <w:kern w:val="0"/>
          <w:sz w:val="32"/>
          <w:szCs w:val="32"/>
          <w:lang w:eastAsia="zh-CN"/>
        </w:rPr>
        <w:t>汉阴富硒食品、</w:t>
      </w:r>
      <w:r>
        <w:rPr>
          <w:rFonts w:hint="eastAsia" w:eastAsia="仿宋_GB2312"/>
          <w:snapToGrid w:val="0"/>
          <w:color w:val="000000"/>
          <w:kern w:val="0"/>
          <w:sz w:val="32"/>
          <w:szCs w:val="32"/>
        </w:rPr>
        <w:t>石泉生态观光、宁陕全域旅游、紫阳富硒茶饮、岚皋生态旅游、平利美丽乡村、镇坪</w:t>
      </w:r>
      <w:r>
        <w:rPr>
          <w:rFonts w:hint="eastAsia" w:eastAsia="仿宋_GB2312"/>
          <w:snapToGrid w:val="0"/>
          <w:color w:val="000000"/>
          <w:kern w:val="0"/>
          <w:sz w:val="32"/>
          <w:szCs w:val="32"/>
          <w:lang w:eastAsia="zh-CN"/>
        </w:rPr>
        <w:t>中药产业</w:t>
      </w:r>
      <w:r>
        <w:rPr>
          <w:rFonts w:hint="eastAsia" w:eastAsia="仿宋_GB2312"/>
          <w:snapToGrid w:val="0"/>
          <w:color w:val="000000"/>
          <w:kern w:val="0"/>
          <w:sz w:val="32"/>
          <w:szCs w:val="32"/>
        </w:rPr>
        <w:t>、白河汽配制造等县域特色产业加快发展</w:t>
      </w:r>
      <w:r>
        <w:rPr>
          <w:rFonts w:hint="eastAsia" w:eastAsia="仿宋_GB2312"/>
          <w:snapToGrid w:val="0"/>
          <w:color w:val="000000"/>
          <w:kern w:val="0"/>
          <w:sz w:val="32"/>
          <w:szCs w:val="32"/>
          <w:lang w:eastAsia="zh-CN"/>
        </w:rPr>
        <w:t>，形成“一业为主、多业并存”的县域经济发展格局</w:t>
      </w:r>
      <w:r>
        <w:rPr>
          <w:rFonts w:hint="eastAsia" w:eastAsia="仿宋_GB2312"/>
          <w:snapToGrid w:val="0"/>
          <w:color w:val="000000"/>
          <w:kern w:val="0"/>
          <w:sz w:val="32"/>
          <w:szCs w:val="32"/>
        </w:rPr>
        <w:t>。</w:t>
      </w:r>
    </w:p>
    <w:p>
      <w:pPr>
        <w:spacing w:line="560" w:lineRule="exact"/>
        <w:ind w:firstLine="640" w:firstLineChars="200"/>
        <w:rPr>
          <w:rFonts w:hint="eastAsia" w:eastAsia="仿宋_GB2312"/>
          <w:snapToGrid w:val="0"/>
          <w:color w:val="000000"/>
          <w:kern w:val="0"/>
          <w:sz w:val="32"/>
          <w:szCs w:val="32"/>
        </w:rPr>
      </w:pPr>
    </w:p>
    <w:p>
      <w:pPr>
        <w:spacing w:line="560" w:lineRule="exact"/>
        <w:jc w:val="center"/>
        <w:rPr>
          <w:rFonts w:hint="eastAsia" w:ascii="方正小标宋简体" w:hAnsi="黑体" w:eastAsia="方正小标宋简体" w:cs="黑体"/>
          <w:bCs/>
          <w:color w:val="000000"/>
          <w:sz w:val="36"/>
          <w:szCs w:val="36"/>
        </w:rPr>
      </w:pPr>
    </w:p>
    <w:p>
      <w:pPr>
        <w:spacing w:line="560" w:lineRule="exact"/>
        <w:jc w:val="center"/>
        <w:rPr>
          <w:rFonts w:hint="eastAsia" w:ascii="方正小标宋简体" w:hAnsi="黑体" w:eastAsia="方正小标宋简体" w:cs="黑体"/>
          <w:bCs/>
          <w:color w:val="000000"/>
          <w:sz w:val="36"/>
          <w:szCs w:val="36"/>
        </w:rPr>
      </w:pPr>
      <w:r>
        <w:rPr>
          <w:rFonts w:hint="eastAsia" w:ascii="方正小标宋简体" w:hAnsi="黑体" w:eastAsia="方正小标宋简体" w:cs="黑体"/>
          <w:bCs/>
          <w:color w:val="000000"/>
          <w:sz w:val="36"/>
          <w:szCs w:val="36"/>
        </w:rPr>
        <w:t>第三章</w:t>
      </w:r>
      <w:r>
        <w:rPr>
          <w:rFonts w:hint="eastAsia" w:ascii="方正小标宋简体" w:hAnsi="黑体" w:eastAsia="方正小标宋简体" w:cs="黑体"/>
          <w:bCs/>
          <w:color w:val="000000"/>
          <w:sz w:val="36"/>
          <w:szCs w:val="36"/>
          <w:lang w:val="en-US" w:eastAsia="zh-CN"/>
        </w:rPr>
        <w:t xml:space="preserve">  </w:t>
      </w:r>
      <w:r>
        <w:rPr>
          <w:rFonts w:hint="eastAsia" w:ascii="方正小标宋简体" w:hAnsi="黑体" w:eastAsia="方正小标宋简体" w:cs="黑体"/>
          <w:bCs/>
          <w:color w:val="000000"/>
          <w:sz w:val="36"/>
          <w:szCs w:val="36"/>
        </w:rPr>
        <w:t>转型升级　做大做强生态循环产业</w:t>
      </w:r>
    </w:p>
    <w:p>
      <w:pPr>
        <w:spacing w:line="560" w:lineRule="exact"/>
        <w:ind w:firstLine="720" w:firstLineChars="200"/>
        <w:rPr>
          <w:rFonts w:hint="eastAsia" w:ascii="黑体" w:hAnsi="黑体" w:eastAsia="黑体" w:cs="黑体"/>
          <w:bCs/>
          <w:color w:val="000000"/>
          <w:sz w:val="36"/>
          <w:szCs w:val="36"/>
        </w:rPr>
      </w:pPr>
    </w:p>
    <w:p>
      <w:pPr>
        <w:spacing w:line="560" w:lineRule="exact"/>
        <w:ind w:firstLine="640" w:firstLineChars="200"/>
        <w:rPr>
          <w:rFonts w:hint="eastAsia" w:eastAsia="仿宋_GB2312"/>
          <w:color w:val="000000"/>
          <w:sz w:val="32"/>
        </w:rPr>
      </w:pPr>
      <w:r>
        <w:rPr>
          <w:rFonts w:hint="eastAsia" w:eastAsia="仿宋_GB2312"/>
          <w:color w:val="000000"/>
          <w:sz w:val="32"/>
          <w:lang w:eastAsia="zh-CN"/>
        </w:rPr>
        <w:t>把构建</w:t>
      </w:r>
      <w:r>
        <w:rPr>
          <w:rFonts w:hint="eastAsia" w:eastAsia="仿宋_GB2312"/>
          <w:color w:val="000000"/>
          <w:sz w:val="32"/>
        </w:rPr>
        <w:t>循环产业体系</w:t>
      </w:r>
      <w:r>
        <w:rPr>
          <w:rFonts w:hint="eastAsia" w:eastAsia="仿宋_GB2312"/>
          <w:color w:val="000000"/>
          <w:sz w:val="32"/>
          <w:lang w:eastAsia="zh-CN"/>
        </w:rPr>
        <w:t>作为</w:t>
      </w:r>
      <w:r>
        <w:rPr>
          <w:rFonts w:hint="eastAsia" w:eastAsia="仿宋_GB2312"/>
          <w:color w:val="000000"/>
          <w:sz w:val="32"/>
        </w:rPr>
        <w:t>安康绿色发展的命脉，坚定生态优势转化发展优势的主攻方向，按照大产业、大配套、全产业链发展思路，坚持增量带动与存量优化并行，深入推进</w:t>
      </w:r>
      <w:r>
        <w:rPr>
          <w:rFonts w:hint="eastAsia" w:eastAsia="仿宋_GB2312"/>
          <w:color w:val="000000"/>
          <w:sz w:val="32"/>
          <w:lang w:eastAsia="zh-CN"/>
        </w:rPr>
        <w:t>“</w:t>
      </w:r>
      <w:r>
        <w:rPr>
          <w:rFonts w:hint="eastAsia" w:eastAsia="仿宋_GB2312"/>
          <w:color w:val="000000"/>
          <w:sz w:val="32"/>
        </w:rPr>
        <w:t>调结构、转方式、促升级</w:t>
      </w:r>
      <w:r>
        <w:rPr>
          <w:rFonts w:hint="eastAsia" w:eastAsia="仿宋_GB2312"/>
          <w:color w:val="000000"/>
          <w:sz w:val="32"/>
          <w:lang w:eastAsia="zh-CN"/>
        </w:rPr>
        <w:t>”</w:t>
      </w:r>
      <w:r>
        <w:rPr>
          <w:rFonts w:hint="eastAsia" w:eastAsia="仿宋_GB2312"/>
          <w:color w:val="000000"/>
          <w:sz w:val="32"/>
        </w:rPr>
        <w:t>行动计划，催生以创新为主要引领的新技术、新模式、新业态，推动传统产业提档升级、新兴产业加快集聚、现代服务业发展壮大、特色高效农业“接二连三”，依托园区延伸循环经济产业链，着力提升产业规模和质量，打造循环经济升级版，</w:t>
      </w:r>
      <w:r>
        <w:rPr>
          <w:rFonts w:hint="eastAsia" w:eastAsia="仿宋_GB2312"/>
          <w:color w:val="000000"/>
          <w:sz w:val="32"/>
          <w:lang w:eastAsia="zh-CN"/>
        </w:rPr>
        <w:t>加快</w:t>
      </w:r>
      <w:r>
        <w:rPr>
          <w:rFonts w:hint="eastAsia" w:eastAsia="仿宋_GB2312"/>
          <w:color w:val="000000"/>
          <w:sz w:val="32"/>
        </w:rPr>
        <w:t>新型工业化进程。</w:t>
      </w:r>
    </w:p>
    <w:p>
      <w:pPr>
        <w:spacing w:line="560" w:lineRule="exact"/>
        <w:rPr>
          <w:rFonts w:hint="eastAsia" w:ascii="黑体" w:hAnsi="仿宋" w:eastAsia="黑体" w:cs="仿宋_GB2312"/>
          <w:b/>
          <w:color w:val="000000"/>
          <w:sz w:val="32"/>
          <w:szCs w:val="32"/>
        </w:rPr>
      </w:pPr>
    </w:p>
    <w:p>
      <w:pPr>
        <w:spacing w:line="560" w:lineRule="exact"/>
        <w:jc w:val="center"/>
        <w:rPr>
          <w:rFonts w:hint="eastAsia" w:ascii="仿宋_GB2312" w:hAnsi="仿宋" w:eastAsia="仿宋_GB2312" w:cs="宋体"/>
          <w:bCs/>
          <w:color w:val="000000"/>
          <w:sz w:val="32"/>
          <w:szCs w:val="32"/>
        </w:rPr>
      </w:pPr>
      <w:r>
        <w:rPr>
          <w:rFonts w:hint="eastAsia" w:ascii="黑体" w:hAnsi="仿宋" w:eastAsia="黑体" w:cs="仿宋_GB2312"/>
          <w:bCs/>
          <w:color w:val="000000"/>
          <w:sz w:val="32"/>
          <w:szCs w:val="32"/>
        </w:rPr>
        <w:t>第九节</w:t>
      </w:r>
      <w:r>
        <w:rPr>
          <w:rFonts w:hint="eastAsia" w:ascii="黑体" w:hAnsi="仿宋" w:eastAsia="黑体" w:cs="仿宋_GB2312"/>
          <w:bCs/>
          <w:color w:val="000000"/>
          <w:sz w:val="32"/>
          <w:szCs w:val="32"/>
          <w:lang w:val="en-US" w:eastAsia="zh-CN"/>
        </w:rPr>
        <w:t xml:space="preserve">  </w:t>
      </w:r>
      <w:r>
        <w:rPr>
          <w:rFonts w:hint="eastAsia" w:ascii="黑体" w:hAnsi="仿宋" w:eastAsia="黑体" w:cs="仿宋_GB2312"/>
          <w:bCs/>
          <w:color w:val="000000"/>
          <w:sz w:val="32"/>
          <w:szCs w:val="32"/>
        </w:rPr>
        <w:t>培育壮大循环特色工业</w:t>
      </w:r>
    </w:p>
    <w:p>
      <w:pPr>
        <w:spacing w:line="560" w:lineRule="exact"/>
        <w:ind w:firstLine="640" w:firstLineChars="200"/>
        <w:rPr>
          <w:rFonts w:hint="eastAsia" w:ascii="仿宋_GB2312" w:eastAsia="仿宋_GB2312" w:cs="仿宋_GB2312"/>
          <w:color w:val="000000"/>
          <w:kern w:val="0"/>
          <w:sz w:val="32"/>
          <w:szCs w:val="32"/>
          <w:lang w:bidi="ar"/>
        </w:rPr>
      </w:pPr>
      <w:r>
        <w:rPr>
          <w:rFonts w:hint="eastAsia" w:ascii="仿宋_GB2312" w:eastAsia="仿宋_GB2312" w:cs="仿宋_GB2312"/>
          <w:color w:val="000000"/>
          <w:kern w:val="0"/>
          <w:sz w:val="32"/>
          <w:szCs w:val="32"/>
          <w:lang w:bidi="ar"/>
        </w:rPr>
        <w:t>围绕工业强市目标，做大总量、盘活存量、扩大增量，延伸产业链条，做大特色工业集群，</w:t>
      </w:r>
      <w:r>
        <w:rPr>
          <w:rFonts w:hint="eastAsia" w:ascii="仿宋_GB2312" w:eastAsia="仿宋_GB2312"/>
          <w:color w:val="000000"/>
          <w:sz w:val="32"/>
          <w:szCs w:val="32"/>
        </w:rPr>
        <w:t>着力打造以富硒产业为特色主导、新型材料为重要支撑、先进制造业为战略培育的循环</w:t>
      </w:r>
      <w:r>
        <w:rPr>
          <w:rFonts w:hint="eastAsia" w:ascii="仿宋_GB2312" w:eastAsia="仿宋_GB2312"/>
          <w:color w:val="000000"/>
          <w:sz w:val="32"/>
          <w:szCs w:val="32"/>
          <w:lang w:eastAsia="zh-CN"/>
        </w:rPr>
        <w:t>特色</w:t>
      </w:r>
      <w:r>
        <w:rPr>
          <w:rFonts w:hint="eastAsia" w:ascii="仿宋_GB2312" w:eastAsia="仿宋_GB2312"/>
          <w:color w:val="000000"/>
          <w:sz w:val="32"/>
          <w:szCs w:val="32"/>
        </w:rPr>
        <w:t>工业体系，</w:t>
      </w:r>
      <w:r>
        <w:rPr>
          <w:rFonts w:hint="eastAsia" w:ascii="仿宋_GB2312" w:eastAsia="仿宋_GB2312" w:cs="仿宋_GB2312"/>
          <w:color w:val="000000"/>
          <w:kern w:val="0"/>
          <w:sz w:val="32"/>
          <w:szCs w:val="32"/>
          <w:lang w:bidi="ar"/>
        </w:rPr>
        <w:t>以绿色化、特色化、智能化助推循环特色工业跨越式发展。到2020年，力争培育1个产值近千亿元、1个过500亿元、3个过100亿元、3个过30亿元的产业集群，打造5个年产值过100亿元工业集中区，4户年产值过30亿元、10户年产值过10亿元工业企业，形成1个国家高新</w:t>
      </w:r>
      <w:r>
        <w:rPr>
          <w:rFonts w:hint="eastAsia" w:ascii="仿宋_GB2312" w:eastAsia="仿宋_GB2312" w:cs="仿宋_GB2312"/>
          <w:color w:val="000000"/>
          <w:kern w:val="0"/>
          <w:sz w:val="32"/>
          <w:szCs w:val="32"/>
          <w:lang w:eastAsia="zh-CN" w:bidi="ar"/>
        </w:rPr>
        <w:t>技术产业开发</w:t>
      </w:r>
      <w:r>
        <w:rPr>
          <w:rFonts w:hint="eastAsia" w:ascii="仿宋_GB2312" w:eastAsia="仿宋_GB2312" w:cs="仿宋_GB2312"/>
          <w:color w:val="000000"/>
          <w:kern w:val="0"/>
          <w:sz w:val="32"/>
          <w:szCs w:val="32"/>
          <w:lang w:bidi="ar"/>
        </w:rPr>
        <w:t>区、2-3个省级</w:t>
      </w:r>
      <w:r>
        <w:rPr>
          <w:rFonts w:hint="eastAsia" w:ascii="仿宋_GB2312" w:eastAsia="仿宋_GB2312" w:cs="仿宋_GB2312"/>
          <w:color w:val="000000"/>
          <w:kern w:val="0"/>
          <w:sz w:val="32"/>
          <w:szCs w:val="32"/>
          <w:lang w:eastAsia="zh-CN" w:bidi="ar"/>
        </w:rPr>
        <w:t>高新技术产业开发区（</w:t>
      </w:r>
      <w:r>
        <w:rPr>
          <w:rFonts w:hint="eastAsia" w:ascii="仿宋_GB2312" w:eastAsia="仿宋_GB2312" w:cs="仿宋_GB2312"/>
          <w:color w:val="000000"/>
          <w:kern w:val="0"/>
          <w:sz w:val="32"/>
          <w:szCs w:val="32"/>
          <w:lang w:bidi="ar"/>
        </w:rPr>
        <w:t>经济技术开发区</w:t>
      </w:r>
      <w:r>
        <w:rPr>
          <w:rFonts w:hint="eastAsia" w:ascii="仿宋_GB2312" w:eastAsia="仿宋_GB2312" w:cs="仿宋_GB2312"/>
          <w:color w:val="000000"/>
          <w:kern w:val="0"/>
          <w:sz w:val="32"/>
          <w:szCs w:val="32"/>
          <w:lang w:eastAsia="zh-CN" w:bidi="ar"/>
        </w:rPr>
        <w:t>）</w:t>
      </w:r>
      <w:r>
        <w:rPr>
          <w:rFonts w:hint="eastAsia" w:ascii="仿宋_GB2312" w:eastAsia="仿宋_GB2312" w:cs="仿宋_GB2312"/>
          <w:color w:val="000000"/>
          <w:kern w:val="0"/>
          <w:sz w:val="32"/>
          <w:szCs w:val="32"/>
          <w:lang w:bidi="ar"/>
        </w:rPr>
        <w:t>、多个省级县域工业集中区和“飞地经济”园区发展格局。</w:t>
      </w:r>
    </w:p>
    <w:p>
      <w:pPr>
        <w:spacing w:line="560" w:lineRule="exact"/>
        <w:ind w:firstLine="640" w:firstLineChars="200"/>
        <w:rPr>
          <w:rFonts w:hint="eastAsia" w:ascii="仿宋_GB2312" w:eastAsia="仿宋_GB2312" w:cs="仿宋_GB2312"/>
          <w:color w:val="000000"/>
          <w:kern w:val="0"/>
          <w:sz w:val="32"/>
          <w:szCs w:val="32"/>
          <w:lang w:bidi="ar"/>
        </w:rPr>
      </w:pPr>
    </w:p>
    <w:p>
      <w:pPr>
        <w:spacing w:line="560" w:lineRule="exact"/>
        <w:jc w:val="center"/>
        <w:rPr>
          <w:rFonts w:hint="eastAsia" w:ascii="仿宋_GB2312" w:hAnsi="仿宋_GB2312" w:eastAsia="仿宋_GB2312" w:cs="仿宋_GB2312"/>
          <w:b/>
          <w:bCs/>
          <w:color w:val="000000"/>
          <w:kern w:val="0"/>
          <w:sz w:val="32"/>
          <w:szCs w:val="32"/>
          <w:lang w:bidi="ar"/>
        </w:rPr>
      </w:pPr>
    </w:p>
    <w:p>
      <w:pPr>
        <w:spacing w:line="560" w:lineRule="exact"/>
        <w:jc w:val="center"/>
        <w:rPr>
          <w:rFonts w:hint="eastAsia" w:ascii="仿宋_GB2312" w:hAnsi="仿宋_GB2312" w:eastAsia="仿宋_GB2312" w:cs="仿宋_GB2312"/>
          <w:b/>
          <w:bCs/>
          <w:color w:val="000000"/>
          <w:kern w:val="0"/>
          <w:sz w:val="32"/>
          <w:szCs w:val="32"/>
          <w:lang w:bidi="ar"/>
        </w:rPr>
      </w:pPr>
      <w:r>
        <w:rPr>
          <w:rFonts w:hint="eastAsia" w:ascii="仿宋_GB2312" w:hAnsi="仿宋_GB2312" w:eastAsia="仿宋_GB2312" w:cs="仿宋_GB2312"/>
          <w:b/>
          <w:bCs/>
          <w:color w:val="000000"/>
          <w:kern w:val="0"/>
          <w:sz w:val="32"/>
          <w:szCs w:val="32"/>
          <w:lang w:bidi="ar"/>
        </w:rPr>
        <w:t>一、优先发展生态友好型产业</w:t>
      </w:r>
    </w:p>
    <w:p>
      <w:pPr>
        <w:spacing w:line="560" w:lineRule="exact"/>
        <w:ind w:firstLine="640" w:firstLineChars="200"/>
        <w:rPr>
          <w:rFonts w:hint="eastAsia" w:ascii="仿宋_GB2312" w:eastAsia="仿宋_GB2312" w:cs="仿宋_GB2312"/>
          <w:b/>
          <w:bCs/>
          <w:color w:val="000000"/>
          <w:kern w:val="0"/>
          <w:sz w:val="32"/>
          <w:szCs w:val="32"/>
          <w:lang w:bidi="ar"/>
        </w:rPr>
      </w:pPr>
      <w:r>
        <w:rPr>
          <w:rFonts w:hint="eastAsia" w:ascii="仿宋_GB2312" w:eastAsia="仿宋_GB2312" w:cs="仿宋_GB2312"/>
          <w:color w:val="000000"/>
          <w:kern w:val="0"/>
          <w:sz w:val="32"/>
          <w:szCs w:val="32"/>
          <w:lang w:bidi="ar"/>
        </w:rPr>
        <w:t>综合利用山、水、人基本要素，促进经济再生产和生态再生产同步发展</w:t>
      </w:r>
      <w:r>
        <w:rPr>
          <w:rFonts w:hint="eastAsia" w:ascii="仿宋_GB2312" w:eastAsia="仿宋_GB2312" w:cs="仿宋_GB2312"/>
          <w:color w:val="000000"/>
          <w:kern w:val="0"/>
          <w:sz w:val="32"/>
          <w:szCs w:val="32"/>
          <w:lang w:eastAsia="zh-CN" w:bidi="ar"/>
        </w:rPr>
        <w:t>，以</w:t>
      </w:r>
      <w:r>
        <w:rPr>
          <w:rFonts w:hint="eastAsia" w:ascii="仿宋_GB2312" w:eastAsia="仿宋_GB2312" w:cs="仿宋_GB2312"/>
          <w:color w:val="000000"/>
          <w:kern w:val="0"/>
          <w:sz w:val="32"/>
          <w:szCs w:val="32"/>
          <w:lang w:bidi="ar"/>
        </w:rPr>
        <w:t>富硒</w:t>
      </w:r>
      <w:r>
        <w:rPr>
          <w:rFonts w:hint="eastAsia" w:ascii="仿宋_GB2312" w:eastAsia="仿宋_GB2312" w:cs="仿宋_GB2312"/>
          <w:color w:val="000000"/>
          <w:kern w:val="0"/>
          <w:sz w:val="32"/>
          <w:szCs w:val="32"/>
          <w:lang w:eastAsia="zh-CN" w:bidi="ar"/>
        </w:rPr>
        <w:t>食品产业为</w:t>
      </w:r>
      <w:r>
        <w:rPr>
          <w:rFonts w:hint="eastAsia" w:ascii="仿宋_GB2312" w:eastAsia="仿宋_GB2312" w:cs="仿宋_GB2312"/>
          <w:color w:val="000000"/>
          <w:kern w:val="0"/>
          <w:sz w:val="32"/>
          <w:szCs w:val="32"/>
          <w:lang w:bidi="ar"/>
        </w:rPr>
        <w:t>重点</w:t>
      </w:r>
      <w:r>
        <w:rPr>
          <w:rFonts w:hint="eastAsia" w:ascii="仿宋_GB2312" w:eastAsia="仿宋_GB2312" w:cs="仿宋_GB2312"/>
          <w:color w:val="000000"/>
          <w:kern w:val="0"/>
          <w:sz w:val="32"/>
          <w:szCs w:val="32"/>
          <w:lang w:eastAsia="zh-CN" w:bidi="ar"/>
        </w:rPr>
        <w:t>，</w:t>
      </w:r>
      <w:r>
        <w:rPr>
          <w:rFonts w:hint="eastAsia" w:ascii="仿宋_GB2312" w:eastAsia="仿宋_GB2312" w:cs="仿宋_GB2312"/>
          <w:color w:val="000000"/>
          <w:kern w:val="0"/>
          <w:sz w:val="32"/>
          <w:szCs w:val="32"/>
          <w:lang w:bidi="ar"/>
        </w:rPr>
        <w:t>推进生态旅游、山林经济、涉水产业</w:t>
      </w:r>
      <w:r>
        <w:rPr>
          <w:rFonts w:hint="eastAsia" w:ascii="仿宋_GB2312" w:eastAsia="仿宋_GB2312" w:cs="仿宋_GB2312"/>
          <w:color w:val="000000"/>
          <w:kern w:val="0"/>
          <w:sz w:val="32"/>
          <w:szCs w:val="32"/>
          <w:lang w:eastAsia="zh-CN" w:bidi="ar"/>
        </w:rPr>
        <w:t>融合</w:t>
      </w:r>
      <w:r>
        <w:rPr>
          <w:rFonts w:hint="eastAsia" w:ascii="仿宋_GB2312" w:eastAsia="仿宋_GB2312" w:cs="仿宋_GB2312"/>
          <w:color w:val="000000"/>
          <w:kern w:val="0"/>
          <w:sz w:val="32"/>
          <w:szCs w:val="32"/>
          <w:lang w:bidi="ar"/>
        </w:rPr>
        <w:t>发展。</w:t>
      </w:r>
    </w:p>
    <w:p>
      <w:pPr>
        <w:spacing w:line="560" w:lineRule="exact"/>
        <w:ind w:firstLine="643" w:firstLineChars="200"/>
        <w:rPr>
          <w:rFonts w:hint="eastAsia" w:ascii="仿宋_GB2312" w:eastAsia="仿宋_GB2312" w:cs="仿宋_GB2312"/>
          <w:color w:val="000000"/>
          <w:kern w:val="0"/>
          <w:sz w:val="32"/>
          <w:szCs w:val="32"/>
          <w:lang w:bidi="ar"/>
        </w:rPr>
      </w:pPr>
      <w:r>
        <w:rPr>
          <w:rFonts w:hint="eastAsia" w:ascii="仿宋_GB2312" w:eastAsia="仿宋_GB2312" w:cs="仿宋_GB2312"/>
          <w:b/>
          <w:bCs/>
          <w:color w:val="000000"/>
          <w:kern w:val="0"/>
          <w:sz w:val="32"/>
          <w:szCs w:val="32"/>
          <w:lang w:bidi="ar"/>
        </w:rPr>
        <w:t>富硒食品。</w:t>
      </w:r>
      <w:r>
        <w:rPr>
          <w:rFonts w:hint="eastAsia" w:ascii="仿宋_GB2312" w:eastAsia="仿宋_GB2312" w:cs="仿宋_GB2312"/>
          <w:color w:val="000000"/>
          <w:kern w:val="0"/>
          <w:sz w:val="32"/>
          <w:szCs w:val="32"/>
          <w:lang w:bidi="ar"/>
        </w:rPr>
        <w:t>把富硒产业作为生态友好型产业的首位产业，</w:t>
      </w:r>
      <w:r>
        <w:rPr>
          <w:rFonts w:hint="eastAsia" w:ascii="仿宋_GB2312" w:eastAsia="仿宋_GB2312" w:cs="仿宋_GB2312"/>
          <w:color w:val="000000"/>
          <w:kern w:val="0"/>
          <w:sz w:val="32"/>
          <w:szCs w:val="32"/>
          <w:lang w:eastAsia="zh-CN" w:bidi="ar"/>
        </w:rPr>
        <w:t>大力引进、培育、壮大龙头企业，</w:t>
      </w:r>
      <w:r>
        <w:rPr>
          <w:rFonts w:hint="eastAsia" w:ascii="仿宋_GB2312" w:eastAsia="仿宋_GB2312" w:cs="仿宋_GB2312"/>
          <w:color w:val="000000"/>
          <w:kern w:val="0"/>
          <w:sz w:val="32"/>
          <w:szCs w:val="32"/>
          <w:lang w:bidi="ar"/>
        </w:rPr>
        <w:t>着力打造“中国硒谷”地域品牌、城市名片，建设全国最大、最优、最强的富硒食品加工基地</w:t>
      </w:r>
      <w:r>
        <w:rPr>
          <w:rFonts w:hint="eastAsia" w:ascii="仿宋_GB2312" w:eastAsia="仿宋_GB2312" w:cs="仿宋_GB2312"/>
          <w:color w:val="000000"/>
          <w:kern w:val="0"/>
          <w:sz w:val="32"/>
          <w:szCs w:val="32"/>
          <w:lang w:eastAsia="zh-CN" w:bidi="ar"/>
        </w:rPr>
        <w:t>。</w:t>
      </w:r>
      <w:r>
        <w:rPr>
          <w:rFonts w:hint="eastAsia" w:ascii="仿宋_GB2312" w:eastAsia="仿宋_GB2312" w:cs="仿宋_GB2312"/>
          <w:color w:val="000000"/>
          <w:kern w:val="0"/>
          <w:sz w:val="32"/>
          <w:szCs w:val="32"/>
          <w:lang w:bidi="ar"/>
        </w:rPr>
        <w:t>坚</w:t>
      </w:r>
      <w:r>
        <w:rPr>
          <w:rFonts w:hint="eastAsia" w:ascii="仿宋_GB2312" w:eastAsia="仿宋_GB2312"/>
          <w:color w:val="000000"/>
          <w:sz w:val="32"/>
          <w:szCs w:val="32"/>
        </w:rPr>
        <w:t>持基地化培育、集团化整合和项目化实施，</w:t>
      </w:r>
      <w:r>
        <w:rPr>
          <w:rFonts w:hint="eastAsia" w:ascii="仿宋_GB2312" w:eastAsia="仿宋_GB2312" w:cs="仿宋_GB2312"/>
          <w:color w:val="000000"/>
          <w:kern w:val="0"/>
          <w:sz w:val="32"/>
          <w:szCs w:val="32"/>
          <w:lang w:bidi="ar"/>
        </w:rPr>
        <w:t>深化与中国农科院的务实合作，认真实施《安康市国家级特色（富硒）高效农业院地合作示范区总体规划》</w:t>
      </w:r>
      <w:r>
        <w:rPr>
          <w:rFonts w:hint="eastAsia" w:ascii="仿宋_GB2312" w:hAnsi="宋体" w:eastAsia="仿宋_GB2312" w:cs="宋体"/>
          <w:color w:val="000000"/>
          <w:kern w:val="0"/>
          <w:sz w:val="32"/>
          <w:szCs w:val="32"/>
          <w:lang w:bidi="ar"/>
        </w:rPr>
        <w:t>，重点建设“一核、九大试验点、九大示范园”</w:t>
      </w:r>
      <w:r>
        <w:rPr>
          <w:rFonts w:hint="eastAsia" w:ascii="仿宋_GB2312" w:eastAsia="仿宋_GB2312" w:cs="仿宋_GB2312"/>
          <w:color w:val="000000"/>
          <w:kern w:val="0"/>
          <w:sz w:val="32"/>
          <w:szCs w:val="32"/>
          <w:lang w:bidi="ar"/>
        </w:rPr>
        <w:t>。</w:t>
      </w:r>
      <w:r>
        <w:rPr>
          <w:rFonts w:hint="eastAsia" w:ascii="仿宋_GB2312" w:eastAsia="仿宋_GB2312" w:cs="仿宋_GB2312"/>
          <w:color w:val="000000"/>
          <w:sz w:val="32"/>
          <w:szCs w:val="32"/>
          <w:lang w:eastAsia="zh-CN" w:bidi="ar"/>
        </w:rPr>
        <w:t>加快建设</w:t>
      </w:r>
      <w:r>
        <w:rPr>
          <w:rFonts w:hint="eastAsia" w:ascii="仿宋_GB2312" w:eastAsia="仿宋_GB2312" w:cs="仿宋_GB2312"/>
          <w:color w:val="000000"/>
          <w:sz w:val="32"/>
          <w:szCs w:val="32"/>
          <w:lang w:bidi="ar"/>
        </w:rPr>
        <w:t>“一院一园一会一联盟一平台”</w:t>
      </w:r>
      <w:r>
        <w:rPr>
          <w:rFonts w:hint="eastAsia" w:ascii="仿宋_GB2312" w:eastAsia="仿宋_GB2312" w:cs="仿宋_GB2312"/>
          <w:color w:val="000000"/>
          <w:kern w:val="0"/>
          <w:sz w:val="32"/>
          <w:szCs w:val="32"/>
          <w:lang w:bidi="ar"/>
        </w:rPr>
        <w:t>，突出富硒茶饮、富硒矿泉水基地建设、产品研发和市场培育，大力发展富硒畜产（生猪）、茶饮、林果（核桃）、魔芋、饮用水、粮油、蔬菜、食用菌、蚕桑等系列产品，促进富硒产业与健康养老、生态旅游等相关产业融合发展，打造生态富硒产业升级版。以中国富硒产业研究院</w:t>
      </w:r>
      <w:r>
        <w:rPr>
          <w:rFonts w:hint="eastAsia" w:ascii="仿宋_GB2312" w:eastAsia="仿宋_GB2312" w:cs="仿宋_GB2312"/>
          <w:color w:val="000000"/>
          <w:kern w:val="0"/>
          <w:sz w:val="32"/>
          <w:szCs w:val="32"/>
          <w:lang w:eastAsia="zh-CN" w:bidi="ar"/>
        </w:rPr>
        <w:t>和</w:t>
      </w:r>
      <w:r>
        <w:rPr>
          <w:rFonts w:hint="eastAsia" w:ascii="仿宋_GB2312" w:eastAsia="仿宋_GB2312" w:cs="仿宋_GB2312"/>
          <w:color w:val="000000"/>
          <w:kern w:val="0"/>
          <w:sz w:val="32"/>
          <w:szCs w:val="32"/>
          <w:lang w:bidi="ar"/>
        </w:rPr>
        <w:t>安康富硒产品研发中心为依托，加快建设国家级富硒产业研发平台</w:t>
      </w:r>
      <w:r>
        <w:rPr>
          <w:rFonts w:hint="eastAsia" w:ascii="仿宋_GB2312" w:eastAsia="仿宋_GB2312" w:cs="仿宋_GB2312"/>
          <w:color w:val="000000"/>
          <w:kern w:val="0"/>
          <w:sz w:val="32"/>
          <w:szCs w:val="32"/>
          <w:lang w:eastAsia="zh-CN" w:bidi="ar"/>
        </w:rPr>
        <w:t>和</w:t>
      </w:r>
      <w:r>
        <w:rPr>
          <w:rFonts w:hint="eastAsia" w:ascii="仿宋_GB2312" w:eastAsia="仿宋_GB2312" w:cs="仿宋_GB2312"/>
          <w:color w:val="000000"/>
          <w:kern w:val="0"/>
          <w:sz w:val="32"/>
          <w:szCs w:val="32"/>
          <w:lang w:bidi="ar"/>
        </w:rPr>
        <w:t>科技企业孵化器，打造全国富硒产品研发中心、标准中心、检测中心、集散中心。围绕培育千亿元产值的富硒全产业链目标，以安康富硒食品产业园区建设为重点，实施“一县十镇百园”示范工程，抓好200个生态富硒循环经济精品产业园，扶持重点龙头企业发展产业联盟和产业集团，把安康建成全国魔芋之乡、全国富硒茶之乡、全国富硒产业基地。积极组建中国生态富硒农产品协会，办好“</w:t>
      </w:r>
      <w:r>
        <w:rPr>
          <w:rFonts w:hint="eastAsia" w:ascii="仿宋_GB2312" w:eastAsia="仿宋_GB2312" w:cs="仿宋_GB2312"/>
          <w:color w:val="000000"/>
          <w:sz w:val="32"/>
          <w:szCs w:val="32"/>
          <w:lang w:bidi="ar"/>
        </w:rPr>
        <w:t>生态富硒产品交易博览会</w:t>
      </w:r>
      <w:r>
        <w:rPr>
          <w:rFonts w:hint="eastAsia" w:ascii="仿宋_GB2312" w:eastAsia="仿宋_GB2312" w:cs="仿宋_GB2312"/>
          <w:color w:val="000000"/>
          <w:kern w:val="0"/>
          <w:sz w:val="32"/>
          <w:szCs w:val="32"/>
          <w:lang w:bidi="ar"/>
        </w:rPr>
        <w:t>”，重点支持中国西北（安康）国际天贸物流城构建全市富硒产品</w:t>
      </w:r>
      <w:r>
        <w:rPr>
          <w:rFonts w:eastAsia="仿宋_GB2312"/>
          <w:color w:val="000000"/>
          <w:kern w:val="0"/>
          <w:sz w:val="32"/>
          <w:szCs w:val="32"/>
          <w:lang w:bidi="ar"/>
        </w:rPr>
        <w:t>O2O</w:t>
      </w:r>
      <w:r>
        <w:rPr>
          <w:rFonts w:hint="eastAsia" w:eastAsia="仿宋_GB2312"/>
          <w:color w:val="000000"/>
          <w:kern w:val="0"/>
          <w:sz w:val="32"/>
          <w:szCs w:val="32"/>
          <w:lang w:bidi="ar"/>
        </w:rPr>
        <w:t>（线上到线下）</w:t>
      </w:r>
      <w:r>
        <w:rPr>
          <w:rFonts w:hint="eastAsia" w:ascii="仿宋_GB2312" w:eastAsia="仿宋_GB2312" w:cs="仿宋_GB2312"/>
          <w:color w:val="000000"/>
          <w:kern w:val="0"/>
          <w:sz w:val="32"/>
          <w:szCs w:val="32"/>
          <w:lang w:bidi="ar"/>
        </w:rPr>
        <w:t>交易平台，实现安康富硒产品全覆盖，打造“中国富硒电商第一市”。到2020年，富硒食品产业产值达到600亿元。</w:t>
      </w:r>
    </w:p>
    <w:p>
      <w:pPr>
        <w:spacing w:line="560" w:lineRule="exact"/>
        <w:ind w:firstLine="640" w:firstLineChars="200"/>
        <w:rPr>
          <w:rFonts w:hint="eastAsia" w:ascii="仿宋_GB2312" w:eastAsia="仿宋_GB2312" w:cs="仿宋_GB2312"/>
          <w:color w:val="000000"/>
          <w:kern w:val="0"/>
          <w:sz w:val="32"/>
          <w:szCs w:val="32"/>
          <w:lang w:bidi="ar"/>
        </w:rPr>
      </w:pPr>
      <w:r>
        <w:rPr>
          <w:rFonts w:hint="eastAsia" w:ascii="仿宋_GB2312" w:eastAsia="仿宋_GB2312" w:cs="仿宋_GB2312"/>
          <w:color w:val="000000"/>
          <w:kern w:val="0"/>
          <w:sz w:val="32"/>
          <w:szCs w:val="32"/>
          <w:lang w:eastAsia="zh-CN" w:bidi="ar"/>
        </w:rPr>
        <w:t>以饮用水和饮品制造业为重点，坚持</w:t>
      </w:r>
      <w:r>
        <w:rPr>
          <w:rFonts w:hint="eastAsia" w:ascii="仿宋_GB2312" w:eastAsia="仿宋_GB2312" w:cs="仿宋_GB2312"/>
          <w:color w:val="000000"/>
          <w:kern w:val="0"/>
          <w:sz w:val="32"/>
          <w:szCs w:val="32"/>
          <w:lang w:bidi="ar"/>
        </w:rPr>
        <w:t>龙头企业带动</w:t>
      </w:r>
      <w:r>
        <w:rPr>
          <w:rFonts w:hint="eastAsia" w:ascii="仿宋_GB2312" w:eastAsia="仿宋_GB2312" w:cs="仿宋_GB2312"/>
          <w:color w:val="000000"/>
          <w:kern w:val="0"/>
          <w:sz w:val="32"/>
          <w:szCs w:val="32"/>
          <w:lang w:eastAsia="zh-CN" w:bidi="ar"/>
        </w:rPr>
        <w:t>，加大资源整合和招商引资力度，大力发展</w:t>
      </w:r>
      <w:r>
        <w:rPr>
          <w:rFonts w:hint="eastAsia" w:ascii="仿宋_GB2312" w:eastAsia="仿宋_GB2312" w:cs="仿宋_GB2312"/>
          <w:color w:val="000000"/>
          <w:kern w:val="0"/>
          <w:sz w:val="32"/>
          <w:szCs w:val="32"/>
          <w:lang w:bidi="ar"/>
        </w:rPr>
        <w:t>涉水产业</w:t>
      </w:r>
      <w:r>
        <w:rPr>
          <w:rFonts w:hint="eastAsia" w:ascii="仿宋_GB2312" w:eastAsia="仿宋_GB2312" w:cs="仿宋_GB2312"/>
          <w:color w:val="000000"/>
          <w:kern w:val="0"/>
          <w:sz w:val="32"/>
          <w:szCs w:val="32"/>
          <w:lang w:eastAsia="zh-CN" w:bidi="ar"/>
        </w:rPr>
        <w:t>，</w:t>
      </w:r>
      <w:r>
        <w:rPr>
          <w:rFonts w:hint="eastAsia" w:ascii="仿宋_GB2312" w:eastAsia="仿宋_GB2312" w:cs="仿宋_GB2312"/>
          <w:color w:val="000000"/>
          <w:kern w:val="0"/>
          <w:sz w:val="32"/>
          <w:szCs w:val="32"/>
          <w:lang w:bidi="ar"/>
        </w:rPr>
        <w:t>争取引进国内知名大型饮用水和饮品制造企业落户安康，实现产业快速崛起</w:t>
      </w:r>
      <w:r>
        <w:rPr>
          <w:rFonts w:hint="eastAsia" w:ascii="仿宋_GB2312" w:eastAsia="仿宋_GB2312" w:cs="仿宋_GB2312"/>
          <w:color w:val="000000"/>
          <w:kern w:val="0"/>
          <w:sz w:val="32"/>
          <w:szCs w:val="32"/>
          <w:lang w:eastAsia="zh-CN" w:bidi="ar"/>
        </w:rPr>
        <w:t>。</w:t>
      </w:r>
      <w:r>
        <w:rPr>
          <w:rFonts w:hint="eastAsia" w:ascii="仿宋_GB2312" w:eastAsia="仿宋_GB2312" w:cs="仿宋_GB2312"/>
          <w:color w:val="000000"/>
          <w:kern w:val="0"/>
          <w:sz w:val="32"/>
          <w:szCs w:val="32"/>
          <w:lang w:bidi="ar"/>
        </w:rPr>
        <w:t>继续承接发达地区产业转移，</w:t>
      </w:r>
      <w:r>
        <w:rPr>
          <w:rFonts w:hint="eastAsia" w:ascii="仿宋_GB2312" w:eastAsia="仿宋_GB2312" w:cs="仿宋_GB2312"/>
          <w:color w:val="000000"/>
          <w:kern w:val="0"/>
          <w:sz w:val="32"/>
          <w:szCs w:val="32"/>
          <w:lang w:eastAsia="zh-CN" w:bidi="ar"/>
        </w:rPr>
        <w:t>大力发展</w:t>
      </w:r>
      <w:r>
        <w:rPr>
          <w:rFonts w:hint="eastAsia" w:ascii="仿宋_GB2312" w:eastAsia="仿宋_GB2312" w:cs="仿宋_GB2312"/>
          <w:color w:val="000000"/>
          <w:kern w:val="0"/>
          <w:sz w:val="32"/>
          <w:szCs w:val="32"/>
          <w:lang w:bidi="ar"/>
        </w:rPr>
        <w:t>劳动密集型产业</w:t>
      </w:r>
      <w:r>
        <w:rPr>
          <w:rFonts w:hint="eastAsia" w:ascii="仿宋_GB2312" w:eastAsia="仿宋_GB2312" w:cs="仿宋_GB2312"/>
          <w:color w:val="000000"/>
          <w:kern w:val="0"/>
          <w:sz w:val="32"/>
          <w:szCs w:val="32"/>
          <w:lang w:eastAsia="zh-CN" w:bidi="ar"/>
        </w:rPr>
        <w:t>，</w:t>
      </w:r>
      <w:r>
        <w:rPr>
          <w:rFonts w:hint="eastAsia" w:ascii="仿宋_GB2312" w:eastAsia="仿宋_GB2312" w:cs="仿宋_GB2312"/>
          <w:color w:val="000000"/>
          <w:kern w:val="0"/>
          <w:sz w:val="32"/>
          <w:szCs w:val="32"/>
          <w:lang w:bidi="ar"/>
        </w:rPr>
        <w:t>实现群众就地就业增收。</w:t>
      </w:r>
    </w:p>
    <w:p>
      <w:pPr>
        <w:spacing w:line="560" w:lineRule="exact"/>
        <w:ind w:firstLine="640" w:firstLineChars="200"/>
        <w:rPr>
          <w:rFonts w:hint="eastAsia" w:ascii="仿宋_GB2312" w:eastAsia="仿宋_GB2312" w:cs="仿宋_GB2312"/>
          <w:color w:val="000000"/>
          <w:kern w:val="0"/>
          <w:sz w:val="32"/>
          <w:szCs w:val="32"/>
          <w:lang w:bidi="ar"/>
        </w:rPr>
      </w:pPr>
    </w:p>
    <w:p>
      <w:pPr>
        <w:spacing w:line="560" w:lineRule="exact"/>
        <w:jc w:val="center"/>
        <w:rPr>
          <w:rFonts w:hint="eastAsia" w:ascii="黑体" w:hAnsi="黑体" w:eastAsia="黑体" w:cs="黑体"/>
          <w:snapToGrid w:val="0"/>
          <w:color w:val="000000"/>
          <w:kern w:val="0"/>
          <w:sz w:val="28"/>
          <w:szCs w:val="28"/>
        </w:rPr>
      </w:pPr>
      <w:r>
        <w:rPr>
          <w:rFonts w:hint="eastAsia" w:ascii="黑体" w:hAnsi="黑体" w:eastAsia="黑体" w:cs="黑体"/>
          <w:snapToGrid w:val="0"/>
          <w:color w:val="000000"/>
          <w:kern w:val="0"/>
          <w:sz w:val="28"/>
          <w:szCs w:val="28"/>
        </w:rPr>
        <w:t>专栏1“中国硒谷”建设重点工程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560" w:hRule="atLeast"/>
        </w:trPr>
        <w:tc>
          <w:tcPr>
            <w:tcW w:w="9004"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82" w:firstLineChars="200"/>
              <w:jc w:val="both"/>
              <w:textAlignment w:val="auto"/>
              <w:outlineLvl w:val="9"/>
              <w:rPr>
                <w:rFonts w:hint="eastAsia" w:ascii="宋体" w:hAnsi="宋体" w:eastAsia="宋体" w:cs="宋体"/>
                <w:color w:val="000000"/>
                <w:sz w:val="24"/>
                <w:lang w:eastAsia="zh-CN" w:bidi="ar"/>
              </w:rPr>
            </w:pPr>
            <w:r>
              <w:rPr>
                <w:rFonts w:hint="eastAsia" w:ascii="宋体" w:hAnsi="宋体" w:eastAsia="宋体" w:cs="宋体"/>
                <w:b/>
                <w:color w:val="000000"/>
                <w:sz w:val="24"/>
                <w:lang w:bidi="ar"/>
              </w:rPr>
              <w:t>国家级富硒科研平台建设：</w:t>
            </w:r>
            <w:r>
              <w:rPr>
                <w:rFonts w:hint="eastAsia" w:ascii="宋体" w:hAnsi="宋体" w:eastAsia="宋体" w:cs="宋体"/>
                <w:color w:val="000000"/>
                <w:sz w:val="24"/>
                <w:lang w:bidi="ar"/>
              </w:rPr>
              <w:t>中国富硒产业研究院（陕西省富硒食品营养与健康研究所）</w:t>
            </w:r>
            <w:r>
              <w:rPr>
                <w:rFonts w:hint="eastAsia" w:ascii="宋体" w:hAnsi="宋体" w:eastAsia="宋体" w:cs="宋体"/>
                <w:color w:val="000000"/>
                <w:sz w:val="24"/>
                <w:lang w:eastAsia="zh-CN" w:bidi="ar"/>
              </w:rPr>
              <w:t>，</w:t>
            </w:r>
            <w:r>
              <w:rPr>
                <w:rFonts w:hint="eastAsia" w:ascii="宋体" w:hAnsi="宋体" w:eastAsia="宋体" w:cs="宋体"/>
                <w:color w:val="000000"/>
                <w:sz w:val="24"/>
                <w:lang w:bidi="ar"/>
              </w:rPr>
              <w:t>由中国农业科学院、陕西省农业厅与安康市政府合作共建</w:t>
            </w:r>
            <w:r>
              <w:rPr>
                <w:rFonts w:hint="eastAsia" w:ascii="宋体" w:hAnsi="宋体" w:eastAsia="宋体" w:cs="宋体"/>
                <w:color w:val="000000"/>
                <w:sz w:val="24"/>
                <w:lang w:eastAsia="zh-CN" w:bidi="ar"/>
              </w:rPr>
              <w:t>。富硒食品开发国家地方联合工程实验室。依托安康市富硒产品研发中心，建设国家级富硒科技企业孵化器。</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82" w:firstLineChars="200"/>
              <w:jc w:val="both"/>
              <w:textAlignment w:val="auto"/>
              <w:outlineLvl w:val="9"/>
              <w:rPr>
                <w:rFonts w:hint="eastAsia" w:ascii="宋体" w:hAnsi="宋体" w:eastAsia="宋体" w:cs="宋体"/>
                <w:color w:val="000000"/>
                <w:sz w:val="24"/>
                <w:lang w:bidi="ar"/>
              </w:rPr>
            </w:pPr>
            <w:r>
              <w:rPr>
                <w:rFonts w:hint="eastAsia" w:ascii="宋体" w:hAnsi="宋体" w:eastAsia="宋体" w:cs="宋体"/>
                <w:b/>
                <w:color w:val="000000"/>
                <w:sz w:val="24"/>
                <w:lang w:bidi="ar"/>
              </w:rPr>
              <w:t>国家级富硒产业发展示范区建设：</w:t>
            </w:r>
            <w:r>
              <w:rPr>
                <w:rFonts w:hint="eastAsia" w:ascii="宋体" w:hAnsi="宋体" w:eastAsia="宋体" w:cs="宋体"/>
                <w:color w:val="000000"/>
                <w:sz w:val="24"/>
                <w:lang w:bidi="ar"/>
              </w:rPr>
              <w:t>实施《安康市国家级特色（富硒）高效农业院地合作示范区总体规划》，围绕畜产（生猪）、茶饮、林果（核桃）、魔芋、饮用水、粮油、蔬菜、食用菌、蚕桑等主导产业，重点建设“一核、九大试验点、九大示范园、九大基地</w:t>
            </w:r>
            <w:r>
              <w:rPr>
                <w:rFonts w:hint="eastAsia" w:ascii="宋体" w:hAnsi="宋体" w:eastAsia="宋体" w:cs="宋体"/>
                <w:color w:val="000000"/>
                <w:sz w:val="24"/>
                <w:lang w:eastAsia="zh-CN" w:bidi="ar"/>
              </w:rPr>
              <w:t>、</w:t>
            </w:r>
            <w:r>
              <w:rPr>
                <w:rFonts w:hint="eastAsia" w:ascii="宋体" w:hAnsi="宋体" w:eastAsia="宋体" w:cs="宋体"/>
                <w:color w:val="000000"/>
                <w:sz w:val="24"/>
                <w:lang w:bidi="ar"/>
              </w:rPr>
              <w:t>九大重点产业”。</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82" w:firstLineChars="200"/>
              <w:jc w:val="both"/>
              <w:textAlignment w:val="auto"/>
              <w:outlineLvl w:val="9"/>
              <w:rPr>
                <w:rFonts w:hint="eastAsia" w:ascii="宋体" w:hAnsi="宋体" w:eastAsia="宋体" w:cs="宋体"/>
                <w:color w:val="000000"/>
                <w:sz w:val="24"/>
                <w:lang w:bidi="ar"/>
              </w:rPr>
            </w:pPr>
            <w:r>
              <w:rPr>
                <w:rFonts w:hint="eastAsia" w:ascii="宋体" w:hAnsi="宋体" w:eastAsia="宋体" w:cs="宋体"/>
                <w:b/>
                <w:color w:val="000000"/>
                <w:sz w:val="24"/>
                <w:lang w:bidi="ar"/>
              </w:rPr>
              <w:t>“一院一园一会一联盟一平台”建设：</w:t>
            </w:r>
            <w:r>
              <w:rPr>
                <w:rFonts w:hint="eastAsia" w:ascii="宋体" w:hAnsi="宋体" w:eastAsia="宋体" w:cs="宋体"/>
                <w:color w:val="000000"/>
                <w:sz w:val="24"/>
                <w:lang w:bidi="ar"/>
              </w:rPr>
              <w:t>中国富硒产业研究院、安康富硒食品产业园、安康生态富硒产品交易博览会、</w:t>
            </w:r>
            <w:r>
              <w:rPr>
                <w:rFonts w:hint="eastAsia" w:ascii="宋体" w:hAnsi="宋体" w:eastAsia="宋体" w:cs="宋体"/>
                <w:color w:val="000000"/>
                <w:sz w:val="24"/>
                <w:lang w:bidi="ar"/>
              </w:rPr>
              <w:fldChar w:fldCharType="begin"/>
            </w:r>
            <w:r>
              <w:rPr>
                <w:rFonts w:hint="eastAsia" w:ascii="宋体" w:hAnsi="宋体" w:eastAsia="宋体" w:cs="宋体"/>
                <w:color w:val="000000"/>
                <w:sz w:val="24"/>
                <w:lang w:bidi="ar"/>
              </w:rPr>
              <w:instrText xml:space="preserve"> HYPERLINK "http://www.baidu.com/link?url=8JEx6J8tQPQ87oMAM8oFRrw02otWtvMRRZ5o6J6u7mm3hFR4b_jhag3FiylhmpO22badSkNXD_5QCdgVeX46yIn9hZHFarvqasIoybrIriK" </w:instrText>
            </w:r>
            <w:r>
              <w:rPr>
                <w:rFonts w:hint="eastAsia" w:ascii="宋体" w:hAnsi="宋体" w:eastAsia="宋体" w:cs="宋体"/>
                <w:color w:val="000000"/>
                <w:sz w:val="24"/>
                <w:lang w:bidi="ar"/>
              </w:rPr>
              <w:fldChar w:fldCharType="separate"/>
            </w:r>
            <w:r>
              <w:rPr>
                <w:rFonts w:hint="eastAsia" w:ascii="宋体" w:hAnsi="宋体" w:eastAsia="宋体" w:cs="宋体"/>
                <w:color w:val="000000"/>
                <w:sz w:val="24"/>
                <w:lang w:bidi="ar"/>
              </w:rPr>
              <w:t>中国富硒农业产学研联盟</w:t>
            </w:r>
            <w:r>
              <w:rPr>
                <w:rFonts w:hint="eastAsia" w:ascii="宋体" w:hAnsi="宋体" w:eastAsia="宋体" w:cs="宋体"/>
                <w:color w:val="000000"/>
                <w:sz w:val="24"/>
                <w:lang w:bidi="ar"/>
              </w:rPr>
              <w:fldChar w:fldCharType="end"/>
            </w:r>
            <w:r>
              <w:rPr>
                <w:rFonts w:hint="eastAsia" w:ascii="宋体" w:hAnsi="宋体" w:eastAsia="宋体" w:cs="宋体"/>
                <w:color w:val="000000"/>
                <w:sz w:val="24"/>
                <w:lang w:bidi="ar"/>
              </w:rPr>
              <w:t>、</w:t>
            </w:r>
            <w:r>
              <w:rPr>
                <w:rFonts w:ascii="宋体" w:hAnsi="宋体" w:eastAsia="宋体" w:cs="宋体"/>
                <w:color w:val="000000"/>
                <w:sz w:val="24"/>
                <w:lang w:bidi="ar"/>
              </w:rPr>
              <w:t>“</w:t>
            </w:r>
            <w:r>
              <w:rPr>
                <w:rFonts w:hint="eastAsia" w:ascii="宋体" w:hAnsi="宋体" w:eastAsia="宋体" w:cs="宋体"/>
                <w:color w:val="000000"/>
                <w:sz w:val="24"/>
                <w:lang w:bidi="ar"/>
              </w:rPr>
              <w:t>中国硒谷</w:t>
            </w:r>
            <w:r>
              <w:rPr>
                <w:rFonts w:ascii="宋体" w:hAnsi="宋体" w:eastAsia="宋体" w:cs="宋体"/>
                <w:color w:val="000000"/>
                <w:sz w:val="24"/>
                <w:lang w:bidi="ar"/>
              </w:rPr>
              <w:t>”</w:t>
            </w:r>
            <w:r>
              <w:rPr>
                <w:rFonts w:hint="eastAsia" w:ascii="宋体" w:hAnsi="宋体" w:eastAsia="宋体" w:cs="宋体"/>
                <w:color w:val="000000"/>
                <w:sz w:val="24"/>
                <w:lang w:bidi="ar"/>
              </w:rPr>
              <w:t>云服务平台。</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82" w:firstLineChars="200"/>
              <w:jc w:val="both"/>
              <w:textAlignment w:val="auto"/>
              <w:outlineLvl w:val="9"/>
              <w:rPr>
                <w:rFonts w:hint="eastAsia" w:ascii="宋体" w:hAnsi="宋体" w:eastAsia="宋体" w:cs="宋体"/>
                <w:color w:val="000000"/>
                <w:sz w:val="24"/>
              </w:rPr>
            </w:pPr>
            <w:r>
              <w:rPr>
                <w:rFonts w:hint="eastAsia" w:ascii="宋体" w:hAnsi="宋体" w:eastAsia="宋体" w:cs="宋体"/>
                <w:b/>
                <w:color w:val="000000"/>
                <w:sz w:val="24"/>
                <w:lang w:bidi="ar"/>
              </w:rPr>
              <w:t>富硒循环农业示范工程：</w:t>
            </w:r>
            <w:r>
              <w:rPr>
                <w:rFonts w:hint="eastAsia" w:ascii="宋体" w:hAnsi="宋体" w:eastAsia="宋体" w:cs="宋体"/>
                <w:color w:val="000000"/>
                <w:sz w:val="24"/>
                <w:lang w:bidi="ar"/>
              </w:rPr>
              <w:t>实施“一县十镇百园”示范工程，建设200个生态富硒循环经济精品产业园。</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82" w:firstLineChars="200"/>
              <w:jc w:val="both"/>
              <w:textAlignment w:val="auto"/>
              <w:outlineLvl w:val="9"/>
              <w:rPr>
                <w:rFonts w:hint="eastAsia" w:ascii="宋体" w:hAnsi="宋体" w:eastAsia="宋体" w:cs="宋体"/>
                <w:color w:val="000000"/>
                <w:sz w:val="24"/>
              </w:rPr>
            </w:pPr>
            <w:r>
              <w:rPr>
                <w:rFonts w:hint="eastAsia" w:ascii="宋体" w:hAnsi="宋体" w:eastAsia="宋体" w:cs="宋体"/>
                <w:b/>
                <w:color w:val="000000"/>
                <w:sz w:val="24"/>
                <w:lang w:bidi="ar"/>
              </w:rPr>
              <w:t>“四大调查评价”工程：</w:t>
            </w:r>
            <w:r>
              <w:rPr>
                <w:rFonts w:hint="eastAsia" w:ascii="宋体" w:hAnsi="宋体" w:eastAsia="宋体" w:cs="宋体"/>
                <w:color w:val="000000"/>
                <w:sz w:val="24"/>
                <w:lang w:bidi="ar"/>
              </w:rPr>
              <w:t>硒矿和富硒矿泉水资源调查与评价、富硒土地资源调查与评价、富硒生态旅游资源调查与评价、富硒特产与农业生物资源调查与评价。</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left"/>
              <w:textAlignment w:val="auto"/>
              <w:rPr>
                <w:rFonts w:hint="eastAsia" w:ascii="黑体" w:hAnsi="黑体" w:eastAsia="黑体" w:cs="黑体"/>
                <w:snapToGrid w:val="0"/>
                <w:color w:val="000000"/>
                <w:kern w:val="0"/>
                <w:sz w:val="28"/>
                <w:szCs w:val="28"/>
                <w:vertAlign w:val="baseline"/>
              </w:rPr>
            </w:pPr>
            <w:r>
              <w:rPr>
                <w:rFonts w:hint="eastAsia" w:ascii="宋体" w:hAnsi="宋体" w:eastAsia="宋体" w:cs="宋体"/>
                <w:b/>
                <w:color w:val="000000"/>
                <w:sz w:val="24"/>
                <w:lang w:val="en-US" w:eastAsia="zh-CN" w:bidi="ar"/>
              </w:rPr>
              <w:t xml:space="preserve">    </w:t>
            </w:r>
            <w:r>
              <w:rPr>
                <w:rFonts w:hint="eastAsia" w:ascii="宋体" w:hAnsi="宋体" w:eastAsia="宋体" w:cs="宋体"/>
                <w:b/>
                <w:color w:val="000000"/>
                <w:sz w:val="24"/>
                <w:lang w:bidi="ar"/>
              </w:rPr>
              <w:t>富硒食品产业发展重点工程：</w:t>
            </w:r>
            <w:r>
              <w:rPr>
                <w:rFonts w:hint="eastAsia" w:ascii="宋体" w:hAnsi="宋体" w:eastAsia="宋体" w:cs="宋体"/>
                <w:color w:val="000000"/>
                <w:sz w:val="24"/>
                <w:lang w:bidi="ar"/>
              </w:rPr>
              <w:t>实施富硒茶产业提升创新工程，加快建设富硒食品产业园、产业基地，集中打造一批富硒果蔬、肉类、粮油、饮品等龙头企业。</w:t>
            </w:r>
          </w:p>
        </w:tc>
      </w:tr>
    </w:tbl>
    <w:p>
      <w:pPr>
        <w:spacing w:line="560" w:lineRule="exact"/>
        <w:jc w:val="center"/>
        <w:rPr>
          <w:rFonts w:hint="eastAsia" w:ascii="黑体" w:hAnsi="黑体" w:eastAsia="黑体" w:cs="黑体"/>
          <w:snapToGrid w:val="0"/>
          <w:color w:val="000000"/>
          <w:kern w:val="0"/>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二、巩固</w:t>
      </w:r>
      <w:r>
        <w:rPr>
          <w:rFonts w:hint="eastAsia" w:ascii="仿宋_GB2312" w:hAnsi="宋体" w:eastAsia="仿宋_GB2312" w:cs="宋体"/>
          <w:b/>
          <w:bCs/>
          <w:color w:val="000000"/>
          <w:kern w:val="0"/>
          <w:sz w:val="32"/>
          <w:szCs w:val="32"/>
          <w:lang w:eastAsia="zh-CN"/>
        </w:rPr>
        <w:t>提升</w:t>
      </w:r>
      <w:r>
        <w:rPr>
          <w:rFonts w:hint="eastAsia" w:ascii="仿宋_GB2312" w:hAnsi="宋体" w:eastAsia="仿宋_GB2312" w:cs="宋体"/>
          <w:b/>
          <w:bCs/>
          <w:color w:val="000000"/>
          <w:kern w:val="0"/>
          <w:sz w:val="32"/>
          <w:szCs w:val="32"/>
        </w:rPr>
        <w:t>支柱产业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cs="仿宋_GB2312"/>
          <w:color w:val="000000"/>
          <w:kern w:val="0"/>
          <w:sz w:val="32"/>
          <w:szCs w:val="32"/>
          <w:lang w:bidi="ar"/>
        </w:rPr>
      </w:pPr>
      <w:r>
        <w:rPr>
          <w:rFonts w:hint="eastAsia" w:ascii="仿宋_GB2312" w:eastAsia="仿宋_GB2312" w:cs="仿宋_GB2312"/>
          <w:color w:val="000000"/>
          <w:kern w:val="0"/>
          <w:sz w:val="32"/>
          <w:szCs w:val="32"/>
          <w:lang w:bidi="ar"/>
        </w:rPr>
        <w:t>坚持创新引领、特色发展、重点突破、项目支撑，突破研发、品牌和供应链管理等制约产业结构升级的关键环节，加快改造提升新型材料、装备制造、清洁能源、生物医药、安康丝绸等支柱产业。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eastAsia="仿宋_GB2312"/>
          <w:color w:val="000000"/>
          <w:kern w:val="0"/>
          <w:sz w:val="32"/>
          <w:szCs w:val="32"/>
        </w:rPr>
      </w:pPr>
      <w:r>
        <w:rPr>
          <w:rFonts w:hint="eastAsia" w:ascii="仿宋_GB2312" w:eastAsia="仿宋_GB2312" w:cs="仿宋_GB2312"/>
          <w:b/>
          <w:color w:val="000000"/>
          <w:kern w:val="0"/>
          <w:sz w:val="32"/>
          <w:szCs w:val="32"/>
          <w:lang w:bidi="ar"/>
        </w:rPr>
        <w:t>新型材料。</w:t>
      </w:r>
      <w:r>
        <w:rPr>
          <w:rFonts w:hint="eastAsia" w:ascii="仿宋_GB2312" w:eastAsia="仿宋_GB2312" w:cs="仿宋_GB2312"/>
          <w:color w:val="000000"/>
          <w:kern w:val="0"/>
          <w:sz w:val="32"/>
          <w:szCs w:val="32"/>
          <w:lang w:bidi="ar"/>
        </w:rPr>
        <w:t>坚持资源整合、科技支撑、园区承载、龙头引领、生态环保，做大做强龙头企业，做长做深产业链条，做精做专产业集群，培育千亿元级产业链。</w:t>
      </w:r>
      <w:r>
        <w:rPr>
          <w:rFonts w:hint="eastAsia" w:ascii="仿宋_GB2312" w:eastAsia="仿宋_GB2312"/>
          <w:color w:val="000000"/>
          <w:sz w:val="32"/>
          <w:szCs w:val="32"/>
        </w:rPr>
        <w:t>紧跟新材料技术与产业发展趋势，以铅、锌、铜、钒、钛、锰等</w:t>
      </w:r>
      <w:r>
        <w:rPr>
          <w:rFonts w:hint="eastAsia" w:ascii="仿宋_GB2312" w:eastAsia="仿宋_GB2312"/>
          <w:color w:val="000000"/>
          <w:sz w:val="32"/>
          <w:szCs w:val="32"/>
          <w:lang w:eastAsia="zh-CN"/>
        </w:rPr>
        <w:t>金属</w:t>
      </w:r>
      <w:r>
        <w:rPr>
          <w:rFonts w:hint="eastAsia" w:ascii="仿宋_GB2312" w:eastAsia="仿宋_GB2312"/>
          <w:color w:val="000000"/>
          <w:sz w:val="32"/>
          <w:szCs w:val="32"/>
        </w:rPr>
        <w:t>资源为依托，优先发展金属新材料产业，以重晶石、毒重石、石墨、绢云母、石材等</w:t>
      </w:r>
      <w:r>
        <w:rPr>
          <w:rFonts w:hint="eastAsia" w:ascii="仿宋_GB2312" w:eastAsia="仿宋_GB2312"/>
          <w:color w:val="000000"/>
          <w:sz w:val="32"/>
          <w:szCs w:val="32"/>
          <w:lang w:eastAsia="zh-CN"/>
        </w:rPr>
        <w:t>非金属</w:t>
      </w:r>
      <w:r>
        <w:rPr>
          <w:rFonts w:hint="eastAsia" w:ascii="仿宋_GB2312" w:eastAsia="仿宋_GB2312"/>
          <w:color w:val="000000"/>
          <w:sz w:val="32"/>
          <w:szCs w:val="32"/>
        </w:rPr>
        <w:t>资源为依托，加快发展非金属新材料产业和新型建筑材料产业。</w:t>
      </w:r>
      <w:r>
        <w:rPr>
          <w:rFonts w:hint="eastAsia" w:ascii="仿宋_GB2312" w:eastAsia="仿宋_GB2312" w:cs="仿宋_GB2312"/>
          <w:color w:val="000000"/>
          <w:kern w:val="0"/>
          <w:sz w:val="32"/>
          <w:szCs w:val="32"/>
          <w:lang w:bidi="ar"/>
        </w:rPr>
        <w:t>重点支持旬阳硅镁材料产业园和铜业基地、平利重晶石循环产业基地以及汉滨、紫阳石煤型钒矿综合利用等项目建设</w:t>
      </w:r>
      <w:r>
        <w:rPr>
          <w:rFonts w:hint="eastAsia" w:ascii="仿宋_GB2312" w:eastAsia="仿宋_GB2312" w:cs="仿宋_GB2312"/>
          <w:color w:val="000000"/>
          <w:kern w:val="0"/>
          <w:sz w:val="32"/>
          <w:szCs w:val="32"/>
          <w:lang w:eastAsia="zh-CN" w:bidi="ar"/>
        </w:rPr>
        <w:t>。</w:t>
      </w:r>
      <w:r>
        <w:rPr>
          <w:rFonts w:hint="eastAsia" w:ascii="仿宋_GB2312" w:eastAsia="仿宋_GB2312" w:cs="仿宋_GB2312"/>
          <w:color w:val="000000"/>
          <w:kern w:val="0"/>
          <w:sz w:val="32"/>
          <w:szCs w:val="32"/>
          <w:lang w:bidi="ar"/>
        </w:rPr>
        <w:t>到2020年实现产值900亿元。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eastAsia="仿宋_GB2312"/>
          <w:color w:val="000000"/>
          <w:sz w:val="32"/>
          <w:szCs w:val="32"/>
        </w:rPr>
      </w:pPr>
      <w:bookmarkStart w:id="18" w:name="_Toc432367818"/>
      <w:r>
        <w:rPr>
          <w:rFonts w:hint="eastAsia" w:ascii="仿宋_GB2312" w:eastAsia="仿宋_GB2312"/>
          <w:b/>
          <w:color w:val="000000"/>
          <w:sz w:val="32"/>
          <w:szCs w:val="32"/>
        </w:rPr>
        <w:t>装备制造</w:t>
      </w:r>
      <w:bookmarkEnd w:id="18"/>
      <w:r>
        <w:rPr>
          <w:rFonts w:hint="eastAsia" w:ascii="仿宋_GB2312" w:eastAsia="仿宋_GB2312"/>
          <w:b/>
          <w:color w:val="000000"/>
          <w:sz w:val="32"/>
          <w:szCs w:val="32"/>
        </w:rPr>
        <w:t>。</w:t>
      </w:r>
      <w:r>
        <w:rPr>
          <w:rFonts w:hint="eastAsia" w:ascii="仿宋_GB2312" w:eastAsia="仿宋_GB2312"/>
          <w:color w:val="000000"/>
          <w:sz w:val="32"/>
          <w:szCs w:val="32"/>
        </w:rPr>
        <w:t>紧跟“工业4.0”发展趋势，抢抓“中国制造2025”和“千亿陕汽”战略契机，依托毗邻汽车发展重点城市的区位条件，主攻专用汽车研发及汽车关键零部件生产，支持南水汽配、旬阳宝通、白河神达和俊达等骨干企业发展壮大，积极发展基础制造装备和节能环保装备，加快培育增材制造（3D打印）、无人机、工业机器人、智能物流设备等高端智能制造装备。依托互联网，加快发展基于互联网的新型制造模式，推进生产的智能化，培育智能制造产业</w:t>
      </w:r>
      <w:r>
        <w:rPr>
          <w:rFonts w:hint="eastAsia" w:ascii="仿宋_GB2312" w:eastAsia="仿宋_GB2312"/>
          <w:color w:val="000000"/>
          <w:sz w:val="32"/>
          <w:szCs w:val="32"/>
          <w:lang w:eastAsia="zh-CN"/>
        </w:rPr>
        <w:t>。</w:t>
      </w:r>
      <w:r>
        <w:rPr>
          <w:rFonts w:hint="eastAsia" w:ascii="仿宋_GB2312" w:eastAsia="仿宋_GB2312"/>
          <w:color w:val="000000"/>
          <w:sz w:val="32"/>
          <w:szCs w:val="32"/>
        </w:rPr>
        <w:t>到2020年</w:t>
      </w:r>
      <w:r>
        <w:rPr>
          <w:rFonts w:hint="eastAsia" w:ascii="仿宋_GB2312" w:eastAsia="仿宋_GB2312"/>
          <w:color w:val="000000"/>
          <w:sz w:val="32"/>
          <w:szCs w:val="32"/>
          <w:lang w:eastAsia="zh-CN"/>
        </w:rPr>
        <w:t>实现产值</w:t>
      </w:r>
      <w:r>
        <w:rPr>
          <w:rFonts w:hint="eastAsia" w:ascii="仿宋_GB2312" w:eastAsia="仿宋_GB2312"/>
          <w:color w:val="000000"/>
          <w:sz w:val="32"/>
          <w:szCs w:val="32"/>
        </w:rPr>
        <w:t>200亿元。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eastAsia="仿宋_GB2312" w:cs="仿宋_GB2312"/>
          <w:color w:val="000000"/>
          <w:kern w:val="0"/>
          <w:sz w:val="32"/>
          <w:szCs w:val="32"/>
        </w:rPr>
      </w:pPr>
      <w:r>
        <w:rPr>
          <w:rFonts w:hint="eastAsia" w:ascii="仿宋_GB2312" w:eastAsia="仿宋_GB2312" w:cs="仿宋_GB2312"/>
          <w:b/>
          <w:color w:val="000000"/>
          <w:kern w:val="0"/>
          <w:sz w:val="32"/>
          <w:szCs w:val="32"/>
          <w:lang w:bidi="ar"/>
        </w:rPr>
        <w:t>清洁能源。</w:t>
      </w:r>
      <w:r>
        <w:rPr>
          <w:rFonts w:hint="eastAsia" w:ascii="仿宋_GB2312" w:eastAsia="仿宋_GB2312" w:cs="仿宋_GB2312"/>
          <w:color w:val="000000"/>
          <w:kern w:val="0"/>
          <w:sz w:val="32"/>
          <w:szCs w:val="32"/>
          <w:lang w:bidi="ar"/>
        </w:rPr>
        <w:t>建成旬阳水电站、白河水电站，完成汉江支流在建梯级水电开发，严格控制新上水电开发项目。建成华电安康火电厂。谋划建设抽水蓄能电站，</w:t>
      </w:r>
      <w:r>
        <w:rPr>
          <w:rFonts w:hint="eastAsia" w:ascii="仿宋_GB2312" w:eastAsia="仿宋_GB2312" w:cs="仿宋_GB2312"/>
          <w:color w:val="000000"/>
          <w:kern w:val="0"/>
          <w:sz w:val="32"/>
          <w:szCs w:val="32"/>
          <w:lang w:eastAsia="zh-CN" w:bidi="ar"/>
        </w:rPr>
        <w:t>跟踪</w:t>
      </w:r>
      <w:r>
        <w:rPr>
          <w:rFonts w:hint="eastAsia" w:ascii="仿宋_GB2312" w:eastAsia="仿宋_GB2312" w:cs="仿宋_GB2312"/>
          <w:color w:val="000000"/>
          <w:kern w:val="0"/>
          <w:sz w:val="32"/>
          <w:szCs w:val="32"/>
          <w:lang w:bidi="ar"/>
        </w:rPr>
        <w:t>推进安康核电站项目前期工作。积极发展生物质能、</w:t>
      </w:r>
      <w:r>
        <w:rPr>
          <w:rFonts w:hint="eastAsia" w:ascii="仿宋_GB2312" w:eastAsia="仿宋_GB2312" w:cs="仿宋_GB2312"/>
          <w:color w:val="000000"/>
          <w:kern w:val="0"/>
          <w:sz w:val="32"/>
          <w:szCs w:val="32"/>
          <w:lang w:eastAsia="zh-CN" w:bidi="ar"/>
        </w:rPr>
        <w:t>沼气、</w:t>
      </w:r>
      <w:r>
        <w:rPr>
          <w:rFonts w:hint="eastAsia" w:ascii="仿宋_GB2312" w:eastAsia="仿宋_GB2312" w:cs="仿宋_GB2312"/>
          <w:color w:val="000000"/>
          <w:kern w:val="0"/>
          <w:sz w:val="32"/>
          <w:szCs w:val="32"/>
          <w:lang w:bidi="ar"/>
        </w:rPr>
        <w:t>太阳能光伏和风能发电，大力推广可再生能源利用技术和垃圾焚烧发电技术应用，综合利用工业企业余热发电</w:t>
      </w:r>
      <w:r>
        <w:rPr>
          <w:rFonts w:hint="eastAsia" w:ascii="仿宋_GB2312" w:eastAsia="仿宋_GB2312" w:cs="仿宋_GB2312"/>
          <w:color w:val="000000"/>
          <w:kern w:val="0"/>
          <w:sz w:val="32"/>
          <w:szCs w:val="32"/>
          <w:lang w:eastAsia="zh-CN" w:bidi="ar"/>
        </w:rPr>
        <w:t>。</w:t>
      </w:r>
      <w:r>
        <w:rPr>
          <w:rFonts w:hint="eastAsia" w:ascii="仿宋_GB2312" w:eastAsia="仿宋_GB2312" w:cs="仿宋_GB2312"/>
          <w:color w:val="000000"/>
          <w:kern w:val="0"/>
          <w:sz w:val="32"/>
          <w:szCs w:val="32"/>
          <w:lang w:bidi="ar"/>
        </w:rPr>
        <w:t>到2020年实现产值100亿元。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eastAsia="仿宋_GB2312" w:cs="仿宋_GB2312"/>
          <w:color w:val="000000"/>
          <w:kern w:val="0"/>
          <w:sz w:val="32"/>
          <w:szCs w:val="32"/>
          <w:lang w:bidi="ar"/>
        </w:rPr>
      </w:pPr>
      <w:r>
        <w:rPr>
          <w:rFonts w:hint="eastAsia" w:ascii="仿宋_GB2312" w:eastAsia="仿宋_GB2312" w:cs="仿宋_GB2312"/>
          <w:b/>
          <w:color w:val="000000"/>
          <w:kern w:val="0"/>
          <w:sz w:val="32"/>
          <w:szCs w:val="32"/>
          <w:lang w:bidi="ar"/>
        </w:rPr>
        <w:t>生物医药。</w:t>
      </w:r>
      <w:r>
        <w:rPr>
          <w:rFonts w:hint="eastAsia" w:ascii="仿宋_GB2312" w:eastAsia="仿宋_GB2312" w:cs="仿宋_GB2312"/>
          <w:color w:val="000000"/>
          <w:kern w:val="0"/>
          <w:sz w:val="32"/>
          <w:szCs w:val="32"/>
          <w:lang w:bidi="ar"/>
        </w:rPr>
        <w:t>积极引进大型医药企业集团，改造嫁接现有医药生产企业，加快生物医药产业转型升级。</w:t>
      </w:r>
      <w:r>
        <w:rPr>
          <w:rFonts w:hint="eastAsia" w:ascii="仿宋_GB2312" w:hAnsi="宋体" w:eastAsia="仿宋_GB2312" w:cs="宋体"/>
          <w:color w:val="000000"/>
          <w:kern w:val="0"/>
          <w:sz w:val="32"/>
          <w:szCs w:val="32"/>
        </w:rPr>
        <w:t>依托安康北医大、正大等龙头企业的科研、生产优势，</w:t>
      </w:r>
      <w:r>
        <w:rPr>
          <w:rFonts w:hint="eastAsia" w:ascii="仿宋_GB2312" w:hAnsi="仿宋_GB2312" w:eastAsia="仿宋_GB2312" w:cs="仿宋_GB2312"/>
          <w:sz w:val="32"/>
          <w:szCs w:val="32"/>
        </w:rPr>
        <w:t>强化中药材基地和物流中心建设</w:t>
      </w:r>
      <w:r>
        <w:rPr>
          <w:rFonts w:hint="eastAsia" w:ascii="仿宋_GB2312" w:eastAsia="仿宋_GB2312" w:cs="仿宋_GB2312"/>
          <w:color w:val="000000"/>
          <w:kern w:val="0"/>
          <w:sz w:val="32"/>
          <w:szCs w:val="32"/>
          <w:lang w:bidi="ar"/>
        </w:rPr>
        <w:t>，提升成药生产、转型黄姜皂素、做精植物提取、壮大中药饮片</w:t>
      </w:r>
      <w:r>
        <w:rPr>
          <w:rFonts w:hint="eastAsia" w:ascii="仿宋_GB2312" w:hAnsi="宋体" w:eastAsia="仿宋_GB2312" w:cs="宋体"/>
          <w:color w:val="000000"/>
          <w:kern w:val="0"/>
          <w:sz w:val="32"/>
          <w:szCs w:val="32"/>
        </w:rPr>
        <w:t>，着力打造高新生物医药产业园、旬阳秦巴中医药产业园，</w:t>
      </w:r>
      <w:r>
        <w:rPr>
          <w:rFonts w:hint="eastAsia" w:ascii="仿宋_GB2312" w:eastAsia="仿宋_GB2312" w:cs="仿宋_GB2312"/>
          <w:color w:val="000000"/>
          <w:kern w:val="0"/>
          <w:sz w:val="32"/>
          <w:szCs w:val="32"/>
          <w:lang w:bidi="ar"/>
        </w:rPr>
        <w:t>做大“秦巴医药”品牌</w:t>
      </w:r>
      <w:r>
        <w:rPr>
          <w:rFonts w:hint="eastAsia" w:ascii="仿宋_GB2312" w:eastAsia="仿宋_GB2312" w:cs="仿宋_GB2312"/>
          <w:color w:val="000000"/>
          <w:kern w:val="0"/>
          <w:sz w:val="32"/>
          <w:szCs w:val="32"/>
          <w:lang w:eastAsia="zh-CN" w:bidi="ar"/>
        </w:rPr>
        <w:t>。</w:t>
      </w:r>
      <w:r>
        <w:rPr>
          <w:rFonts w:hint="eastAsia" w:ascii="仿宋_GB2312" w:eastAsia="仿宋_GB2312" w:cs="仿宋_GB2312"/>
          <w:color w:val="000000"/>
          <w:kern w:val="0"/>
          <w:sz w:val="32"/>
          <w:szCs w:val="32"/>
          <w:lang w:bidi="ar"/>
        </w:rPr>
        <w:t>到2020年实现产值100亿元。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eastAsia="仿宋_GB2312" w:cs="仿宋_GB2312"/>
          <w:color w:val="000000"/>
          <w:kern w:val="0"/>
          <w:sz w:val="32"/>
          <w:szCs w:val="32"/>
          <w:lang w:bidi="ar"/>
        </w:rPr>
      </w:pPr>
      <w:r>
        <w:rPr>
          <w:rFonts w:hint="eastAsia" w:ascii="仿宋_GB2312" w:eastAsia="仿宋_GB2312" w:cs="仿宋_GB2312"/>
          <w:b/>
          <w:color w:val="000000"/>
          <w:kern w:val="0"/>
          <w:sz w:val="32"/>
          <w:szCs w:val="32"/>
          <w:lang w:eastAsia="zh-CN" w:bidi="ar"/>
        </w:rPr>
        <w:t>安康</w:t>
      </w:r>
      <w:r>
        <w:rPr>
          <w:rFonts w:hint="eastAsia" w:ascii="仿宋_GB2312" w:eastAsia="仿宋_GB2312" w:cs="仿宋_GB2312"/>
          <w:b/>
          <w:color w:val="000000"/>
          <w:kern w:val="0"/>
          <w:sz w:val="32"/>
          <w:szCs w:val="32"/>
          <w:lang w:bidi="ar"/>
        </w:rPr>
        <w:t>丝绸。</w:t>
      </w:r>
      <w:r>
        <w:rPr>
          <w:rFonts w:hint="eastAsia" w:ascii="仿宋_GB2312" w:eastAsia="仿宋_GB2312" w:cs="仿宋_GB2312"/>
          <w:color w:val="000000"/>
          <w:kern w:val="0"/>
          <w:sz w:val="32"/>
          <w:szCs w:val="32"/>
          <w:lang w:bidi="ar"/>
        </w:rPr>
        <w:t>围绕茧丝综合加工和丝绸服装精深加工，研制开发蚕丝被、真丝针织以及织绸、成衣、混纺、精纺等后续加工产品，提高蚕桑资源综合利用水平。促进蚕桑丝绸产业与旅游产业有机融合，</w:t>
      </w:r>
      <w:r>
        <w:rPr>
          <w:rFonts w:hint="eastAsia" w:ascii="仿宋_GB2312" w:eastAsia="仿宋_GB2312" w:cs="仿宋_GB2312"/>
          <w:color w:val="000000"/>
          <w:kern w:val="0"/>
          <w:sz w:val="32"/>
          <w:szCs w:val="32"/>
          <w:lang w:eastAsia="zh-CN" w:bidi="ar"/>
        </w:rPr>
        <w:t>大力</w:t>
      </w:r>
      <w:r>
        <w:rPr>
          <w:rFonts w:hint="eastAsia" w:ascii="仿宋_GB2312" w:eastAsia="仿宋_GB2312" w:cs="仿宋_GB2312"/>
          <w:color w:val="000000"/>
          <w:kern w:val="0"/>
          <w:sz w:val="32"/>
          <w:szCs w:val="32"/>
          <w:lang w:bidi="ar"/>
        </w:rPr>
        <w:t>开发丝绸文化旅游产品</w:t>
      </w:r>
      <w:r>
        <w:rPr>
          <w:rFonts w:hint="eastAsia" w:ascii="仿宋_GB2312" w:eastAsia="仿宋_GB2312" w:cs="仿宋_GB2312"/>
          <w:color w:val="000000"/>
          <w:kern w:val="0"/>
          <w:sz w:val="32"/>
          <w:szCs w:val="32"/>
          <w:lang w:eastAsia="zh-CN" w:bidi="ar"/>
        </w:rPr>
        <w:t>。</w:t>
      </w:r>
      <w:r>
        <w:rPr>
          <w:rFonts w:hint="eastAsia" w:ascii="仿宋_GB2312" w:eastAsia="仿宋_GB2312" w:cs="仿宋_GB2312"/>
          <w:color w:val="000000"/>
          <w:kern w:val="0"/>
          <w:sz w:val="32"/>
          <w:szCs w:val="32"/>
          <w:lang w:bidi="ar"/>
        </w:rPr>
        <w:t>到2020年实现产值30亿元。</w:t>
      </w:r>
    </w:p>
    <w:p>
      <w:pPr>
        <w:spacing w:line="560" w:lineRule="exact"/>
        <w:jc w:val="center"/>
        <w:rPr>
          <w:rFonts w:hint="eastAsia" w:ascii="黑体" w:hAnsi="黑体" w:eastAsia="黑体" w:cs="黑体"/>
          <w:snapToGrid w:val="0"/>
          <w:color w:val="000000"/>
          <w:kern w:val="0"/>
          <w:sz w:val="28"/>
          <w:szCs w:val="28"/>
          <w:lang w:val="en-US" w:eastAsia="zh-CN"/>
        </w:rPr>
      </w:pPr>
      <w:r>
        <w:rPr>
          <w:rFonts w:hint="eastAsia" w:ascii="黑体" w:hAnsi="黑体" w:eastAsia="黑体" w:cs="黑体"/>
          <w:snapToGrid w:val="0"/>
          <w:color w:val="000000"/>
          <w:kern w:val="0"/>
          <w:sz w:val="28"/>
          <w:szCs w:val="28"/>
          <w:lang w:eastAsia="zh-CN"/>
        </w:rPr>
        <w:t>专栏</w:t>
      </w:r>
      <w:r>
        <w:rPr>
          <w:rFonts w:hint="eastAsia" w:ascii="黑体" w:hAnsi="黑体" w:eastAsia="黑体" w:cs="黑体"/>
          <w:snapToGrid w:val="0"/>
          <w:color w:val="000000"/>
          <w:kern w:val="0"/>
          <w:sz w:val="28"/>
          <w:szCs w:val="28"/>
          <w:lang w:val="en-US" w:eastAsia="zh-CN"/>
        </w:rPr>
        <w:t>2  主导产业重点工程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004"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82" w:firstLineChars="200"/>
              <w:jc w:val="both"/>
              <w:textAlignment w:val="auto"/>
              <w:outlineLvl w:val="9"/>
              <w:rPr>
                <w:rFonts w:hint="eastAsia" w:ascii="宋体" w:hAnsi="宋体" w:eastAsia="宋体" w:cs="宋体"/>
                <w:color w:val="000000"/>
                <w:sz w:val="24"/>
                <w:lang w:bidi="ar"/>
              </w:rPr>
            </w:pPr>
            <w:r>
              <w:rPr>
                <w:rFonts w:hint="eastAsia" w:ascii="宋体" w:hAnsi="宋体" w:eastAsia="宋体" w:cs="宋体"/>
                <w:b/>
                <w:color w:val="000000"/>
                <w:sz w:val="24"/>
                <w:lang w:bidi="ar"/>
              </w:rPr>
              <w:t>新型材料：</w:t>
            </w:r>
            <w:r>
              <w:rPr>
                <w:rFonts w:hint="eastAsia" w:ascii="宋体" w:hAnsi="宋体" w:eastAsia="宋体" w:cs="宋体"/>
                <w:color w:val="000000"/>
                <w:sz w:val="24"/>
                <w:lang w:bidi="ar"/>
              </w:rPr>
              <w:t>高新关庙新型材料产业园、旬阳硅镁锌材料产业园、旬阳铜矿深加工生态工业园，高新钒氮合金二期、纳米电热膜地暖生产、镍基复合材料生产，汉滨新型节能环保材料生产线，旬阳磁铁矿采选深加工，延长石油钛磁铁矿开发，平利国防装备专业添加剂、干法氟化铝，石泉石墨开发、有机硅生产。</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82" w:firstLineChars="200"/>
              <w:jc w:val="both"/>
              <w:textAlignment w:val="auto"/>
              <w:outlineLvl w:val="9"/>
              <w:rPr>
                <w:rFonts w:hint="eastAsia" w:ascii="宋体" w:hAnsi="宋体" w:eastAsia="宋体" w:cs="宋体"/>
                <w:color w:val="000000"/>
                <w:sz w:val="24"/>
                <w:lang w:bidi="ar"/>
              </w:rPr>
            </w:pPr>
            <w:r>
              <w:rPr>
                <w:rFonts w:hint="eastAsia" w:ascii="宋体" w:hAnsi="宋体" w:eastAsia="宋体" w:cs="宋体"/>
                <w:b/>
                <w:color w:val="000000"/>
                <w:sz w:val="24"/>
                <w:lang w:bidi="ar"/>
              </w:rPr>
              <w:t>装备制造：</w:t>
            </w:r>
            <w:r>
              <w:rPr>
                <w:rFonts w:hint="eastAsia" w:ascii="宋体" w:hAnsi="宋体" w:eastAsia="宋体" w:cs="宋体"/>
                <w:color w:val="000000"/>
                <w:sz w:val="24"/>
                <w:lang w:bidi="ar"/>
              </w:rPr>
              <w:t>高新南水汽配汽车关键零部件生产、帝奥电梯二期及电梯物联网、通用机械技术改造、无人机及航空配件研发生产、康能科技工业机器人研发制造、三一工程机械再制造，旬阳宝通新型多功能环卫一体化专用车制造，石泉奥邦重型汽车零部件生产制造及汽车前桥锻造，平利粮食烘干机和农机具生产</w:t>
            </w:r>
            <w:r>
              <w:rPr>
                <w:rFonts w:hint="eastAsia" w:ascii="宋体" w:hAnsi="宋体" w:eastAsia="宋体" w:cs="宋体"/>
                <w:color w:val="000000"/>
                <w:sz w:val="24"/>
                <w:lang w:eastAsia="zh-CN" w:bidi="ar"/>
              </w:rPr>
              <w:t>，</w:t>
            </w:r>
            <w:r>
              <w:rPr>
                <w:rFonts w:hint="eastAsia" w:ascii="宋体" w:hAnsi="宋体" w:eastAsia="宋体" w:cs="宋体"/>
                <w:color w:val="000000"/>
                <w:sz w:val="24"/>
                <w:lang w:bidi="ar"/>
              </w:rPr>
              <w:t>岚皋新瑞达污水处理成套设备制造，白河俊达新能源客车、神达环保专用车生产。</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2" w:firstLineChars="200"/>
              <w:jc w:val="left"/>
              <w:textAlignment w:val="auto"/>
              <w:outlineLvl w:val="9"/>
              <w:rPr>
                <w:rFonts w:hint="eastAsia" w:ascii="宋体" w:hAnsi="宋体" w:eastAsia="宋体" w:cs="宋体"/>
                <w:color w:val="000000"/>
                <w:sz w:val="24"/>
              </w:rPr>
            </w:pPr>
            <w:r>
              <w:rPr>
                <w:rFonts w:hint="eastAsia" w:ascii="宋体" w:hAnsi="宋体" w:eastAsia="宋体" w:cs="宋体"/>
                <w:b/>
                <w:color w:val="000000"/>
                <w:sz w:val="24"/>
                <w:lang w:bidi="ar"/>
              </w:rPr>
              <w:t>清洁能源：</w:t>
            </w:r>
            <w:r>
              <w:rPr>
                <w:rFonts w:hint="eastAsia" w:ascii="宋体" w:hAnsi="宋体" w:eastAsia="宋体" w:cs="宋体"/>
                <w:color w:val="000000"/>
                <w:sz w:val="24"/>
                <w:lang w:bidi="ar"/>
              </w:rPr>
              <w:t>华电安康火电厂，汉江白河水电站、汉江旬阳水电站；汉滨早阳</w:t>
            </w:r>
            <w:r>
              <w:rPr>
                <w:rFonts w:hint="eastAsia" w:ascii="宋体" w:hAnsi="宋体" w:eastAsia="宋体" w:cs="宋体"/>
                <w:color w:val="000000"/>
                <w:sz w:val="24"/>
                <w:lang w:eastAsia="zh-CN" w:bidi="ar"/>
              </w:rPr>
              <w:t>和</w:t>
            </w:r>
            <w:r>
              <w:rPr>
                <w:rFonts w:hint="eastAsia" w:ascii="宋体" w:hAnsi="宋体" w:eastAsia="宋体" w:cs="宋体"/>
                <w:color w:val="000000"/>
                <w:sz w:val="24"/>
                <w:lang w:bidi="ar"/>
              </w:rPr>
              <w:t>牛蹄</w:t>
            </w:r>
            <w:r>
              <w:rPr>
                <w:rFonts w:hint="eastAsia" w:ascii="宋体" w:hAnsi="宋体" w:eastAsia="宋体" w:cs="宋体"/>
                <w:color w:val="000000"/>
                <w:sz w:val="24"/>
                <w:lang w:eastAsia="zh-CN" w:bidi="ar"/>
              </w:rPr>
              <w:t>、</w:t>
            </w:r>
            <w:r>
              <w:rPr>
                <w:rFonts w:hint="eastAsia" w:ascii="宋体" w:hAnsi="宋体" w:eastAsia="宋体" w:cs="宋体"/>
                <w:color w:val="000000"/>
                <w:sz w:val="24"/>
                <w:lang w:bidi="ar"/>
              </w:rPr>
              <w:t>旬阳、岚皋风能电厂；抽水蓄能电站；</w:t>
            </w:r>
            <w:r>
              <w:rPr>
                <w:rFonts w:hint="eastAsia" w:ascii="宋体" w:hAnsi="宋体" w:eastAsia="宋体" w:cs="宋体"/>
                <w:color w:val="000000"/>
                <w:sz w:val="24"/>
                <w:lang w:eastAsia="zh-CN" w:bidi="ar"/>
              </w:rPr>
              <w:t>汉阴、紫阳、</w:t>
            </w:r>
            <w:r>
              <w:rPr>
                <w:rFonts w:hint="eastAsia" w:ascii="宋体" w:hAnsi="宋体" w:eastAsia="宋体" w:cs="宋体"/>
                <w:color w:val="000000"/>
                <w:sz w:val="24"/>
                <w:lang w:bidi="ar"/>
              </w:rPr>
              <w:t>平利、旬阳</w:t>
            </w:r>
            <w:r>
              <w:rPr>
                <w:rFonts w:hint="eastAsia" w:ascii="宋体" w:hAnsi="宋体" w:eastAsia="宋体" w:cs="宋体"/>
                <w:color w:val="000000"/>
                <w:sz w:val="24"/>
                <w:lang w:eastAsia="zh-CN" w:bidi="ar"/>
              </w:rPr>
              <w:t>等县</w:t>
            </w:r>
            <w:r>
              <w:rPr>
                <w:rFonts w:hint="eastAsia" w:ascii="宋体" w:hAnsi="宋体" w:eastAsia="宋体" w:cs="宋体"/>
                <w:color w:val="000000"/>
                <w:sz w:val="24"/>
                <w:lang w:bidi="ar"/>
              </w:rPr>
              <w:t>光伏发电及智能电站建设、白河清洁能源开发利用；恒口年产45万吨LNG。</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left"/>
              <w:textAlignment w:val="auto"/>
              <w:rPr>
                <w:rFonts w:hint="eastAsia" w:ascii="黑体" w:hAnsi="黑体" w:eastAsia="黑体" w:cs="黑体"/>
                <w:snapToGrid w:val="0"/>
                <w:color w:val="000000"/>
                <w:kern w:val="0"/>
                <w:sz w:val="28"/>
                <w:szCs w:val="28"/>
                <w:vertAlign w:val="baseline"/>
                <w:lang w:val="en-US" w:eastAsia="zh-CN"/>
              </w:rPr>
            </w:pPr>
            <w:r>
              <w:rPr>
                <w:rFonts w:hint="eastAsia" w:ascii="宋体" w:hAnsi="宋体" w:eastAsia="宋体" w:cs="宋体"/>
                <w:b/>
                <w:color w:val="000000"/>
                <w:sz w:val="24"/>
                <w:lang w:val="en-US" w:eastAsia="zh-CN" w:bidi="ar"/>
              </w:rPr>
              <w:t xml:space="preserve">    </w:t>
            </w:r>
            <w:r>
              <w:rPr>
                <w:rFonts w:hint="eastAsia" w:ascii="宋体" w:hAnsi="宋体" w:eastAsia="宋体" w:cs="宋体"/>
                <w:b/>
                <w:color w:val="000000"/>
                <w:sz w:val="24"/>
                <w:lang w:bidi="ar"/>
              </w:rPr>
              <w:t>生物医药：</w:t>
            </w:r>
            <w:r>
              <w:rPr>
                <w:rFonts w:hint="eastAsia" w:ascii="宋体" w:hAnsi="宋体" w:eastAsia="宋体" w:cs="宋体"/>
                <w:color w:val="000000"/>
                <w:sz w:val="24"/>
                <w:lang w:bidi="ar"/>
              </w:rPr>
              <w:t>秦巴特色中药材加工及物流产业园、高新生物医药产业园、紫阳富硒中药饮片产业园、镇坪巴山药谷产业园</w:t>
            </w:r>
            <w:r>
              <w:rPr>
                <w:rFonts w:hint="eastAsia" w:ascii="宋体" w:hAnsi="宋体" w:eastAsia="宋体" w:cs="宋体"/>
                <w:color w:val="000000"/>
                <w:sz w:val="24"/>
                <w:lang w:eastAsia="zh-CN" w:bidi="ar"/>
              </w:rPr>
              <w:t>，</w:t>
            </w:r>
            <w:r>
              <w:rPr>
                <w:rFonts w:hint="eastAsia" w:ascii="宋体" w:hAnsi="宋体" w:eastAsia="宋体" w:cs="宋体"/>
                <w:color w:val="000000"/>
                <w:sz w:val="24"/>
                <w:lang w:bidi="ar"/>
              </w:rPr>
              <w:t>北医大制药二期、正大制药GMP改造</w:t>
            </w:r>
            <w:r>
              <w:rPr>
                <w:rFonts w:hint="eastAsia" w:ascii="宋体" w:hAnsi="宋体" w:eastAsia="宋体" w:cs="宋体"/>
                <w:color w:val="000000"/>
                <w:sz w:val="24"/>
                <w:lang w:eastAsia="zh-CN" w:bidi="ar"/>
              </w:rPr>
              <w:t>、</w:t>
            </w:r>
            <w:r>
              <w:rPr>
                <w:rFonts w:hint="eastAsia" w:ascii="宋体" w:hAnsi="宋体" w:eastAsia="宋体" w:cs="宋体"/>
                <w:color w:val="000000"/>
                <w:sz w:val="24"/>
                <w:lang w:bidi="ar"/>
              </w:rPr>
              <w:t>高新免疫球蛋白提取、汉阴杜仲胶新材料及杜仲健康产品产业化、宁陕抗肿瘤类药物生物提取</w:t>
            </w:r>
            <w:r>
              <w:rPr>
                <w:rFonts w:hint="eastAsia" w:ascii="宋体" w:hAnsi="宋体" w:eastAsia="宋体" w:cs="宋体"/>
                <w:color w:val="000000"/>
                <w:sz w:val="24"/>
                <w:lang w:eastAsia="zh-CN" w:bidi="ar"/>
              </w:rPr>
              <w:t>，</w:t>
            </w:r>
            <w:r>
              <w:rPr>
                <w:rFonts w:hint="eastAsia" w:ascii="宋体" w:hAnsi="宋体" w:eastAsia="宋体" w:cs="宋体"/>
                <w:color w:val="000000"/>
                <w:sz w:val="24"/>
                <w:lang w:bidi="ar"/>
              </w:rPr>
              <w:t>平利、白河、镇坪中药材深加工。</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宋体" w:eastAsia="仿宋_GB2312" w:cs="宋体"/>
          <w:b/>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三、积极培育新兴产业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eastAsia="仿宋_GB2312"/>
          <w:color w:val="000000"/>
          <w:kern w:val="0"/>
          <w:sz w:val="32"/>
          <w:szCs w:val="32"/>
        </w:rPr>
      </w:pPr>
      <w:r>
        <w:rPr>
          <w:rFonts w:hint="eastAsia" w:ascii="仿宋_GB2312" w:eastAsia="仿宋_GB2312" w:cs="仿宋_GB2312"/>
          <w:color w:val="000000"/>
          <w:kern w:val="0"/>
          <w:sz w:val="32"/>
          <w:szCs w:val="32"/>
          <w:lang w:bidi="ar"/>
        </w:rPr>
        <w:t>坚持以新技术、新产业、新业态、新模式为引领，大力发展电子信息、节能环保等产业，推动新兴产业规模化。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eastAsia="仿宋_GB2312" w:cs="仿宋_GB2312"/>
          <w:color w:val="000000"/>
          <w:spacing w:val="-2"/>
          <w:kern w:val="0"/>
          <w:sz w:val="32"/>
          <w:szCs w:val="32"/>
        </w:rPr>
      </w:pPr>
      <w:r>
        <w:rPr>
          <w:rFonts w:hint="eastAsia" w:ascii="仿宋_GB2312" w:eastAsia="仿宋_GB2312" w:cs="仿宋_GB2312"/>
          <w:b/>
          <w:color w:val="000000"/>
          <w:kern w:val="0"/>
          <w:sz w:val="32"/>
          <w:szCs w:val="32"/>
          <w:lang w:bidi="ar"/>
        </w:rPr>
        <w:t>电子信息。</w:t>
      </w:r>
      <w:r>
        <w:rPr>
          <w:rFonts w:hint="eastAsia" w:ascii="仿宋_GB2312" w:eastAsia="仿宋_GB2312"/>
          <w:color w:val="000000"/>
          <w:spacing w:val="-2"/>
          <w:sz w:val="32"/>
          <w:szCs w:val="32"/>
        </w:rPr>
        <w:t>以“互联网+”、大数据、云计算应用发展为契机，依托安康高新区等</w:t>
      </w:r>
      <w:r>
        <w:rPr>
          <w:rFonts w:hint="eastAsia" w:ascii="仿宋_GB2312" w:eastAsia="仿宋_GB2312"/>
          <w:color w:val="000000"/>
          <w:spacing w:val="-2"/>
          <w:sz w:val="32"/>
          <w:szCs w:val="32"/>
          <w:lang w:eastAsia="zh-CN"/>
        </w:rPr>
        <w:t>平台</w:t>
      </w:r>
      <w:r>
        <w:rPr>
          <w:rFonts w:hint="eastAsia" w:ascii="仿宋_GB2312" w:eastAsia="仿宋_GB2312"/>
          <w:color w:val="000000"/>
          <w:spacing w:val="-2"/>
          <w:sz w:val="32"/>
          <w:szCs w:val="32"/>
        </w:rPr>
        <w:t>，加大招商引资力度和科技研发投入，提升现有产品的层次和科技含量，延伸产业链条。</w:t>
      </w:r>
      <w:r>
        <w:rPr>
          <w:rFonts w:hint="eastAsia" w:ascii="仿宋_GB2312" w:eastAsia="仿宋_GB2312" w:cs="仿宋_GB2312"/>
          <w:color w:val="000000"/>
          <w:spacing w:val="-2"/>
          <w:kern w:val="0"/>
          <w:sz w:val="32"/>
          <w:szCs w:val="32"/>
          <w:lang w:bidi="ar"/>
        </w:rPr>
        <w:t>支持智能仪表、电子元器件、汽车电子仪器、平板显示器、电子表机芯等产品的研发与规模化生产</w:t>
      </w:r>
      <w:r>
        <w:rPr>
          <w:rFonts w:hint="eastAsia" w:ascii="仿宋_GB2312" w:eastAsia="仿宋_GB2312" w:cs="仿宋_GB2312"/>
          <w:color w:val="000000"/>
          <w:spacing w:val="-2"/>
          <w:kern w:val="0"/>
          <w:sz w:val="32"/>
          <w:szCs w:val="32"/>
          <w:lang w:eastAsia="zh-CN" w:bidi="ar"/>
        </w:rPr>
        <w:t>。</w:t>
      </w:r>
      <w:r>
        <w:rPr>
          <w:rFonts w:hint="eastAsia" w:ascii="仿宋_GB2312" w:eastAsia="仿宋_GB2312" w:cs="仿宋_GB2312"/>
          <w:color w:val="000000"/>
          <w:spacing w:val="-2"/>
          <w:kern w:val="0"/>
          <w:sz w:val="32"/>
          <w:szCs w:val="32"/>
          <w:lang w:bidi="ar"/>
        </w:rPr>
        <w:t>到2020年实现产值50亿元。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eastAsia="仿宋_GB2312" w:cs="仿宋_GB2312"/>
          <w:color w:val="000000"/>
          <w:spacing w:val="-2"/>
          <w:kern w:val="0"/>
          <w:sz w:val="32"/>
          <w:szCs w:val="32"/>
          <w:lang w:bidi="ar"/>
        </w:rPr>
      </w:pPr>
      <w:r>
        <w:rPr>
          <w:rFonts w:hint="eastAsia" w:ascii="仿宋_GB2312" w:eastAsia="仿宋_GB2312" w:cs="仿宋_GB2312"/>
          <w:b/>
          <w:color w:val="000000"/>
          <w:kern w:val="0"/>
          <w:sz w:val="32"/>
          <w:szCs w:val="32"/>
          <w:lang w:bidi="ar"/>
        </w:rPr>
        <w:t>节能环保。</w:t>
      </w:r>
      <w:r>
        <w:rPr>
          <w:rFonts w:hint="eastAsia" w:ascii="仿宋_GB2312" w:eastAsia="仿宋_GB2312" w:cs="仿宋_GB2312"/>
          <w:color w:val="000000"/>
          <w:spacing w:val="-2"/>
          <w:kern w:val="0"/>
          <w:sz w:val="32"/>
          <w:szCs w:val="32"/>
          <w:lang w:bidi="ar"/>
        </w:rPr>
        <w:t>重点发展尾矿渣循环利用、污水处理、高效照明、节能烘干、余热余压利用等节能环保和资源循环利用技术装备。围绕垃圾、污水处理设施建设，大力研发制造先进技术和装备。建设秦巴山区“城市矿产”基地，推动再生资源清洁化回收、规模化利用和产业化发展</w:t>
      </w:r>
      <w:r>
        <w:rPr>
          <w:rFonts w:hint="eastAsia" w:ascii="仿宋_GB2312" w:eastAsia="仿宋_GB2312" w:cs="仿宋_GB2312"/>
          <w:color w:val="000000"/>
          <w:spacing w:val="-2"/>
          <w:kern w:val="0"/>
          <w:sz w:val="32"/>
          <w:szCs w:val="32"/>
          <w:lang w:eastAsia="zh-CN" w:bidi="ar"/>
        </w:rPr>
        <w:t>。</w:t>
      </w:r>
      <w:r>
        <w:rPr>
          <w:rFonts w:hint="eastAsia" w:ascii="仿宋_GB2312" w:eastAsia="仿宋_GB2312" w:cs="仿宋_GB2312"/>
          <w:color w:val="000000"/>
          <w:spacing w:val="-2"/>
          <w:kern w:val="0"/>
          <w:sz w:val="32"/>
          <w:szCs w:val="32"/>
          <w:lang w:bidi="ar"/>
        </w:rPr>
        <w:t>到2020年实现产值30亿元。</w:t>
      </w:r>
    </w:p>
    <w:p>
      <w:pPr>
        <w:spacing w:line="560" w:lineRule="exact"/>
        <w:jc w:val="center"/>
        <w:rPr>
          <w:rFonts w:hint="eastAsia" w:ascii="黑体" w:hAnsi="黑体" w:eastAsia="黑体" w:cs="黑体"/>
          <w:snapToGrid w:val="0"/>
          <w:color w:val="000000"/>
          <w:kern w:val="0"/>
          <w:sz w:val="28"/>
          <w:szCs w:val="28"/>
          <w:lang w:val="en-US" w:eastAsia="zh-CN"/>
        </w:rPr>
      </w:pPr>
      <w:r>
        <w:rPr>
          <w:rFonts w:hint="eastAsia" w:ascii="黑体" w:hAnsi="黑体" w:eastAsia="黑体" w:cs="黑体"/>
          <w:snapToGrid w:val="0"/>
          <w:color w:val="000000"/>
          <w:kern w:val="0"/>
          <w:sz w:val="28"/>
          <w:szCs w:val="28"/>
          <w:lang w:val="en-US" w:eastAsia="zh-CN"/>
        </w:rPr>
        <w:t>专栏3   新兴产业重点工程</w:t>
      </w:r>
    </w:p>
    <w:tbl>
      <w:tblPr>
        <w:tblStyle w:val="20"/>
        <w:tblW w:w="0" w:type="auto"/>
        <w:jc w:val="center"/>
        <w:tblLayout w:type="fixed"/>
        <w:tblCellMar>
          <w:top w:w="0" w:type="dxa"/>
          <w:left w:w="108" w:type="dxa"/>
          <w:bottom w:w="0" w:type="dxa"/>
          <w:right w:w="108" w:type="dxa"/>
        </w:tblCellMar>
      </w:tblPr>
      <w:tblGrid>
        <w:gridCol w:w="8828"/>
      </w:tblGrid>
      <w:tr>
        <w:tblPrEx>
          <w:tblCellMar>
            <w:top w:w="0" w:type="dxa"/>
            <w:left w:w="108" w:type="dxa"/>
            <w:bottom w:w="0" w:type="dxa"/>
            <w:right w:w="108" w:type="dxa"/>
          </w:tblCellMar>
        </w:tblPrEx>
        <w:trPr>
          <w:trHeight w:val="2531" w:hRule="atLeast"/>
          <w:jc w:val="center"/>
        </w:trPr>
        <w:tc>
          <w:tcPr>
            <w:tcW w:w="8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82" w:firstLineChars="200"/>
              <w:jc w:val="both"/>
              <w:textAlignment w:val="auto"/>
              <w:outlineLvl w:val="9"/>
              <w:rPr>
                <w:rFonts w:hint="eastAsia" w:ascii="宋体" w:hAnsi="宋体" w:eastAsia="宋体" w:cs="宋体"/>
                <w:color w:val="000000"/>
                <w:sz w:val="24"/>
              </w:rPr>
            </w:pPr>
            <w:r>
              <w:rPr>
                <w:rFonts w:hint="eastAsia" w:ascii="宋体" w:hAnsi="宋体" w:eastAsia="宋体" w:cs="宋体"/>
                <w:b/>
                <w:color w:val="000000"/>
                <w:sz w:val="24"/>
                <w:lang w:bidi="ar"/>
              </w:rPr>
              <w:t>电子信息：</w:t>
            </w:r>
            <w:r>
              <w:rPr>
                <w:rFonts w:hint="eastAsia" w:ascii="宋体" w:hAnsi="宋体" w:eastAsia="宋体" w:cs="宋体"/>
                <w:color w:val="000000"/>
                <w:sz w:val="24"/>
                <w:lang w:bidi="ar"/>
              </w:rPr>
              <w:t>高新电子信息研发制造基地、众辰钟表机芯研发生产项目、电线电缆电子元器件加工产业园项目。</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82" w:firstLineChars="200"/>
              <w:jc w:val="both"/>
              <w:textAlignment w:val="auto"/>
              <w:outlineLvl w:val="9"/>
              <w:rPr>
                <w:rFonts w:eastAsia="仿宋_GB2312"/>
                <w:color w:val="000000"/>
                <w:sz w:val="24"/>
              </w:rPr>
            </w:pPr>
            <w:r>
              <w:rPr>
                <w:rFonts w:hint="eastAsia" w:ascii="宋体" w:hAnsi="宋体" w:eastAsia="宋体" w:cs="宋体"/>
                <w:b/>
                <w:color w:val="000000"/>
                <w:sz w:val="24"/>
                <w:lang w:bidi="ar"/>
              </w:rPr>
              <w:t>节能环保：</w:t>
            </w:r>
            <w:r>
              <w:rPr>
                <w:rFonts w:hint="eastAsia" w:ascii="宋体" w:hAnsi="宋体" w:eastAsia="宋体" w:cs="宋体"/>
                <w:color w:val="000000"/>
                <w:sz w:val="24"/>
                <w:lang w:bidi="ar"/>
              </w:rPr>
              <w:t>旬阳县环保产业园、岚皋飞地环保产业园、废弃物综合利用和终端安全处置集群式循环产业园，氧化锌废渣回收有价金属扩建</w:t>
            </w:r>
            <w:r>
              <w:rPr>
                <w:rFonts w:hint="eastAsia" w:ascii="宋体" w:hAnsi="宋体" w:eastAsia="宋体" w:cs="宋体"/>
                <w:color w:val="000000"/>
                <w:sz w:val="24"/>
                <w:lang w:eastAsia="zh-CN" w:bidi="ar"/>
              </w:rPr>
              <w:t>，</w:t>
            </w:r>
            <w:r>
              <w:rPr>
                <w:rFonts w:hint="eastAsia" w:ascii="宋体" w:hAnsi="宋体" w:eastAsia="宋体" w:cs="宋体"/>
                <w:color w:val="000000"/>
                <w:sz w:val="24"/>
                <w:lang w:bidi="ar"/>
              </w:rPr>
              <w:t>室内智能换气净气机生产线、</w:t>
            </w:r>
            <w:r>
              <w:rPr>
                <w:rFonts w:hint="eastAsia" w:ascii="宋体" w:hAnsi="宋体" w:eastAsia="宋体" w:cs="宋体"/>
                <w:color w:val="000000"/>
                <w:sz w:val="24"/>
                <w:lang w:eastAsia="zh-CN" w:bidi="ar"/>
              </w:rPr>
              <w:t>废旧</w:t>
            </w:r>
            <w:r>
              <w:rPr>
                <w:rFonts w:hint="eastAsia" w:ascii="宋体" w:hAnsi="宋体" w:eastAsia="宋体" w:cs="宋体"/>
                <w:color w:val="000000"/>
                <w:sz w:val="24"/>
                <w:lang w:bidi="ar"/>
              </w:rPr>
              <w:t>轮胎再生循环利用、高新区工业公用工程岛、康兴再生资源回收利用、汉阴热循环多功能烘干设备产业化项目。</w:t>
            </w:r>
          </w:p>
        </w:tc>
      </w:tr>
    </w:tbl>
    <w:p>
      <w:pPr>
        <w:spacing w:line="560" w:lineRule="exact"/>
        <w:jc w:val="center"/>
        <w:outlineLvl w:val="0"/>
        <w:rPr>
          <w:rFonts w:hint="eastAsia" w:ascii="黑体" w:hAnsi="黑体" w:eastAsia="黑体" w:cs="黑体"/>
          <w:color w:val="000000"/>
          <w:sz w:val="32"/>
          <w:szCs w:val="32"/>
        </w:rPr>
      </w:pPr>
      <w:bookmarkStart w:id="19" w:name="_Toc9583"/>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eastAsia" w:ascii="黑体" w:hAnsi="黑体" w:eastAsia="黑体" w:cs="黑体"/>
          <w:color w:val="000000"/>
          <w:sz w:val="32"/>
          <w:szCs w:val="32"/>
        </w:rPr>
      </w:pPr>
      <w:r>
        <w:rPr>
          <w:rFonts w:hint="eastAsia" w:ascii="黑体" w:hAnsi="黑体" w:eastAsia="黑体" w:cs="黑体"/>
          <w:color w:val="000000"/>
          <w:sz w:val="32"/>
          <w:szCs w:val="32"/>
        </w:rPr>
        <w:t>第十节</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繁荣提升现代服务业</w:t>
      </w:r>
      <w:bookmarkEnd w:id="19"/>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cs="仿宋_GB2312"/>
          <w:color w:val="000000"/>
          <w:kern w:val="0"/>
          <w:sz w:val="32"/>
          <w:szCs w:val="32"/>
          <w:lang w:bidi="ar"/>
        </w:rPr>
      </w:pPr>
      <w:r>
        <w:rPr>
          <w:rFonts w:hint="eastAsia" w:ascii="仿宋_GB2312" w:eastAsia="仿宋_GB2312" w:cs="仿宋_GB2312"/>
          <w:color w:val="000000"/>
          <w:kern w:val="0"/>
          <w:sz w:val="32"/>
          <w:szCs w:val="32"/>
          <w:lang w:bidi="ar"/>
        </w:rPr>
        <w:t>坚持物流与旅游引领、新兴与传统并举、生产与生活并重，鼓励和促进产业间以及互联网与各产业的融合创新，积极培育新业态和新商业模式，不断提升服务业发展水平。</w:t>
      </w:r>
      <w:bookmarkStart w:id="20" w:name="_Toc2469"/>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cs="仿宋_GB2312"/>
          <w:color w:val="000000"/>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eastAsia="仿宋_GB2312" w:cs="仿宋_GB2312"/>
          <w:color w:val="000000"/>
          <w:kern w:val="0"/>
          <w:sz w:val="32"/>
          <w:szCs w:val="32"/>
          <w:lang w:bidi="ar"/>
        </w:rPr>
      </w:pPr>
      <w:r>
        <w:rPr>
          <w:rFonts w:hint="eastAsia" w:ascii="仿宋_GB2312" w:eastAsia="仿宋_GB2312" w:cs="仿宋_GB2312"/>
          <w:color w:val="000000"/>
          <w:kern w:val="0"/>
          <w:sz w:val="32"/>
          <w:szCs w:val="32"/>
          <w:lang w:bidi="ar"/>
        </w:rPr>
        <w:t>一、</w:t>
      </w:r>
      <w:r>
        <w:rPr>
          <w:rFonts w:hint="eastAsia" w:ascii="仿宋_GB2312" w:hAnsi="仿宋_GB2312" w:eastAsia="仿宋_GB2312" w:cs="仿宋_GB2312"/>
          <w:b/>
          <w:bCs/>
          <w:color w:val="000000"/>
          <w:spacing w:val="6"/>
          <w:kern w:val="0"/>
          <w:sz w:val="32"/>
          <w:szCs w:val="32"/>
          <w:lang w:bidi="ar"/>
        </w:rPr>
        <w:t>建成全省一级物流节点城市</w:t>
      </w:r>
      <w:bookmarkEnd w:id="2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1"/>
        <w:rPr>
          <w:rFonts w:hint="eastAsia" w:ascii="仿宋_GB2312" w:eastAsia="仿宋_GB2312" w:cs="仿宋_GB2312"/>
          <w:color w:val="000000"/>
          <w:sz w:val="32"/>
          <w:szCs w:val="32"/>
          <w:lang w:bidi="ar"/>
        </w:rPr>
      </w:pPr>
      <w:r>
        <w:rPr>
          <w:rFonts w:hint="eastAsia" w:ascii="仿宋_GB2312" w:eastAsia="仿宋_GB2312" w:cs="仿宋_GB2312"/>
          <w:color w:val="000000"/>
          <w:sz w:val="32"/>
          <w:szCs w:val="32"/>
          <w:lang w:bidi="ar"/>
        </w:rPr>
        <w:t>加强物流基础设施建设，强化多式联运设施衔接，引进培育龙头企业，提升安康全省一级物流节点综合服务功能。依托十天、西渝区域大通道，建设“一心两轴多点”空间物流节点格局，打造秦巴区域的物资转运中心、集散中心和分拨中心。整合“弱</w:t>
      </w:r>
      <w:r>
        <w:rPr>
          <w:rFonts w:hint="eastAsia" w:ascii="仿宋_GB2312" w:eastAsia="仿宋_GB2312" w:cs="仿宋_GB2312"/>
          <w:color w:val="000000"/>
          <w:sz w:val="32"/>
          <w:szCs w:val="32"/>
          <w:lang w:eastAsia="zh-CN" w:bidi="ar"/>
        </w:rPr>
        <w:t>、</w:t>
      </w:r>
      <w:r>
        <w:rPr>
          <w:rFonts w:hint="eastAsia" w:ascii="仿宋_GB2312" w:eastAsia="仿宋_GB2312" w:cs="仿宋_GB2312"/>
          <w:color w:val="000000"/>
          <w:sz w:val="32"/>
          <w:szCs w:val="32"/>
          <w:lang w:bidi="ar"/>
        </w:rPr>
        <w:t>小</w:t>
      </w:r>
      <w:r>
        <w:rPr>
          <w:rFonts w:hint="eastAsia" w:ascii="仿宋_GB2312" w:eastAsia="仿宋_GB2312" w:cs="仿宋_GB2312"/>
          <w:color w:val="000000"/>
          <w:sz w:val="32"/>
          <w:szCs w:val="32"/>
          <w:lang w:eastAsia="zh-CN" w:bidi="ar"/>
        </w:rPr>
        <w:t>、</w:t>
      </w:r>
      <w:r>
        <w:rPr>
          <w:rFonts w:hint="eastAsia" w:ascii="仿宋_GB2312" w:eastAsia="仿宋_GB2312" w:cs="仿宋_GB2312"/>
          <w:color w:val="000000"/>
          <w:sz w:val="32"/>
          <w:szCs w:val="32"/>
          <w:lang w:bidi="ar"/>
        </w:rPr>
        <w:t>散”物流企业，推动传统流通企业转型升级。强化重大商贸物流平台和龙头企业支撑作用，突出富硒产品贸易特色，依托中国西北（安康）国际天贸物流城，加强线上线下互动融合，建设陕鄂川渝交汇区域现代商贸物流中心。依托互联网发展，提升物流信息化、标准化、集约化和智能化水平。推进物流业与制造业、物流快递与电子商务协同联动，重点培育食品、建材、汽配、医药、电商、快递等特色物流，形成与主导产业相配套的物流服务体系</w:t>
      </w:r>
      <w:r>
        <w:rPr>
          <w:rFonts w:hint="eastAsia" w:ascii="仿宋_GB2312" w:eastAsia="仿宋_GB2312" w:cs="仿宋_GB2312"/>
          <w:color w:val="000000"/>
          <w:sz w:val="32"/>
          <w:szCs w:val="32"/>
          <w:lang w:eastAsia="zh-CN" w:bidi="ar"/>
        </w:rPr>
        <w:t>。</w:t>
      </w:r>
      <w:r>
        <w:rPr>
          <w:rFonts w:hint="eastAsia" w:ascii="仿宋_GB2312" w:eastAsia="仿宋_GB2312" w:cs="仿宋_GB2312"/>
          <w:color w:val="000000"/>
          <w:sz w:val="32"/>
          <w:szCs w:val="32"/>
          <w:lang w:bidi="ar"/>
        </w:rPr>
        <w:t>到2020年实现产值150亿元。</w:t>
      </w:r>
    </w:p>
    <w:p>
      <w:pPr>
        <w:spacing w:line="560" w:lineRule="exact"/>
        <w:jc w:val="center"/>
        <w:rPr>
          <w:rFonts w:hint="eastAsia" w:ascii="黑体" w:hAnsi="黑体" w:eastAsia="黑体" w:cs="黑体"/>
          <w:snapToGrid w:val="0"/>
          <w:color w:val="000000"/>
          <w:kern w:val="0"/>
          <w:sz w:val="28"/>
          <w:szCs w:val="28"/>
          <w:vertAlign w:val="baseline"/>
          <w:lang w:val="en-US" w:eastAsia="zh-CN"/>
        </w:rPr>
      </w:pPr>
      <w:r>
        <w:rPr>
          <w:rFonts w:hint="eastAsia" w:ascii="黑体" w:hAnsi="黑体" w:eastAsia="黑体" w:cs="黑体"/>
          <w:snapToGrid w:val="0"/>
          <w:color w:val="000000"/>
          <w:kern w:val="0"/>
          <w:sz w:val="28"/>
          <w:szCs w:val="28"/>
          <w:lang w:val="en-US" w:eastAsia="zh-CN"/>
        </w:rPr>
        <w:t>专栏4   现代物流业重点工程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004"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82" w:firstLineChars="200"/>
              <w:jc w:val="both"/>
              <w:textAlignment w:val="auto"/>
              <w:outlineLvl w:val="9"/>
              <w:rPr>
                <w:rFonts w:hint="eastAsia" w:ascii="宋体" w:hAnsi="宋体" w:eastAsia="宋体" w:cs="宋体"/>
                <w:color w:val="000000"/>
                <w:sz w:val="24"/>
              </w:rPr>
            </w:pPr>
            <w:r>
              <w:rPr>
                <w:rFonts w:hint="eastAsia" w:ascii="宋体" w:hAnsi="宋体" w:eastAsia="宋体" w:cs="宋体"/>
                <w:b/>
                <w:bCs/>
                <w:color w:val="000000"/>
                <w:sz w:val="24"/>
              </w:rPr>
              <w:t>物流园区建设</w:t>
            </w:r>
            <w:r>
              <w:rPr>
                <w:rFonts w:hint="eastAsia" w:ascii="宋体" w:hAnsi="宋体" w:eastAsia="宋体" w:cs="宋体"/>
                <w:color w:val="000000"/>
                <w:sz w:val="24"/>
              </w:rPr>
              <w:t>：中国西北（安康）国际天贸物流城、安康江南物流园、安康富强机场空港物流园、汉滨区秦楚甘川渝综合物流园。</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82" w:firstLineChars="200"/>
              <w:jc w:val="both"/>
              <w:textAlignment w:val="auto"/>
              <w:outlineLvl w:val="9"/>
              <w:rPr>
                <w:rFonts w:hint="eastAsia" w:ascii="宋体" w:hAnsi="宋体" w:eastAsia="宋体" w:cs="宋体"/>
                <w:color w:val="000000"/>
                <w:sz w:val="24"/>
              </w:rPr>
            </w:pPr>
            <w:r>
              <w:rPr>
                <w:rFonts w:hint="eastAsia" w:ascii="宋体" w:hAnsi="宋体" w:eastAsia="宋体" w:cs="宋体"/>
                <w:b/>
                <w:bCs/>
                <w:color w:val="000000"/>
                <w:sz w:val="24"/>
              </w:rPr>
              <w:t>物流中心建设：</w:t>
            </w:r>
            <w:r>
              <w:rPr>
                <w:rFonts w:hint="eastAsia" w:ascii="宋体" w:hAnsi="宋体" w:eastAsia="宋体" w:cs="宋体"/>
                <w:color w:val="000000"/>
                <w:sz w:val="24"/>
              </w:rPr>
              <w:t>安康邮政快递物流园、恒口铁路物流园、汉阴富硒现代物流园、石泉城西物流中心、紫阳港物流园区、岚皋龙爪子物流中心、平利综合物流城、旬阳北站铁路物流中心、白河县物流园。</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82" w:firstLineChars="200"/>
              <w:jc w:val="both"/>
              <w:textAlignment w:val="auto"/>
              <w:outlineLvl w:val="9"/>
              <w:rPr>
                <w:rFonts w:hint="eastAsia" w:ascii="宋体" w:hAnsi="宋体" w:eastAsia="宋体" w:cs="宋体"/>
                <w:color w:val="000000"/>
                <w:sz w:val="24"/>
              </w:rPr>
            </w:pPr>
            <w:r>
              <w:rPr>
                <w:rFonts w:hint="eastAsia" w:ascii="宋体" w:hAnsi="宋体" w:eastAsia="宋体" w:cs="宋体"/>
                <w:b/>
                <w:bCs/>
                <w:color w:val="000000"/>
                <w:sz w:val="24"/>
              </w:rPr>
              <w:t>物流节点工程：</w:t>
            </w:r>
            <w:r>
              <w:rPr>
                <w:rFonts w:hint="eastAsia" w:ascii="宋体" w:hAnsi="宋体" w:eastAsia="宋体" w:cs="宋体"/>
                <w:color w:val="000000"/>
                <w:sz w:val="24"/>
              </w:rPr>
              <w:t>安康中心港货场、安康鑫通物流园、江北一级货运站、恒口秦巴明珠商贸城、汉阴仓储物流商贸中心、石泉池河农产品交易中心、宁陕公路物流园、紫阳向阳铁路货运仓储中心、岚皋农产品冷链物流中心、平利综合商贸交易批发市场、镇坪冷链物流中心、旬阳白柳特色产品加工仓储物流园、白河站铁路物流园等48个物流节点。</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left"/>
              <w:textAlignment w:val="auto"/>
              <w:rPr>
                <w:rFonts w:hint="eastAsia" w:ascii="黑体" w:hAnsi="黑体" w:eastAsia="黑体" w:cs="黑体"/>
                <w:snapToGrid w:val="0"/>
                <w:color w:val="000000"/>
                <w:kern w:val="0"/>
                <w:sz w:val="28"/>
                <w:szCs w:val="28"/>
                <w:vertAlign w:val="baseline"/>
                <w:lang w:val="en-US" w:eastAsia="zh-CN"/>
              </w:rPr>
            </w:pPr>
            <w:r>
              <w:rPr>
                <w:rFonts w:hint="eastAsia" w:ascii="宋体" w:hAnsi="宋体" w:eastAsia="宋体" w:cs="宋体"/>
                <w:b/>
                <w:bCs/>
                <w:color w:val="000000"/>
                <w:sz w:val="24"/>
                <w:lang w:val="en-US" w:eastAsia="zh-CN"/>
              </w:rPr>
              <w:t xml:space="preserve">    </w:t>
            </w:r>
            <w:r>
              <w:rPr>
                <w:rFonts w:hint="eastAsia" w:ascii="宋体" w:hAnsi="宋体" w:eastAsia="宋体" w:cs="宋体"/>
                <w:b/>
                <w:bCs/>
                <w:color w:val="000000"/>
                <w:sz w:val="24"/>
              </w:rPr>
              <w:t>试点示范工程：</w:t>
            </w:r>
            <w:r>
              <w:rPr>
                <w:rFonts w:hint="eastAsia" w:ascii="宋体" w:hAnsi="宋体" w:eastAsia="宋体" w:cs="宋体"/>
                <w:color w:val="000000"/>
                <w:sz w:val="24"/>
              </w:rPr>
              <w:t>多式联运工程、农产品物流工程、制造业物流与供应链管理工程、城乡物流配送工程、电子商务物流工程、物流信息平台工程、应急物流工程、粮食安全工程。</w:t>
            </w:r>
          </w:p>
        </w:tc>
      </w:tr>
    </w:tbl>
    <w:p>
      <w:pPr>
        <w:spacing w:line="560" w:lineRule="exact"/>
        <w:jc w:val="center"/>
        <w:rPr>
          <w:rFonts w:hint="eastAsia" w:ascii="黑体" w:hAnsi="黑体" w:eastAsia="黑体" w:cs="黑体"/>
          <w:snapToGrid w:val="0"/>
          <w:color w:val="000000"/>
          <w:kern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eastAsia="黑体"/>
          <w:color w:val="000000"/>
          <w:spacing w:val="6"/>
          <w:kern w:val="0"/>
          <w:sz w:val="32"/>
          <w:szCs w:val="32"/>
        </w:rPr>
      </w:pPr>
      <w:r>
        <w:rPr>
          <w:rFonts w:hint="eastAsia" w:ascii="仿宋_GB2312" w:hAnsi="仿宋_GB2312" w:eastAsia="仿宋_GB2312" w:cs="仿宋_GB2312"/>
          <w:b/>
          <w:bCs/>
          <w:color w:val="000000"/>
          <w:spacing w:val="6"/>
          <w:kern w:val="0"/>
          <w:sz w:val="32"/>
          <w:szCs w:val="32"/>
          <w:lang w:bidi="ar"/>
        </w:rPr>
        <w:t>二、打造国内一流生态旅游目的地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cs="仿宋_GB2312"/>
          <w:color w:val="000000"/>
          <w:kern w:val="0"/>
          <w:sz w:val="32"/>
          <w:szCs w:val="32"/>
          <w:lang w:bidi="ar"/>
        </w:rPr>
      </w:pPr>
      <w:r>
        <w:rPr>
          <w:rFonts w:hint="eastAsia" w:ascii="仿宋_GB2312" w:eastAsia="仿宋_GB2312" w:cs="仿宋_GB2312"/>
          <w:color w:val="000000"/>
          <w:kern w:val="0"/>
          <w:sz w:val="32"/>
          <w:szCs w:val="32"/>
          <w:lang w:bidi="ar"/>
        </w:rPr>
        <w:t>坚持“湖城一体、山水特质、文旅融合、服务配套”理念，瞄准2小时通达周边城市人群市场，以提质增效、转型升级为主线，建设国内一流的生态旅游目的地</w:t>
      </w:r>
      <w:r>
        <w:rPr>
          <w:rFonts w:hint="eastAsia" w:ascii="仿宋_GB2312" w:eastAsia="仿宋_GB2312" w:cs="仿宋_GB2312"/>
          <w:color w:val="000000"/>
          <w:kern w:val="0"/>
          <w:sz w:val="32"/>
          <w:szCs w:val="32"/>
          <w:lang w:eastAsia="zh-CN" w:bidi="ar"/>
        </w:rPr>
        <w:t>、</w:t>
      </w:r>
      <w:r>
        <w:rPr>
          <w:rFonts w:hint="eastAsia" w:ascii="仿宋_GB2312" w:eastAsia="仿宋_GB2312" w:cs="仿宋_GB2312"/>
          <w:color w:val="000000"/>
          <w:kern w:val="0"/>
          <w:sz w:val="32"/>
          <w:szCs w:val="32"/>
          <w:lang w:bidi="ar"/>
        </w:rPr>
        <w:t>休闲度假胜地</w:t>
      </w:r>
      <w:r>
        <w:rPr>
          <w:rFonts w:hint="eastAsia" w:ascii="仿宋_GB2312" w:eastAsia="仿宋_GB2312" w:cs="仿宋_GB2312"/>
          <w:color w:val="000000"/>
          <w:kern w:val="0"/>
          <w:sz w:val="32"/>
          <w:szCs w:val="32"/>
          <w:lang w:eastAsia="zh-CN" w:bidi="ar"/>
        </w:rPr>
        <w:t>和</w:t>
      </w:r>
      <w:r>
        <w:rPr>
          <w:rFonts w:hint="eastAsia" w:eastAsia="仿宋_GB2312"/>
          <w:snapToGrid w:val="0"/>
          <w:color w:val="000000"/>
          <w:kern w:val="0"/>
          <w:sz w:val="32"/>
          <w:szCs w:val="32"/>
        </w:rPr>
        <w:t>国家全域旅游发展示范区</w:t>
      </w:r>
      <w:r>
        <w:rPr>
          <w:rFonts w:hint="eastAsia" w:ascii="仿宋_GB2312" w:eastAsia="仿宋_GB2312" w:cs="仿宋_GB2312"/>
          <w:color w:val="000000"/>
          <w:kern w:val="0"/>
          <w:sz w:val="32"/>
          <w:szCs w:val="32"/>
          <w:lang w:bidi="ar"/>
        </w:rPr>
        <w:t>。围绕瀛湖、</w:t>
      </w:r>
      <w:r>
        <w:rPr>
          <w:rFonts w:hint="eastAsia" w:ascii="仿宋_GB2312" w:eastAsia="仿宋_GB2312"/>
          <w:color w:val="000000"/>
          <w:sz w:val="32"/>
          <w:szCs w:val="32"/>
        </w:rPr>
        <w:t>南宫山国家5</w:t>
      </w:r>
      <w:r>
        <w:rPr>
          <w:rFonts w:ascii="仿宋_GB2312" w:eastAsia="仿宋_GB2312"/>
          <w:color w:val="000000"/>
          <w:sz w:val="32"/>
          <w:szCs w:val="32"/>
        </w:rPr>
        <w:t>A</w:t>
      </w:r>
      <w:r>
        <w:rPr>
          <w:rFonts w:hint="eastAsia" w:ascii="仿宋_GB2312" w:eastAsia="仿宋_GB2312"/>
          <w:color w:val="000000"/>
          <w:sz w:val="32"/>
          <w:szCs w:val="32"/>
        </w:rPr>
        <w:t>级景区创建目标，着力</w:t>
      </w:r>
      <w:r>
        <w:rPr>
          <w:rFonts w:hint="eastAsia" w:ascii="仿宋_GB2312" w:eastAsia="仿宋_GB2312" w:cs="仿宋_GB2312"/>
          <w:color w:val="000000"/>
          <w:kern w:val="0"/>
          <w:sz w:val="32"/>
          <w:szCs w:val="32"/>
          <w:lang w:bidi="ar"/>
        </w:rPr>
        <w:t>提升“一山一湖一城”核心景区，大力发展乡村旅游，加快推进巴山生态度假游、汉水风情休闲游、秦岭山地森林游、田园风光乡村游、山水园林城市游五大特色板块</w:t>
      </w:r>
      <w:r>
        <w:rPr>
          <w:rFonts w:hint="eastAsia" w:ascii="仿宋_GB2312" w:eastAsia="仿宋_GB2312" w:cs="仿宋_GB2312"/>
          <w:color w:val="000000"/>
          <w:kern w:val="0"/>
          <w:sz w:val="32"/>
          <w:szCs w:val="32"/>
          <w:lang w:eastAsia="zh-CN" w:bidi="ar"/>
        </w:rPr>
        <w:t>，</w:t>
      </w:r>
      <w:r>
        <w:rPr>
          <w:rFonts w:hint="eastAsia" w:ascii="仿宋_GB2312" w:eastAsia="仿宋_GB2312" w:cs="仿宋_GB2312"/>
          <w:color w:val="000000"/>
          <w:kern w:val="0"/>
          <w:sz w:val="32"/>
          <w:szCs w:val="32"/>
          <w:lang w:bidi="ar"/>
        </w:rPr>
        <w:t>打造安康全域旅游，推动全市旅游由点线旅游向全域统筹发展，由单一观光型向观光休闲度假复合型产品转型，由冷热不均的节假日旅游向稳定有序的常态化旅游拓展。强化旅游品牌宣传推介和全要素产业链培育，整合县区优势旅游资源，深化区域旅游合作，协同周边知名景区联手打造精品旅游线路和项目。推动乡村旅游与推进新型城镇化、特色产业发展、精准脱贫攻坚有机结合，建设一批特色景观旅游名镇名村，</w:t>
      </w:r>
      <w:r>
        <w:rPr>
          <w:rFonts w:hint="eastAsia" w:ascii="仿宋_GB2312" w:eastAsia="仿宋_GB2312" w:cs="仿宋_GB2312"/>
          <w:color w:val="000000"/>
          <w:kern w:val="0"/>
          <w:sz w:val="32"/>
          <w:szCs w:val="32"/>
          <w:lang w:eastAsia="zh-CN" w:bidi="ar"/>
        </w:rPr>
        <w:t>争取创建</w:t>
      </w:r>
      <w:r>
        <w:rPr>
          <w:rFonts w:hint="eastAsia" w:ascii="仿宋_GB2312" w:eastAsia="仿宋_GB2312" w:cs="仿宋_GB2312"/>
          <w:color w:val="000000"/>
          <w:kern w:val="0"/>
          <w:sz w:val="32"/>
          <w:szCs w:val="32"/>
          <w:lang w:bidi="ar"/>
        </w:rPr>
        <w:t>秦巴国家旅游扶贫试验区。加快建设541国道生态旅游经济带、月河川道休闲农业旅游带和平利美丽乡村，打造“秦巴明珠”乡村公园，借鉴省内外知名乡村民俗旅游模式，建设一批形式多样、特色鲜明的乡村文旅综合体。按照“旅游+”思路构建旅游产业、产品体系，推进旅游与农业、工业、文化、体育、富硒食品、信息产业</w:t>
      </w:r>
      <w:r>
        <w:rPr>
          <w:rFonts w:eastAsia="仿宋_GB2312"/>
          <w:snapToGrid w:val="0"/>
          <w:color w:val="000000"/>
          <w:kern w:val="0"/>
          <w:sz w:val="32"/>
          <w:szCs w:val="32"/>
        </w:rPr>
        <w:t>、</w:t>
      </w:r>
      <w:r>
        <w:rPr>
          <w:rFonts w:hint="eastAsia" w:eastAsia="仿宋_GB2312"/>
          <w:snapToGrid w:val="0"/>
          <w:color w:val="000000"/>
          <w:kern w:val="0"/>
          <w:sz w:val="32"/>
          <w:szCs w:val="32"/>
        </w:rPr>
        <w:t>健康养老服务业</w:t>
      </w:r>
      <w:r>
        <w:rPr>
          <w:rFonts w:hint="eastAsia" w:ascii="仿宋_GB2312" w:eastAsia="仿宋_GB2312" w:cs="仿宋_GB2312"/>
          <w:color w:val="000000"/>
          <w:kern w:val="0"/>
          <w:sz w:val="32"/>
          <w:szCs w:val="32"/>
          <w:lang w:bidi="ar"/>
        </w:rPr>
        <w:t>融合发展，推动旅游产品向观光、休闲、度假并重转变，实现旅游产品全域统筹、旅游线路全域整合、旅游品牌全域营销、旅游环境全域优化，力争把旅游产业培育成富民兴市的战略性支柱产业。到2020年，安康生态旅游知名度、美誉度进一步提升，旅游接待人数4200万人次，实现旅游综合收入320亿元，其中来安过夜游客达1700万人次，占全市接待游客人数的40%以上。</w:t>
      </w:r>
    </w:p>
    <w:p>
      <w:pPr>
        <w:spacing w:line="560" w:lineRule="exact"/>
        <w:jc w:val="center"/>
        <w:rPr>
          <w:rFonts w:hint="eastAsia" w:ascii="黑体" w:hAnsi="黑体" w:eastAsia="黑体" w:cs="黑体"/>
          <w:snapToGrid w:val="0"/>
          <w:color w:val="000000"/>
          <w:kern w:val="0"/>
          <w:sz w:val="28"/>
          <w:szCs w:val="28"/>
          <w:lang w:val="en-US" w:eastAsia="zh-CN"/>
        </w:rPr>
      </w:pPr>
    </w:p>
    <w:p>
      <w:pPr>
        <w:spacing w:line="560" w:lineRule="exact"/>
        <w:jc w:val="center"/>
        <w:rPr>
          <w:rFonts w:hint="eastAsia" w:ascii="黑体" w:hAnsi="黑体" w:eastAsia="黑体" w:cs="黑体"/>
          <w:snapToGrid w:val="0"/>
          <w:color w:val="000000"/>
          <w:kern w:val="0"/>
          <w:sz w:val="28"/>
          <w:szCs w:val="28"/>
          <w:lang w:val="en-US" w:eastAsia="zh-CN"/>
        </w:rPr>
      </w:pPr>
      <w:r>
        <w:rPr>
          <w:rFonts w:hint="eastAsia" w:ascii="黑体" w:hAnsi="黑体" w:eastAsia="黑体" w:cs="黑体"/>
          <w:snapToGrid w:val="0"/>
          <w:color w:val="000000"/>
          <w:kern w:val="0"/>
          <w:sz w:val="28"/>
          <w:szCs w:val="28"/>
          <w:lang w:val="en-US" w:eastAsia="zh-CN"/>
        </w:rPr>
        <w:t>专栏5  “全域旅游”重点工程</w:t>
      </w:r>
    </w:p>
    <w:tbl>
      <w:tblPr>
        <w:tblStyle w:val="20"/>
        <w:tblW w:w="0" w:type="auto"/>
        <w:jc w:val="center"/>
        <w:tblLayout w:type="fixed"/>
        <w:tblCellMar>
          <w:top w:w="0" w:type="dxa"/>
          <w:left w:w="108" w:type="dxa"/>
          <w:bottom w:w="0" w:type="dxa"/>
          <w:right w:w="108" w:type="dxa"/>
        </w:tblCellMar>
      </w:tblPr>
      <w:tblGrid>
        <w:gridCol w:w="8754"/>
      </w:tblGrid>
      <w:tr>
        <w:tblPrEx>
          <w:tblCellMar>
            <w:top w:w="0" w:type="dxa"/>
            <w:left w:w="108" w:type="dxa"/>
            <w:bottom w:w="0" w:type="dxa"/>
            <w:right w:w="108" w:type="dxa"/>
          </w:tblCellMar>
        </w:tblPrEx>
        <w:trPr>
          <w:trHeight w:val="2823" w:hRule="atLeast"/>
          <w:jc w:val="center"/>
        </w:trPr>
        <w:tc>
          <w:tcPr>
            <w:tcW w:w="875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82" w:firstLineChars="200"/>
              <w:jc w:val="both"/>
              <w:textAlignment w:val="auto"/>
              <w:outlineLvl w:val="9"/>
              <w:rPr>
                <w:rFonts w:hint="eastAsia" w:ascii="宋体" w:hAnsi="宋体" w:eastAsia="宋体" w:cs="宋体"/>
                <w:color w:val="000000"/>
                <w:sz w:val="24"/>
              </w:rPr>
            </w:pPr>
            <w:r>
              <w:rPr>
                <w:rFonts w:hint="eastAsia" w:ascii="宋体" w:hAnsi="宋体" w:eastAsia="宋体" w:cs="宋体"/>
                <w:b/>
                <w:bCs/>
                <w:color w:val="000000"/>
                <w:sz w:val="24"/>
              </w:rPr>
              <w:t>瀛湖文化旅游产业基地建设工程：</w:t>
            </w:r>
            <w:r>
              <w:rPr>
                <w:rFonts w:hint="eastAsia" w:ascii="宋体" w:hAnsi="宋体" w:eastAsia="宋体" w:cs="宋体"/>
                <w:color w:val="000000"/>
                <w:sz w:val="24"/>
              </w:rPr>
              <w:t>景区旅游环道、大坝旅游综合服务区、翠屏旅游综合体、流水旅游综合服务区、清泉原乡</w:t>
            </w:r>
            <w:r>
              <w:rPr>
                <w:rFonts w:hint="eastAsia" w:ascii="宋体" w:hAnsi="宋体" w:eastAsia="宋体" w:cs="宋体"/>
                <w:color w:val="000000"/>
                <w:sz w:val="24"/>
                <w:lang w:eastAsia="zh-CN"/>
              </w:rPr>
              <w:t>和</w:t>
            </w:r>
            <w:r>
              <w:rPr>
                <w:rFonts w:hint="eastAsia" w:ascii="宋体" w:hAnsi="宋体" w:eastAsia="宋体" w:cs="宋体"/>
                <w:color w:val="000000"/>
                <w:sz w:val="24"/>
              </w:rPr>
              <w:t>汉广文苑建设、瀛湖文化产业基地延展项目。</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82" w:firstLineChars="200"/>
              <w:jc w:val="both"/>
              <w:textAlignment w:val="auto"/>
              <w:outlineLvl w:val="9"/>
              <w:rPr>
                <w:rFonts w:hint="eastAsia" w:ascii="宋体" w:hAnsi="宋体" w:eastAsia="宋体" w:cs="宋体"/>
                <w:color w:val="000000"/>
                <w:sz w:val="24"/>
              </w:rPr>
            </w:pPr>
            <w:r>
              <w:rPr>
                <w:rFonts w:hint="eastAsia" w:ascii="宋体" w:hAnsi="宋体" w:eastAsia="宋体" w:cs="宋体"/>
                <w:b/>
                <w:bCs/>
                <w:color w:val="000000"/>
                <w:sz w:val="24"/>
              </w:rPr>
              <w:t>中心城区旅游提升工程：</w:t>
            </w:r>
            <w:r>
              <w:rPr>
                <w:rFonts w:hint="eastAsia" w:ascii="宋体" w:hAnsi="宋体" w:eastAsia="宋体" w:cs="宋体"/>
                <w:color w:val="000000"/>
                <w:sz w:val="24"/>
              </w:rPr>
              <w:t>“一江两岸”旅游景观提升、天贸</w:t>
            </w:r>
            <w:r>
              <w:rPr>
                <w:rFonts w:hint="eastAsia" w:ascii="宋体" w:hAnsi="宋体" w:eastAsia="宋体" w:cs="宋体"/>
                <w:color w:val="000000"/>
                <w:sz w:val="24"/>
                <w:lang w:eastAsia="zh-CN"/>
              </w:rPr>
              <w:t>物流</w:t>
            </w:r>
            <w:r>
              <w:rPr>
                <w:rFonts w:hint="eastAsia" w:ascii="宋体" w:hAnsi="宋体" w:eastAsia="宋体" w:cs="宋体"/>
                <w:color w:val="000000"/>
                <w:sz w:val="24"/>
              </w:rPr>
              <w:t>城旅游综合体建设、环城游憩带慢行系统建设、美食旅游街区建设、安康美食旅游综合体建设</w:t>
            </w:r>
            <w:r>
              <w:rPr>
                <w:rFonts w:hint="eastAsia" w:ascii="宋体" w:hAnsi="宋体" w:eastAsia="宋体" w:cs="宋体"/>
                <w:color w:val="000000"/>
                <w:sz w:val="24"/>
                <w:lang w:eastAsia="zh-CN"/>
              </w:rPr>
              <w:t>，</w:t>
            </w:r>
            <w:r>
              <w:rPr>
                <w:rFonts w:hint="eastAsia" w:ascii="宋体" w:hAnsi="宋体" w:eastAsia="宋体" w:cs="宋体"/>
                <w:color w:val="000000"/>
                <w:sz w:val="24"/>
              </w:rPr>
              <w:t>高新城市旅游公共服务设施建设提升</w:t>
            </w:r>
            <w:r>
              <w:rPr>
                <w:rFonts w:hint="eastAsia" w:ascii="宋体" w:hAnsi="宋体" w:eastAsia="宋体" w:cs="宋体"/>
                <w:color w:val="000000"/>
                <w:sz w:val="24"/>
                <w:lang w:eastAsia="zh-CN"/>
              </w:rPr>
              <w:t>、</w:t>
            </w:r>
            <w:r>
              <w:rPr>
                <w:rFonts w:hint="eastAsia" w:ascii="宋体" w:hAnsi="宋体" w:eastAsia="宋体" w:cs="宋体"/>
                <w:color w:val="000000"/>
                <w:sz w:val="24"/>
              </w:rPr>
              <w:t>莲花湾休闲养生中心。</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82" w:firstLineChars="200"/>
              <w:jc w:val="both"/>
              <w:textAlignment w:val="auto"/>
              <w:outlineLvl w:val="9"/>
              <w:rPr>
                <w:rFonts w:hint="eastAsia" w:ascii="宋体" w:hAnsi="宋体" w:eastAsia="宋体" w:cs="宋体"/>
                <w:color w:val="000000"/>
                <w:sz w:val="24"/>
              </w:rPr>
            </w:pPr>
            <w:r>
              <w:rPr>
                <w:rFonts w:hint="eastAsia" w:ascii="宋体" w:hAnsi="宋体" w:eastAsia="宋体" w:cs="宋体"/>
                <w:b/>
                <w:bCs/>
                <w:color w:val="000000"/>
                <w:sz w:val="24"/>
              </w:rPr>
              <w:t>全市旅游公共服务提升工程：</w:t>
            </w:r>
            <w:r>
              <w:rPr>
                <w:rFonts w:hint="eastAsia" w:ascii="宋体" w:hAnsi="宋体" w:eastAsia="宋体" w:cs="宋体"/>
                <w:color w:val="000000"/>
                <w:sz w:val="24"/>
              </w:rPr>
              <w:t>旅游标识体系提升、旅游厕所提升、旅游商品研发基地建设、智慧旅游体系建设、旅游咨询服务中心建设、旅游人才培训项目。</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82" w:firstLineChars="200"/>
              <w:jc w:val="both"/>
              <w:textAlignment w:val="auto"/>
              <w:outlineLvl w:val="9"/>
              <w:rPr>
                <w:rFonts w:hint="eastAsia" w:ascii="宋体" w:hAnsi="宋体" w:eastAsia="宋体" w:cs="宋体"/>
                <w:color w:val="000000"/>
                <w:sz w:val="24"/>
              </w:rPr>
            </w:pPr>
            <w:r>
              <w:rPr>
                <w:rFonts w:hint="eastAsia" w:ascii="宋体" w:hAnsi="宋体" w:eastAsia="宋体" w:cs="宋体"/>
                <w:b/>
                <w:bCs/>
                <w:color w:val="000000"/>
                <w:sz w:val="24"/>
              </w:rPr>
              <w:t>月河川道休闲农业旅游带建设工程：</w:t>
            </w:r>
            <w:r>
              <w:rPr>
                <w:rFonts w:hint="eastAsia" w:ascii="宋体" w:hAnsi="宋体" w:eastAsia="宋体" w:cs="宋体"/>
                <w:color w:val="000000"/>
                <w:sz w:val="24"/>
              </w:rPr>
              <w:t>10个特色旅游村建设、3个旅游古镇街区保护开发、6个农业旅游观光园区提升、8个休闲旅游农庄建设、30家农家乐大户培育项目</w:t>
            </w:r>
            <w:r>
              <w:rPr>
                <w:rFonts w:hint="eastAsia" w:ascii="宋体" w:hAnsi="宋体" w:eastAsia="宋体" w:cs="宋体"/>
                <w:color w:val="000000"/>
                <w:sz w:val="24"/>
                <w:lang w:eastAsia="zh-CN"/>
              </w:rPr>
              <w:t>，</w:t>
            </w:r>
            <w:r>
              <w:rPr>
                <w:rFonts w:hint="eastAsia" w:ascii="宋体" w:hAnsi="宋体" w:eastAsia="宋体" w:cs="宋体"/>
                <w:color w:val="000000"/>
                <w:sz w:val="24"/>
              </w:rPr>
              <w:t>旅游公共服务设施和基础设施建设项目。</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82" w:firstLineChars="200"/>
              <w:jc w:val="both"/>
              <w:textAlignment w:val="auto"/>
              <w:outlineLvl w:val="9"/>
              <w:rPr>
                <w:rFonts w:hint="eastAsia" w:ascii="宋体" w:hAnsi="宋体" w:eastAsia="宋体" w:cs="宋体"/>
                <w:color w:val="000000"/>
                <w:sz w:val="24"/>
              </w:rPr>
            </w:pPr>
            <w:r>
              <w:rPr>
                <w:rFonts w:hint="eastAsia" w:ascii="宋体" w:hAnsi="宋体" w:eastAsia="宋体" w:cs="宋体"/>
                <w:b/>
                <w:bCs/>
                <w:color w:val="000000"/>
                <w:sz w:val="24"/>
              </w:rPr>
              <w:t>凤凰山休闲度假旅游区建设工程：</w:t>
            </w:r>
            <w:r>
              <w:rPr>
                <w:rFonts w:hint="eastAsia" w:ascii="宋体" w:hAnsi="宋体" w:eastAsia="宋体" w:cs="宋体"/>
                <w:color w:val="000000"/>
                <w:sz w:val="24"/>
              </w:rPr>
              <w:t>汉阴凤凰山国家森林公园景区旅游开发、汉滨凤凰山省级森林公园旅游开发、大凤凰山旅游基础设施建设项目。</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82" w:firstLineChars="200"/>
              <w:jc w:val="both"/>
              <w:textAlignment w:val="auto"/>
              <w:outlineLvl w:val="9"/>
              <w:rPr>
                <w:rFonts w:hint="eastAsia" w:ascii="宋体" w:hAnsi="宋体" w:eastAsia="宋体" w:cs="宋体"/>
                <w:color w:val="000000"/>
                <w:sz w:val="24"/>
              </w:rPr>
            </w:pPr>
            <w:r>
              <w:rPr>
                <w:rFonts w:hint="eastAsia" w:ascii="宋体" w:hAnsi="宋体" w:eastAsia="宋体" w:cs="宋体"/>
                <w:b/>
                <w:bCs/>
                <w:color w:val="000000"/>
                <w:sz w:val="24"/>
              </w:rPr>
              <w:t>秦岭山地森林体验度假旅游区建设工程：</w:t>
            </w:r>
            <w:r>
              <w:rPr>
                <w:rFonts w:hint="eastAsia" w:ascii="宋体" w:hAnsi="宋体" w:eastAsia="宋体" w:cs="宋体"/>
                <w:color w:val="000000"/>
                <w:sz w:val="24"/>
              </w:rPr>
              <w:t>上坝河、筒车湾、鬼谷岭、杨柳陕南风情园、汉滨茨沟等景区建设，秦岭片区旅游公共服务设施和基础设施建设。</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82" w:firstLineChars="200"/>
              <w:jc w:val="both"/>
              <w:textAlignment w:val="auto"/>
              <w:outlineLvl w:val="9"/>
              <w:rPr>
                <w:rFonts w:hint="eastAsia" w:ascii="宋体" w:hAnsi="宋体" w:eastAsia="宋体" w:cs="宋体"/>
                <w:color w:val="000000"/>
                <w:sz w:val="24"/>
              </w:rPr>
            </w:pPr>
            <w:r>
              <w:rPr>
                <w:rFonts w:hint="eastAsia" w:ascii="宋体" w:hAnsi="宋体" w:eastAsia="宋体" w:cs="宋体"/>
                <w:b/>
                <w:bCs/>
                <w:color w:val="000000"/>
                <w:sz w:val="24"/>
              </w:rPr>
              <w:t>“巴山画廊”旅游扶贫带精品建设工程：</w:t>
            </w:r>
            <w:r>
              <w:rPr>
                <w:rFonts w:hint="eastAsia" w:ascii="宋体" w:hAnsi="宋体" w:eastAsia="宋体" w:cs="宋体"/>
                <w:color w:val="000000"/>
                <w:sz w:val="24"/>
              </w:rPr>
              <w:t>南宫山、千层河-神河源、</w:t>
            </w:r>
            <w:r>
              <w:rPr>
                <w:rFonts w:hint="eastAsia" w:ascii="宋体" w:hAnsi="宋体" w:eastAsia="宋体" w:cs="宋体"/>
                <w:color w:val="000000"/>
                <w:sz w:val="24"/>
                <w:lang w:eastAsia="zh-CN"/>
              </w:rPr>
              <w:t>化龙山</w:t>
            </w:r>
            <w:r>
              <w:rPr>
                <w:rFonts w:hint="eastAsia" w:ascii="宋体" w:hAnsi="宋体" w:eastAsia="宋体" w:cs="宋体"/>
                <w:color w:val="000000"/>
                <w:sz w:val="24"/>
                <w:lang w:val="en-US" w:eastAsia="zh-CN"/>
              </w:rPr>
              <w:t>-</w:t>
            </w:r>
            <w:r>
              <w:rPr>
                <w:rFonts w:hint="eastAsia" w:ascii="宋体" w:hAnsi="宋体" w:eastAsia="宋体" w:cs="宋体"/>
                <w:color w:val="000000"/>
                <w:sz w:val="24"/>
              </w:rPr>
              <w:t>天书峡、飞渡峡、双龙等精品景区提升项目，岚河漂流、正阳大草甸、鸡心岭、古盐道等重点景区建设、自驾车及房车营地建设、沿线旅游基础设施和标识系统建设、沿线景观提升</w:t>
            </w:r>
            <w:r>
              <w:rPr>
                <w:rFonts w:hint="eastAsia" w:ascii="宋体" w:hAnsi="宋体" w:eastAsia="宋体" w:cs="宋体"/>
                <w:color w:val="000000"/>
                <w:sz w:val="24"/>
                <w:lang w:eastAsia="zh-CN"/>
              </w:rPr>
              <w:t>和</w:t>
            </w:r>
            <w:r>
              <w:rPr>
                <w:rFonts w:hint="eastAsia" w:ascii="宋体" w:hAnsi="宋体" w:eastAsia="宋体" w:cs="宋体"/>
                <w:color w:val="000000"/>
                <w:sz w:val="24"/>
              </w:rPr>
              <w:t>设施完善项目。</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82" w:firstLineChars="200"/>
              <w:jc w:val="both"/>
              <w:textAlignment w:val="auto"/>
              <w:outlineLvl w:val="9"/>
              <w:rPr>
                <w:rFonts w:hint="eastAsia" w:ascii="宋体" w:hAnsi="宋体" w:eastAsia="宋体" w:cs="宋体"/>
                <w:color w:val="000000"/>
                <w:sz w:val="24"/>
              </w:rPr>
            </w:pPr>
            <w:r>
              <w:rPr>
                <w:rFonts w:hint="eastAsia" w:ascii="宋体" w:hAnsi="宋体" w:eastAsia="宋体" w:cs="宋体"/>
                <w:b/>
                <w:bCs/>
                <w:color w:val="000000"/>
                <w:sz w:val="24"/>
              </w:rPr>
              <w:t>541国道生态旅游经济带建设工程：</w:t>
            </w:r>
            <w:r>
              <w:rPr>
                <w:rFonts w:hint="eastAsia" w:ascii="宋体" w:hAnsi="宋体" w:eastAsia="宋体" w:cs="宋体"/>
                <w:color w:val="000000"/>
                <w:sz w:val="24"/>
              </w:rPr>
              <w:t>石泉后柳水乡、燕山瀑布、中坝大峡谷，汉阴凤堰古梯田，紫阳文笔山、擂鼓台、大巴山茶马古道生态旅游区，汉滨牛蹄观光园，岚皋龙爪子旅游综合体、南宫湖等景区建设提升项目，4镇8村建设项目，精品旅游线路包装项目，旅游基础设施和公共服务设施建设项目。</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82" w:firstLineChars="200"/>
              <w:jc w:val="both"/>
              <w:textAlignment w:val="auto"/>
              <w:outlineLvl w:val="9"/>
              <w:rPr>
                <w:rFonts w:hint="eastAsia" w:ascii="宋体" w:hAnsi="宋体" w:eastAsia="宋体" w:cs="宋体"/>
                <w:color w:val="000000"/>
                <w:sz w:val="24"/>
              </w:rPr>
            </w:pPr>
            <w:r>
              <w:rPr>
                <w:rFonts w:hint="eastAsia" w:ascii="宋体" w:hAnsi="宋体" w:eastAsia="宋体" w:cs="宋体"/>
                <w:b/>
                <w:bCs/>
                <w:color w:val="000000"/>
                <w:sz w:val="24"/>
              </w:rPr>
              <w:t>大汉江旅游开发工程：</w:t>
            </w:r>
            <w:r>
              <w:rPr>
                <w:rFonts w:hint="eastAsia" w:ascii="宋体" w:hAnsi="宋体" w:eastAsia="宋体" w:cs="宋体"/>
                <w:color w:val="000000"/>
                <w:sz w:val="24"/>
              </w:rPr>
              <w:t>大汉江旅游景观提升、旅游区标识系统、景观廊道、道路通达、富硒美食、信息通畅项目。</w:t>
            </w:r>
            <w:r>
              <w:rPr>
                <w:rFonts w:hint="eastAsia" w:ascii="宋体" w:hAnsi="宋体" w:eastAsia="宋体" w:cs="宋体"/>
                <w:color w:val="000000"/>
                <w:sz w:val="24"/>
                <w:lang w:eastAsia="zh-CN"/>
              </w:rPr>
              <w:t>依托汉江梯级电站打造汉江滨水景观长廊。</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82" w:firstLineChars="200"/>
              <w:jc w:val="both"/>
              <w:textAlignment w:val="auto"/>
              <w:outlineLvl w:val="9"/>
              <w:rPr>
                <w:rFonts w:hint="eastAsia" w:ascii="宋体" w:hAnsi="宋体" w:eastAsia="宋体" w:cs="宋体"/>
                <w:color w:val="000000"/>
                <w:sz w:val="24"/>
              </w:rPr>
            </w:pPr>
            <w:r>
              <w:rPr>
                <w:rFonts w:hint="eastAsia" w:ascii="宋体" w:hAnsi="宋体" w:eastAsia="宋体" w:cs="宋体"/>
                <w:b/>
                <w:bCs/>
                <w:color w:val="000000"/>
                <w:sz w:val="24"/>
              </w:rPr>
              <w:t>文化旅游古镇暨乡村旅游扶贫示范村建设工程：</w:t>
            </w:r>
            <w:r>
              <w:rPr>
                <w:rFonts w:hint="eastAsia" w:ascii="宋体" w:hAnsi="宋体" w:eastAsia="宋体" w:cs="宋体"/>
                <w:color w:val="000000"/>
                <w:sz w:val="24"/>
              </w:rPr>
              <w:t>石泉城关、汉阴双河口、旬阳蜀河、白河桥儿沟、恒口等10个特色文化旅游古镇（街区）建设、100个乡村旅游扶贫示范村建设。</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82" w:firstLineChars="200"/>
              <w:jc w:val="both"/>
              <w:textAlignment w:val="auto"/>
              <w:outlineLvl w:val="9"/>
              <w:rPr>
                <w:rFonts w:hint="eastAsia" w:ascii="宋体" w:hAnsi="宋体" w:eastAsia="宋体" w:cs="宋体"/>
                <w:color w:val="000000"/>
                <w:sz w:val="24"/>
              </w:rPr>
            </w:pPr>
            <w:r>
              <w:rPr>
                <w:rFonts w:hint="eastAsia" w:ascii="宋体" w:hAnsi="宋体" w:eastAsia="宋体" w:cs="宋体"/>
                <w:b/>
                <w:bCs/>
                <w:color w:val="000000"/>
                <w:sz w:val="24"/>
              </w:rPr>
              <w:t>旬阳太极城文旅融合示范工程：</w:t>
            </w:r>
            <w:r>
              <w:rPr>
                <w:rFonts w:hint="eastAsia" w:ascii="宋体" w:hAnsi="宋体" w:eastAsia="宋体" w:cs="宋体"/>
                <w:color w:val="000000"/>
                <w:sz w:val="24"/>
              </w:rPr>
              <w:t>太极古城历史文化产业园建设、太极城古街区改造、梦幻太极灯光秀，大型民俗实景歌舞剧“太极神曲”展演、游客中心等配套建设项目。</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82" w:firstLineChars="200"/>
              <w:jc w:val="both"/>
              <w:textAlignment w:val="auto"/>
              <w:outlineLvl w:val="9"/>
              <w:rPr>
                <w:rFonts w:eastAsia="仿宋_GB2312"/>
                <w:color w:val="000000"/>
                <w:sz w:val="24"/>
              </w:rPr>
            </w:pPr>
            <w:r>
              <w:rPr>
                <w:rFonts w:hint="eastAsia" w:ascii="宋体" w:hAnsi="宋体" w:eastAsia="宋体" w:cs="宋体"/>
                <w:b/>
                <w:bCs/>
                <w:color w:val="000000"/>
                <w:sz w:val="24"/>
              </w:rPr>
              <w:t>平利美丽乡村旅游目的地建设工程：</w:t>
            </w:r>
            <w:r>
              <w:rPr>
                <w:rFonts w:hint="eastAsia" w:ascii="宋体" w:hAnsi="宋体" w:eastAsia="宋体" w:cs="宋体"/>
                <w:color w:val="000000"/>
                <w:sz w:val="24"/>
              </w:rPr>
              <w:t>大贵洛河田园风光带、三里垭贡茶新村、芍药谷景区、茶镇长安、瓮水沟近郊亲水公园、百里画廊景观节点等项目。</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eastAsia="仿宋_GB2312"/>
          <w:b/>
          <w:bCs/>
          <w:color w:val="000000"/>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eastAsia="仿宋_GB2312"/>
          <w:b/>
          <w:bCs/>
          <w:color w:val="000000"/>
          <w:kern w:val="0"/>
          <w:sz w:val="32"/>
          <w:szCs w:val="32"/>
        </w:rPr>
      </w:pPr>
      <w:r>
        <w:rPr>
          <w:rFonts w:hint="eastAsia" w:eastAsia="仿宋_GB2312"/>
          <w:b/>
          <w:bCs/>
          <w:color w:val="000000"/>
          <w:kern w:val="0"/>
          <w:sz w:val="32"/>
          <w:szCs w:val="32"/>
          <w:lang w:bidi="ar"/>
        </w:rPr>
        <w:t>三、加快发展新兴服务业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bidi="ar"/>
        </w:rPr>
        <w:t>坚持集聚发展新兴服务业和改造提升传统服务业“双轮驱动”，生产型服务业和生活型服务业协调发展，推动新兴服务业向专业化和价值链高端延伸，重点发展电子商务、健康养老、现代金融、特色文化等产业，培育2个省级服务业集聚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lang w:bidi="ar"/>
        </w:rPr>
        <w:t>电子商务。</w:t>
      </w:r>
      <w:r>
        <w:rPr>
          <w:rFonts w:hint="eastAsia" w:ascii="仿宋_GB2312" w:hAnsi="仿宋_GB2312" w:eastAsia="仿宋_GB2312" w:cs="仿宋_GB2312"/>
          <w:color w:val="000000"/>
          <w:kern w:val="0"/>
          <w:sz w:val="32"/>
          <w:szCs w:val="32"/>
          <w:lang w:bidi="ar"/>
        </w:rPr>
        <w:t>积极推动电子商务产业链建设，重点加强与富硒食品、山林经济、涉水产业的深度融合，与物流快递的协同发展。加快电子商务综合类平台建设，组建县区富硒产品实体营销中心和电子商务中心。学习借鉴“淘宝村”模式，实施电子商务入村工程，构建涵盖镇村的电商服务站。支持大学生、自由职业者、个体工商户电子商务创业，壮大电商经营群体。引导电子商务企业与邮政、快递企业深度合作，促进线上线下互动创新，构建覆盖城乡的快件寄递体系，实现“镇镇有网点、村村通快递”。到2020年，创建5个区域性大宗商品电商平台、5个电商产业园、1个国家级5个省级电商示范县，培育5家省级电商示范企业，</w:t>
      </w:r>
      <w:r>
        <w:rPr>
          <w:rFonts w:hint="eastAsia" w:ascii="仿宋_GB2312" w:hAnsi="仿宋_GB2312" w:eastAsia="仿宋_GB2312" w:cs="仿宋_GB2312"/>
          <w:color w:val="000000"/>
          <w:kern w:val="0"/>
          <w:sz w:val="32"/>
          <w:szCs w:val="32"/>
          <w:lang w:eastAsia="zh-CN" w:bidi="ar"/>
        </w:rPr>
        <w:t>电子商务</w:t>
      </w:r>
      <w:r>
        <w:rPr>
          <w:rFonts w:hint="eastAsia" w:ascii="仿宋_GB2312" w:hAnsi="仿宋_GB2312" w:eastAsia="仿宋_GB2312" w:cs="仿宋_GB2312"/>
          <w:color w:val="000000"/>
          <w:kern w:val="0"/>
          <w:sz w:val="32"/>
          <w:szCs w:val="32"/>
          <w:lang w:bidi="ar"/>
        </w:rPr>
        <w:t>交易额达到40亿元，占社会消费品零售总额的比重达到10%以上。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lang w:bidi="ar"/>
        </w:rPr>
        <w:t>健康养老。</w:t>
      </w:r>
      <w:r>
        <w:rPr>
          <w:rFonts w:hint="eastAsia" w:ascii="仿宋_GB2312" w:hAnsi="仿宋_GB2312" w:eastAsia="仿宋_GB2312" w:cs="仿宋_GB2312"/>
          <w:color w:val="000000"/>
          <w:kern w:val="0"/>
          <w:sz w:val="32"/>
          <w:szCs w:val="32"/>
          <w:lang w:bidi="ar"/>
        </w:rPr>
        <w:t>坚持医养结合，加快建设生态健康养老服务体系，大力发展医疗保健、休闲养老、体育健身、康体旅游、健康管理等健康服务业，培育大健康产业链。加强医疗卫生服务支撑，建立健全医疗机构与养老机构协作机制，不断探索医养融合发展新模式。鼓励采取多种形式投资健康养老产业，推动医疗、养老、旅游产业融合发展。依托秦岭、巴山和汉江建设生态健康养老示范园区，重点发展养老房产业、养老医疗与健康管理业、养老生态农业、养老文化</w:t>
      </w:r>
      <w:r>
        <w:rPr>
          <w:rFonts w:hint="eastAsia" w:ascii="仿宋_GB2312" w:hAnsi="仿宋_GB2312" w:eastAsia="仿宋_GB2312" w:cs="仿宋_GB2312"/>
          <w:color w:val="000000"/>
          <w:kern w:val="0"/>
          <w:sz w:val="32"/>
          <w:szCs w:val="32"/>
          <w:lang w:eastAsia="zh-CN" w:bidi="ar"/>
        </w:rPr>
        <w:t>业</w:t>
      </w:r>
      <w:r>
        <w:rPr>
          <w:rFonts w:hint="eastAsia" w:ascii="仿宋_GB2312" w:hAnsi="仿宋_GB2312" w:eastAsia="仿宋_GB2312" w:cs="仿宋_GB2312"/>
          <w:color w:val="000000"/>
          <w:kern w:val="0"/>
          <w:sz w:val="32"/>
          <w:szCs w:val="32"/>
          <w:lang w:bidi="ar"/>
        </w:rPr>
        <w:t>、富硒养老产品制造业，推动生态养老产业与相关产业融合发展。完善以公办老年公寓为示范、民办养老机构为主体、社区养老服务为补充、居家养老为基础的养老服务体系，组建生态健康养老服务集团，打造秦巴区域中医诊疗中心、秦巴休闲度假养老基地，建设省级健康养老试点示范市</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到2020年实现产值100亿元。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b/>
          <w:color w:val="000000"/>
          <w:kern w:val="0"/>
          <w:sz w:val="32"/>
          <w:szCs w:val="32"/>
          <w:lang w:bidi="ar"/>
        </w:rPr>
        <w:t>现代金融。</w:t>
      </w:r>
      <w:r>
        <w:rPr>
          <w:rFonts w:hint="eastAsia" w:ascii="仿宋_GB2312" w:hAnsi="仿宋_GB2312" w:eastAsia="仿宋_GB2312" w:cs="仿宋_GB2312"/>
          <w:color w:val="000000"/>
          <w:kern w:val="0"/>
          <w:sz w:val="32"/>
          <w:szCs w:val="32"/>
          <w:lang w:bidi="ar"/>
        </w:rPr>
        <w:t>大力发展普惠金融、民生金融、互联网金融和绿色金融，不断完善金融组织、金融市场、金融监管和金融信用四大体系，提高金融服务实体经济效率</w:t>
      </w:r>
      <w:r>
        <w:rPr>
          <w:rFonts w:hint="eastAsia" w:ascii="仿宋_GB2312" w:hAnsi="仿宋_GB2312" w:eastAsia="仿宋_GB2312" w:cs="仿宋_GB2312"/>
          <w:color w:val="000000"/>
          <w:kern w:val="0"/>
          <w:sz w:val="32"/>
          <w:szCs w:val="32"/>
          <w:lang w:eastAsia="zh-CN" w:bidi="ar"/>
        </w:rPr>
        <w:t>，增强金融支撑保障能力</w:t>
      </w:r>
      <w:r>
        <w:rPr>
          <w:rFonts w:hint="eastAsia" w:ascii="仿宋_GB2312" w:hAnsi="仿宋_GB2312" w:eastAsia="仿宋_GB2312" w:cs="仿宋_GB2312"/>
          <w:color w:val="000000"/>
          <w:kern w:val="0"/>
          <w:sz w:val="32"/>
          <w:szCs w:val="32"/>
          <w:lang w:bidi="ar"/>
        </w:rPr>
        <w:t>。引导市级金融机构北迁，建设高新区金融聚集区。发起设立市本级商业银行，实现“本土银行”零突破。大力实施金融精准扶贫、民生金融示范、创新金融培育示范带及政策性金融扶贫</w:t>
      </w:r>
      <w:r>
        <w:rPr>
          <w:rFonts w:hint="eastAsia" w:ascii="仿宋_GB2312" w:hAnsi="仿宋_GB2312" w:eastAsia="仿宋_GB2312" w:cs="仿宋_GB2312"/>
          <w:color w:val="000000"/>
          <w:kern w:val="0"/>
          <w:sz w:val="32"/>
          <w:szCs w:val="32"/>
          <w:lang w:eastAsia="zh-CN" w:bidi="ar"/>
        </w:rPr>
        <w:t>实验</w:t>
      </w:r>
      <w:r>
        <w:rPr>
          <w:rFonts w:hint="eastAsia" w:ascii="仿宋_GB2312" w:hAnsi="仿宋_GB2312" w:eastAsia="仿宋_GB2312" w:cs="仿宋_GB2312"/>
          <w:color w:val="000000"/>
          <w:kern w:val="0"/>
          <w:sz w:val="32"/>
          <w:szCs w:val="32"/>
          <w:lang w:bidi="ar"/>
        </w:rPr>
        <w:t>示范区等金融创新工程</w:t>
      </w:r>
      <w:bookmarkStart w:id="21" w:name="_Toc305964889"/>
      <w:bookmarkEnd w:id="21"/>
      <w:r>
        <w:rPr>
          <w:rFonts w:hint="eastAsia" w:ascii="仿宋_GB2312" w:hAnsi="仿宋_GB2312" w:eastAsia="仿宋_GB2312" w:cs="仿宋_GB2312"/>
          <w:color w:val="000000"/>
          <w:kern w:val="0"/>
          <w:sz w:val="32"/>
          <w:szCs w:val="32"/>
          <w:lang w:bidi="ar"/>
        </w:rPr>
        <w:t>。积极推进互联网金融建设，推动金融工具、金融市场、金融组织结构及金融运行机制创新。加快发展多层次资本市场，积极推动符合条件的企业上市融资。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eastAsia="仿宋_GB2312" w:cs="仿宋_GB2312-WinCharSetFFFF-H"/>
          <w:color w:val="000000"/>
          <w:kern w:val="0"/>
          <w:sz w:val="32"/>
          <w:szCs w:val="32"/>
        </w:rPr>
      </w:pPr>
      <w:r>
        <w:rPr>
          <w:rFonts w:hint="eastAsia" w:ascii="仿宋_GB2312" w:hAnsi="仿宋_GB2312" w:eastAsia="仿宋_GB2312" w:cs="仿宋_GB2312"/>
          <w:b/>
          <w:bCs/>
          <w:color w:val="000000"/>
          <w:kern w:val="0"/>
          <w:sz w:val="32"/>
          <w:szCs w:val="32"/>
          <w:lang w:bidi="ar"/>
        </w:rPr>
        <w:t>文化产业。</w:t>
      </w:r>
      <w:r>
        <w:rPr>
          <w:rFonts w:hint="eastAsia" w:ascii="仿宋_GB2312" w:eastAsia="仿宋_GB2312" w:cs="仿宋_GB2312-WinCharSetFFFF-H"/>
          <w:color w:val="000000"/>
          <w:kern w:val="0"/>
          <w:sz w:val="32"/>
          <w:szCs w:val="32"/>
        </w:rPr>
        <w:t>依托特色文化和生态旅游资源，培育一批骨干文化企业，打造一批特色文化产品，建成一批文化产业园区和</w:t>
      </w:r>
      <w:r>
        <w:rPr>
          <w:rFonts w:hint="eastAsia" w:ascii="仿宋_GB2312" w:eastAsia="仿宋_GB2312" w:cs="仿宋_GB2312-WinCharSetFFFF-H"/>
          <w:color w:val="000000"/>
          <w:kern w:val="0"/>
          <w:sz w:val="32"/>
          <w:szCs w:val="32"/>
          <w:lang w:eastAsia="zh-CN"/>
        </w:rPr>
        <w:t>示范</w:t>
      </w:r>
      <w:r>
        <w:rPr>
          <w:rFonts w:hint="eastAsia" w:ascii="仿宋_GB2312" w:eastAsia="仿宋_GB2312" w:cs="仿宋_GB2312-WinCharSetFFFF-H"/>
          <w:color w:val="000000"/>
          <w:kern w:val="0"/>
          <w:sz w:val="32"/>
          <w:szCs w:val="32"/>
        </w:rPr>
        <w:t>基地。加快发展</w:t>
      </w:r>
      <w:r>
        <w:rPr>
          <w:rFonts w:hint="eastAsia" w:ascii="仿宋_GB2312" w:eastAsia="仿宋_GB2312"/>
          <w:color w:val="000000"/>
          <w:kern w:val="0"/>
          <w:sz w:val="32"/>
          <w:szCs w:val="32"/>
        </w:rPr>
        <w:t>“</w:t>
      </w:r>
      <w:r>
        <w:rPr>
          <w:rFonts w:hint="eastAsia" w:ascii="仿宋_GB2312" w:eastAsia="仿宋_GB2312" w:cs="仿宋_GB2312-WinCharSetFFFF-H"/>
          <w:color w:val="000000"/>
          <w:kern w:val="0"/>
          <w:sz w:val="32"/>
          <w:szCs w:val="32"/>
        </w:rPr>
        <w:t>文化</w:t>
      </w:r>
      <w:r>
        <w:rPr>
          <w:rFonts w:hint="eastAsia" w:ascii="仿宋_GB2312" w:eastAsia="仿宋_GB2312"/>
          <w:color w:val="000000"/>
          <w:kern w:val="0"/>
          <w:sz w:val="32"/>
          <w:szCs w:val="32"/>
        </w:rPr>
        <w:t>+”</w:t>
      </w:r>
      <w:r>
        <w:rPr>
          <w:rFonts w:hint="eastAsia" w:ascii="仿宋_GB2312" w:eastAsia="仿宋_GB2312" w:cs="仿宋_GB2312-WinCharSetFFFF-H"/>
          <w:color w:val="000000"/>
          <w:kern w:val="0"/>
          <w:sz w:val="32"/>
          <w:szCs w:val="32"/>
        </w:rPr>
        <w:t>新业态，推进文化与旅游、体育、科技、信息、金融、健康养老等产业融合发展。重点培育文化旅游、文化创意、数字传媒、文娱演艺、广告会展等门类。以龙舟文化园为基础建设中心城区“一江两岸”休闲文化产业带</w:t>
      </w:r>
      <w:r>
        <w:rPr>
          <w:rFonts w:hint="eastAsia" w:ascii="仿宋_GB2312" w:eastAsia="仿宋_GB2312" w:cs="仿宋_GB2312-WinCharSetFFFF-H"/>
          <w:color w:val="000000"/>
          <w:kern w:val="0"/>
          <w:sz w:val="32"/>
          <w:szCs w:val="32"/>
          <w:lang w:eastAsia="zh-CN"/>
        </w:rPr>
        <w:t>，</w:t>
      </w:r>
      <w:r>
        <w:rPr>
          <w:rFonts w:hint="eastAsia" w:ascii="仿宋_GB2312" w:eastAsia="仿宋_GB2312" w:cs="仿宋_GB2312-WinCharSetFFFF-H"/>
          <w:color w:val="000000"/>
          <w:kern w:val="0"/>
          <w:sz w:val="32"/>
          <w:szCs w:val="32"/>
        </w:rPr>
        <w:t>打造休闲养生、民俗演艺及富硒茶文化品牌，提高产业规模化、集约化、专业化发展水平，形成安康特色文化产业体系。到</w:t>
      </w:r>
      <w:r>
        <w:rPr>
          <w:rFonts w:hint="eastAsia" w:ascii="仿宋_GB2312" w:eastAsia="仿宋_GB2312"/>
          <w:color w:val="000000"/>
          <w:kern w:val="0"/>
          <w:sz w:val="32"/>
          <w:szCs w:val="32"/>
        </w:rPr>
        <w:t>2020</w:t>
      </w:r>
      <w:r>
        <w:rPr>
          <w:rFonts w:hint="eastAsia" w:ascii="仿宋_GB2312" w:eastAsia="仿宋_GB2312" w:cs="仿宋_GB2312-WinCharSetFFFF-H"/>
          <w:color w:val="000000"/>
          <w:kern w:val="0"/>
          <w:sz w:val="32"/>
          <w:szCs w:val="32"/>
        </w:rPr>
        <w:t>年，全市规模以上文化企业达</w:t>
      </w:r>
      <w:r>
        <w:rPr>
          <w:rFonts w:hint="eastAsia" w:ascii="仿宋_GB2312" w:eastAsia="仿宋_GB2312"/>
          <w:color w:val="000000"/>
          <w:kern w:val="0"/>
          <w:sz w:val="32"/>
          <w:szCs w:val="32"/>
        </w:rPr>
        <w:t>100</w:t>
      </w:r>
      <w:r>
        <w:rPr>
          <w:rFonts w:hint="eastAsia" w:ascii="仿宋_GB2312" w:eastAsia="仿宋_GB2312" w:cs="仿宋_GB2312-WinCharSetFFFF-H"/>
          <w:color w:val="000000"/>
          <w:kern w:val="0"/>
          <w:sz w:val="32"/>
          <w:szCs w:val="32"/>
        </w:rPr>
        <w:t>家以上，文化产业成为支柱产业。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b/>
          <w:color w:val="000000"/>
          <w:kern w:val="0"/>
          <w:sz w:val="32"/>
          <w:szCs w:val="32"/>
          <w:lang w:bidi="ar"/>
        </w:rPr>
        <w:t>商贸服务。</w:t>
      </w:r>
      <w:r>
        <w:rPr>
          <w:rFonts w:hint="eastAsia" w:ascii="仿宋_GB2312" w:hAnsi="仿宋_GB2312" w:eastAsia="仿宋_GB2312" w:cs="仿宋_GB2312"/>
          <w:color w:val="000000"/>
          <w:kern w:val="0"/>
          <w:sz w:val="32"/>
          <w:szCs w:val="32"/>
          <w:lang w:bidi="ar"/>
        </w:rPr>
        <w:t>加快商贸服务业转型升级和创新发展，推动传统服务业向精细和高品质转变。完善有序衔接、城乡一体的农产品商贸流通体系，实施居民生活服务设施升级改造工程，建设一批集标准化菜市场、便利店、快餐店、配送站、再生资源回收点等功能为一体的社区综合服务中心。以特色美食商业街和放心早餐示范工程为重点，创新发展大众化餐饮。挖掘文化内涵，加强基地建设、品牌打造、名厨培养、宣传推介、政策扶持，依托龙头企业和电子商务，坚持市场化、标准化，</w:t>
      </w:r>
      <w:r>
        <w:rPr>
          <w:rFonts w:hint="eastAsia" w:ascii="仿宋_GB2312" w:hAnsi="仿宋_GB2312" w:eastAsia="仿宋_GB2312" w:cs="仿宋_GB2312"/>
          <w:color w:val="000000"/>
          <w:kern w:val="0"/>
          <w:sz w:val="32"/>
          <w:szCs w:val="32"/>
          <w:lang w:eastAsia="zh-CN" w:bidi="ar"/>
        </w:rPr>
        <w:t>培育</w:t>
      </w:r>
      <w:r>
        <w:rPr>
          <w:rFonts w:hint="eastAsia" w:ascii="仿宋_GB2312" w:hAnsi="仿宋_GB2312" w:eastAsia="仿宋_GB2312" w:cs="仿宋_GB2312"/>
          <w:color w:val="000000"/>
          <w:kern w:val="0"/>
          <w:sz w:val="32"/>
          <w:szCs w:val="32"/>
          <w:lang w:bidi="ar"/>
        </w:rPr>
        <w:t>安康美食、小吃产业，着力打造“金州美食”知名品牌。</w:t>
      </w:r>
    </w:p>
    <w:p>
      <w:pPr>
        <w:spacing w:line="560" w:lineRule="exact"/>
        <w:jc w:val="center"/>
        <w:rPr>
          <w:rFonts w:hint="eastAsia" w:ascii="黑体" w:hAnsi="黑体" w:eastAsia="黑体" w:cs="黑体"/>
          <w:snapToGrid w:val="0"/>
          <w:color w:val="000000"/>
          <w:kern w:val="0"/>
          <w:sz w:val="28"/>
          <w:szCs w:val="28"/>
          <w:lang w:val="en-US" w:eastAsia="zh-CN"/>
        </w:rPr>
      </w:pPr>
      <w:r>
        <w:rPr>
          <w:rFonts w:hint="eastAsia" w:ascii="黑体" w:hAnsi="黑体" w:eastAsia="黑体" w:cs="黑体"/>
          <w:snapToGrid w:val="0"/>
          <w:color w:val="000000"/>
          <w:kern w:val="0"/>
          <w:sz w:val="28"/>
          <w:szCs w:val="28"/>
          <w:lang w:val="en-US" w:eastAsia="zh-CN"/>
        </w:rPr>
        <w:t>专栏6　新兴服务业重点工程</w:t>
      </w:r>
    </w:p>
    <w:tbl>
      <w:tblPr>
        <w:tblStyle w:val="21"/>
        <w:tblW w:w="0" w:type="auto"/>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754"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2" w:firstLineChars="200"/>
              <w:jc w:val="both"/>
              <w:textAlignment w:val="auto"/>
              <w:outlineLvl w:val="9"/>
              <w:rPr>
                <w:rFonts w:hint="eastAsia" w:ascii="宋体" w:hAnsi="宋体" w:eastAsia="宋体" w:cs="宋体"/>
                <w:snapToGrid w:val="0"/>
                <w:color w:val="000000"/>
                <w:sz w:val="24"/>
                <w:szCs w:val="21"/>
              </w:rPr>
            </w:pPr>
            <w:r>
              <w:rPr>
                <w:rFonts w:hint="eastAsia" w:ascii="宋体" w:hAnsi="宋体" w:eastAsia="宋体" w:cs="宋体"/>
                <w:b/>
                <w:bCs/>
                <w:snapToGrid w:val="0"/>
                <w:color w:val="000000"/>
                <w:sz w:val="24"/>
                <w:szCs w:val="21"/>
              </w:rPr>
              <w:t>电子商务：</w:t>
            </w:r>
            <w:r>
              <w:rPr>
                <w:rFonts w:hint="eastAsia" w:ascii="宋体" w:hAnsi="宋体" w:eastAsia="宋体" w:cs="宋体"/>
                <w:snapToGrid w:val="0"/>
                <w:color w:val="000000"/>
                <w:sz w:val="24"/>
                <w:szCs w:val="21"/>
              </w:rPr>
              <w:t>国家电子商务示范城市创建、中国西北（安康）国际天贸城国家电子商务示范基地创建、企业电商平台建设项目、“安康富硒产品网上行”项目、“中国特产·安康特色馆”建设</w:t>
            </w:r>
            <w:r>
              <w:rPr>
                <w:rFonts w:hint="eastAsia" w:ascii="宋体" w:hAnsi="宋体" w:eastAsia="宋体" w:cs="宋体"/>
                <w:snapToGrid w:val="0"/>
                <w:color w:val="000000"/>
                <w:sz w:val="24"/>
                <w:szCs w:val="21"/>
                <w:lang w:eastAsia="zh-CN"/>
              </w:rPr>
              <w:t>项目</w:t>
            </w:r>
            <w:r>
              <w:rPr>
                <w:rFonts w:hint="eastAsia" w:ascii="宋体" w:hAnsi="宋体" w:eastAsia="宋体" w:cs="宋体"/>
                <w:snapToGrid w:val="0"/>
                <w:color w:val="000000"/>
                <w:sz w:val="24"/>
                <w:szCs w:val="21"/>
              </w:rPr>
              <w:t>、快递末端服务平台建设项目。</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2" w:firstLineChars="200"/>
              <w:jc w:val="both"/>
              <w:textAlignment w:val="auto"/>
              <w:outlineLvl w:val="9"/>
              <w:rPr>
                <w:rFonts w:hint="eastAsia" w:ascii="宋体" w:hAnsi="宋体" w:eastAsia="宋体" w:cs="宋体"/>
                <w:snapToGrid w:val="0"/>
                <w:color w:val="000000"/>
                <w:sz w:val="24"/>
                <w:szCs w:val="21"/>
              </w:rPr>
            </w:pPr>
            <w:r>
              <w:rPr>
                <w:rFonts w:hint="eastAsia" w:ascii="宋体" w:hAnsi="宋体" w:eastAsia="宋体" w:cs="宋体"/>
                <w:b/>
                <w:bCs/>
                <w:snapToGrid w:val="0"/>
                <w:color w:val="000000"/>
                <w:sz w:val="24"/>
                <w:szCs w:val="21"/>
              </w:rPr>
              <w:t>健康养老：</w:t>
            </w:r>
            <w:r>
              <w:rPr>
                <w:rFonts w:hint="eastAsia" w:ascii="宋体" w:hAnsi="宋体" w:eastAsia="宋体" w:cs="宋体"/>
                <w:snapToGrid w:val="0"/>
                <w:color w:val="000000"/>
                <w:sz w:val="24"/>
                <w:szCs w:val="21"/>
              </w:rPr>
              <w:t>“134”健康养老服务体系构建项目、市县区公办老年公寓全覆盖项目、民办养老服务机构培育、城市社区老年人日间照料中心、农村互助幸福院建设，富硒休闲养生谷、医养结合异地健康养老基地。</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2" w:firstLineChars="200"/>
              <w:jc w:val="both"/>
              <w:textAlignment w:val="auto"/>
              <w:outlineLvl w:val="9"/>
              <w:rPr>
                <w:rFonts w:hint="eastAsia" w:ascii="宋体" w:hAnsi="宋体" w:eastAsia="宋体" w:cs="宋体"/>
                <w:snapToGrid w:val="0"/>
                <w:color w:val="000000"/>
                <w:sz w:val="24"/>
                <w:szCs w:val="21"/>
              </w:rPr>
            </w:pPr>
            <w:r>
              <w:rPr>
                <w:rFonts w:hint="eastAsia" w:ascii="宋体" w:hAnsi="宋体" w:eastAsia="宋体" w:cs="宋体"/>
                <w:b/>
                <w:bCs/>
                <w:snapToGrid w:val="0"/>
                <w:color w:val="000000"/>
                <w:sz w:val="24"/>
                <w:szCs w:val="21"/>
              </w:rPr>
              <w:t>现代金融：</w:t>
            </w:r>
            <w:r>
              <w:rPr>
                <w:rFonts w:hint="eastAsia" w:ascii="宋体" w:hAnsi="宋体" w:eastAsia="宋体" w:cs="宋体"/>
                <w:snapToGrid w:val="0"/>
                <w:color w:val="000000"/>
                <w:sz w:val="24"/>
                <w:szCs w:val="21"/>
              </w:rPr>
              <w:t>物联网金融试点、“三县一带”普惠金融试点、县域农商行全覆盖项目</w:t>
            </w:r>
            <w:r>
              <w:rPr>
                <w:rFonts w:hint="eastAsia" w:ascii="宋体" w:hAnsi="宋体" w:eastAsia="宋体" w:cs="宋体"/>
                <w:snapToGrid w:val="0"/>
                <w:color w:val="000000"/>
                <w:sz w:val="24"/>
                <w:szCs w:val="21"/>
                <w:lang w:eastAsia="zh-CN"/>
              </w:rPr>
              <w:t>及</w:t>
            </w:r>
            <w:r>
              <w:rPr>
                <w:rFonts w:hint="eastAsia" w:ascii="宋体" w:hAnsi="宋体" w:eastAsia="宋体" w:cs="宋体"/>
                <w:snapToGrid w:val="0"/>
                <w:color w:val="000000"/>
                <w:sz w:val="24"/>
                <w:szCs w:val="21"/>
              </w:rPr>
              <w:t>融资信息服务平台建设、政府融资平台建设、“信用安康”创建项目。</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left"/>
              <w:textAlignment w:val="auto"/>
              <w:rPr>
                <w:rFonts w:hint="eastAsia" w:ascii="黑体" w:hAnsi="黑体" w:eastAsia="黑体" w:cs="黑体"/>
                <w:snapToGrid w:val="0"/>
                <w:color w:val="000000"/>
                <w:kern w:val="0"/>
                <w:sz w:val="28"/>
                <w:szCs w:val="28"/>
                <w:vertAlign w:val="baseline"/>
                <w:lang w:val="en-US" w:eastAsia="zh-CN"/>
              </w:rPr>
            </w:pPr>
            <w:r>
              <w:rPr>
                <w:rFonts w:hint="eastAsia" w:ascii="宋体" w:hAnsi="宋体" w:eastAsia="宋体" w:cs="宋体"/>
                <w:b/>
                <w:bCs/>
                <w:snapToGrid w:val="0"/>
                <w:color w:val="000000"/>
                <w:sz w:val="24"/>
                <w:szCs w:val="21"/>
                <w:lang w:val="en-US" w:eastAsia="zh-CN"/>
              </w:rPr>
              <w:t xml:space="preserve">    </w:t>
            </w:r>
            <w:r>
              <w:rPr>
                <w:rFonts w:hint="eastAsia" w:ascii="宋体" w:hAnsi="宋体" w:eastAsia="宋体" w:cs="宋体"/>
                <w:b/>
                <w:bCs/>
                <w:snapToGrid w:val="0"/>
                <w:color w:val="000000"/>
                <w:sz w:val="24"/>
                <w:szCs w:val="21"/>
              </w:rPr>
              <w:t>文化产业：</w:t>
            </w:r>
            <w:r>
              <w:rPr>
                <w:rFonts w:hint="eastAsia" w:ascii="宋体" w:hAnsi="宋体" w:eastAsia="宋体" w:cs="宋体"/>
                <w:snapToGrid w:val="0"/>
                <w:color w:val="000000"/>
                <w:sz w:val="24"/>
                <w:szCs w:val="21"/>
              </w:rPr>
              <w:t>“一江两岸”休闲文化产业带、江南城区文化产业聚集区、江北高新文化产业示范区、</w:t>
            </w:r>
            <w:r>
              <w:rPr>
                <w:rFonts w:hint="eastAsia" w:ascii="宋体" w:hAnsi="宋体" w:cs="宋体"/>
                <w:bCs/>
                <w:snapToGrid w:val="0"/>
                <w:color w:val="000000"/>
                <w:sz w:val="24"/>
                <w:szCs w:val="21"/>
              </w:rPr>
              <w:t>安康汉水丝源文化产业园，</w:t>
            </w:r>
            <w:r>
              <w:rPr>
                <w:rFonts w:hint="eastAsia" w:ascii="宋体" w:hAnsi="宋体" w:eastAsia="宋体" w:cs="宋体"/>
                <w:snapToGrid w:val="0"/>
                <w:color w:val="000000"/>
                <w:sz w:val="24"/>
                <w:szCs w:val="21"/>
              </w:rPr>
              <w:t>恒口古镇文化旅游综合体、汉阴凤堰古梯田文化展示区、石泉后柳水乡休闲文化体验区、岚皋巴人部落休闲体验区，演艺、会展、传媒产业龙头企业孵化项目，文化主题公园、动漫创业园、影视基地建设项目。</w:t>
            </w:r>
          </w:p>
        </w:tc>
      </w:tr>
    </w:tbl>
    <w:p>
      <w:pPr>
        <w:spacing w:line="560" w:lineRule="exact"/>
        <w:jc w:val="center"/>
        <w:rPr>
          <w:rFonts w:hint="eastAsia" w:ascii="黑体" w:hAnsi="黑体" w:eastAsia="黑体" w:cs="黑体"/>
          <w:snapToGrid w:val="0"/>
          <w:color w:val="000000"/>
          <w:kern w:val="0"/>
          <w:sz w:val="28"/>
          <w:szCs w:val="28"/>
          <w:lang w:val="en-US" w:eastAsia="zh-CN"/>
        </w:rPr>
      </w:pPr>
    </w:p>
    <w:p>
      <w:pPr>
        <w:spacing w:line="580" w:lineRule="exact"/>
        <w:jc w:val="center"/>
        <w:rPr>
          <w:rFonts w:hint="eastAsia" w:ascii="黑体" w:hAnsi="黑体" w:eastAsia="黑体" w:cs="黑体"/>
          <w:bCs/>
          <w:snapToGrid w:val="0"/>
          <w:color w:val="000000"/>
          <w:kern w:val="0"/>
          <w:sz w:val="32"/>
          <w:szCs w:val="32"/>
        </w:rPr>
      </w:pPr>
    </w:p>
    <w:p>
      <w:pPr>
        <w:spacing w:line="580" w:lineRule="exact"/>
        <w:jc w:val="center"/>
        <w:rPr>
          <w:rFonts w:hint="eastAsia" w:ascii="黑体" w:hAnsi="黑体" w:eastAsia="黑体" w:cs="黑体"/>
          <w:bCs/>
          <w:snapToGrid w:val="0"/>
          <w:color w:val="000000"/>
          <w:kern w:val="0"/>
          <w:sz w:val="32"/>
          <w:szCs w:val="32"/>
        </w:rPr>
      </w:pPr>
      <w:r>
        <w:rPr>
          <w:rFonts w:hint="eastAsia" w:ascii="黑体" w:hAnsi="黑体" w:eastAsia="黑体" w:cs="黑体"/>
          <w:bCs/>
          <w:snapToGrid w:val="0"/>
          <w:color w:val="000000"/>
          <w:kern w:val="0"/>
          <w:sz w:val="32"/>
          <w:szCs w:val="32"/>
        </w:rPr>
        <w:t>第十一节</w:t>
      </w:r>
      <w:r>
        <w:rPr>
          <w:rFonts w:hint="eastAsia" w:ascii="黑体" w:hAnsi="黑体" w:eastAsia="黑体" w:cs="黑体"/>
          <w:bCs/>
          <w:snapToGrid w:val="0"/>
          <w:color w:val="000000"/>
          <w:kern w:val="0"/>
          <w:sz w:val="32"/>
          <w:szCs w:val="32"/>
          <w:lang w:val="en-US" w:eastAsia="zh-CN"/>
        </w:rPr>
        <w:t xml:space="preserve">  </w:t>
      </w:r>
      <w:r>
        <w:rPr>
          <w:rFonts w:hint="eastAsia" w:ascii="黑体" w:hAnsi="黑体" w:eastAsia="黑体" w:cs="黑体"/>
          <w:bCs/>
          <w:snapToGrid w:val="0"/>
          <w:color w:val="000000"/>
          <w:kern w:val="0"/>
          <w:sz w:val="32"/>
          <w:szCs w:val="32"/>
        </w:rPr>
        <w:t>做优特色高效</w:t>
      </w:r>
      <w:r>
        <w:rPr>
          <w:rFonts w:hint="eastAsia" w:ascii="黑体" w:hAnsi="黑体" w:eastAsia="黑体" w:cs="黑体"/>
          <w:bCs/>
          <w:snapToGrid w:val="0"/>
          <w:color w:val="000000"/>
          <w:kern w:val="0"/>
          <w:sz w:val="32"/>
          <w:szCs w:val="32"/>
          <w:lang w:eastAsia="zh-CN"/>
        </w:rPr>
        <w:t>现代</w:t>
      </w:r>
      <w:r>
        <w:rPr>
          <w:rFonts w:hint="eastAsia" w:ascii="黑体" w:hAnsi="黑体" w:eastAsia="黑体" w:cs="黑体"/>
          <w:bCs/>
          <w:snapToGrid w:val="0"/>
          <w:color w:val="000000"/>
          <w:kern w:val="0"/>
          <w:sz w:val="32"/>
          <w:szCs w:val="32"/>
        </w:rPr>
        <w:t>农业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加快转变农业发展方式，努力将安康现代农业打造成服务</w:t>
      </w:r>
      <w:r>
        <w:rPr>
          <w:rFonts w:hint="eastAsia" w:ascii="仿宋_GB2312" w:hAnsi="仿宋_GB2312" w:eastAsia="仿宋_GB2312" w:cs="仿宋_GB2312"/>
          <w:snapToGrid w:val="0"/>
          <w:color w:val="000000"/>
          <w:kern w:val="0"/>
          <w:sz w:val="32"/>
          <w:szCs w:val="32"/>
          <w:lang w:eastAsia="zh-CN"/>
        </w:rPr>
        <w:t>工业</w:t>
      </w:r>
      <w:r>
        <w:rPr>
          <w:rFonts w:hint="eastAsia" w:ascii="仿宋_GB2312" w:hAnsi="仿宋_GB2312" w:eastAsia="仿宋_GB2312" w:cs="仿宋_GB2312"/>
          <w:snapToGrid w:val="0"/>
          <w:color w:val="000000"/>
          <w:kern w:val="0"/>
          <w:sz w:val="32"/>
          <w:szCs w:val="32"/>
        </w:rPr>
        <w:t>、优质高效、科技创新、富裕农民的农业。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b/>
          <w:bCs/>
          <w:snapToGrid w:val="0"/>
          <w:color w:val="000000"/>
          <w:kern w:val="0"/>
          <w:sz w:val="32"/>
          <w:szCs w:val="32"/>
        </w:rPr>
        <w:t>做优富硒粮油。</w:t>
      </w:r>
      <w:r>
        <w:rPr>
          <w:rFonts w:hint="eastAsia" w:ascii="仿宋_GB2312" w:hAnsi="仿宋_GB2312" w:eastAsia="仿宋_GB2312" w:cs="仿宋_GB2312"/>
          <w:snapToGrid w:val="0"/>
          <w:color w:val="000000"/>
          <w:kern w:val="0"/>
          <w:sz w:val="32"/>
          <w:szCs w:val="32"/>
        </w:rPr>
        <w:t>加强高标准基本农田建设，实施“粮食安全工程”，确保粮食供给。提高粮油单产，稳定粮食播种面积400万亩、总产80万吨，油料面积105万亩、总产15万吨。推广</w:t>
      </w:r>
      <w:r>
        <w:rPr>
          <w:rFonts w:hint="eastAsia" w:ascii="仿宋_GB2312" w:hAnsi="仿宋_GB2312" w:eastAsia="仿宋_GB2312" w:cs="仿宋_GB2312"/>
          <w:snapToGrid w:val="0"/>
          <w:color w:val="000000"/>
          <w:kern w:val="0"/>
          <w:sz w:val="32"/>
          <w:szCs w:val="32"/>
          <w:lang w:eastAsia="zh-CN"/>
        </w:rPr>
        <w:t>农业实用新</w:t>
      </w:r>
      <w:r>
        <w:rPr>
          <w:rFonts w:hint="eastAsia" w:ascii="仿宋_GB2312" w:hAnsi="仿宋_GB2312" w:eastAsia="仿宋_GB2312" w:cs="仿宋_GB2312"/>
          <w:snapToGrid w:val="0"/>
          <w:color w:val="000000"/>
          <w:kern w:val="0"/>
          <w:sz w:val="32"/>
          <w:szCs w:val="32"/>
        </w:rPr>
        <w:t>技术，调整优化粮经作物生产结构，大力实施“扩薯增油”战略，马铃薯种植面积100万亩、产量95万吨以上。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_GB2312" w:hAnsi="仿宋_GB2312" w:eastAsia="仿宋_GB2312" w:cs="仿宋_GB2312"/>
          <w:b/>
          <w:snapToGrid w:val="0"/>
          <w:color w:val="000000"/>
          <w:kern w:val="0"/>
          <w:sz w:val="32"/>
          <w:szCs w:val="32"/>
        </w:rPr>
      </w:pPr>
      <w:r>
        <w:rPr>
          <w:rFonts w:hint="eastAsia" w:ascii="仿宋_GB2312" w:hAnsi="仿宋_GB2312" w:eastAsia="仿宋_GB2312" w:cs="仿宋_GB2312"/>
          <w:b/>
          <w:snapToGrid w:val="0"/>
          <w:color w:val="000000"/>
          <w:kern w:val="0"/>
          <w:sz w:val="32"/>
          <w:szCs w:val="32"/>
        </w:rPr>
        <w:t>提升富硒茶产业</w:t>
      </w:r>
      <w:r>
        <w:rPr>
          <w:rFonts w:hint="eastAsia" w:ascii="仿宋_GB2312" w:hAnsi="仿宋_GB2312" w:eastAsia="仿宋_GB2312" w:cs="仿宋_GB2312"/>
          <w:snapToGrid w:val="0"/>
          <w:color w:val="000000"/>
          <w:kern w:val="0"/>
          <w:sz w:val="32"/>
          <w:szCs w:val="32"/>
        </w:rPr>
        <w:t>。坚持市场导向、生态环保、科技支撑、园区承载，紧紧围绕富硒茶全产业链，大力实施富硒茶创新行动计划，加快茶产业升级换代，提升富硒茶产品开发和品牌打造能力，做大做强富硒茶产业，打造支撑农村经济、促进农民增收的头号产业。到2020年，建成特色立体复合生态茶园100万亩，建设生态茶庄园100个，实现产值100亿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b/>
          <w:snapToGrid w:val="0"/>
          <w:color w:val="000000"/>
          <w:kern w:val="0"/>
          <w:sz w:val="32"/>
          <w:szCs w:val="32"/>
        </w:rPr>
        <w:t>做大魔芋产业。</w:t>
      </w:r>
      <w:r>
        <w:rPr>
          <w:rFonts w:hint="eastAsia" w:ascii="仿宋_GB2312" w:hAnsi="仿宋_GB2312" w:eastAsia="仿宋_GB2312" w:cs="仿宋_GB2312"/>
          <w:snapToGrid w:val="0"/>
          <w:color w:val="000000"/>
          <w:kern w:val="0"/>
          <w:sz w:val="32"/>
          <w:szCs w:val="32"/>
        </w:rPr>
        <w:t>推行魔芋标准化种植，建成岚皋、紫阳、旬阳、汉滨、汉阴5个市级核心种源基地，不断完善加工和销售体系。到2020年，建成优质魔芋种植基地50万亩，其中林下种植基地30万亩，实现综合产值50亿元。培育规模以上省级龙头企业10户、市级龙头企业20户，省级现代农业园区10户、市级现代农业园区40户，建设大型富硒魔芋产品交易中心1个，将安康建成“全国魔芋之乡”和“全国魔芋第一市”，</w:t>
      </w:r>
      <w:r>
        <w:rPr>
          <w:rFonts w:hint="eastAsia" w:ascii="仿宋_GB2312" w:hAnsi="仿宋_GB2312" w:eastAsia="仿宋_GB2312" w:cs="仿宋_GB2312"/>
          <w:snapToGrid w:val="0"/>
          <w:color w:val="000000"/>
          <w:kern w:val="0"/>
          <w:sz w:val="32"/>
          <w:szCs w:val="32"/>
          <w:lang w:eastAsia="zh-CN"/>
        </w:rPr>
        <w:t>叫</w:t>
      </w:r>
      <w:r>
        <w:rPr>
          <w:rFonts w:hint="eastAsia" w:ascii="仿宋_GB2312" w:hAnsi="仿宋_GB2312" w:eastAsia="仿宋_GB2312" w:cs="仿宋_GB2312"/>
          <w:snapToGrid w:val="0"/>
          <w:color w:val="000000"/>
          <w:kern w:val="0"/>
          <w:sz w:val="32"/>
          <w:szCs w:val="32"/>
        </w:rPr>
        <w:t>响“世界魔芋看中国、富硒魔芋数安康”。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b/>
          <w:snapToGrid w:val="0"/>
          <w:color w:val="000000"/>
          <w:kern w:val="0"/>
          <w:sz w:val="32"/>
          <w:szCs w:val="32"/>
        </w:rPr>
        <w:t>做强畜牧产业。</w:t>
      </w:r>
      <w:r>
        <w:rPr>
          <w:rFonts w:hint="eastAsia" w:ascii="仿宋_GB2312" w:hAnsi="仿宋_GB2312" w:eastAsia="仿宋_GB2312" w:cs="仿宋_GB2312"/>
          <w:snapToGrid w:val="0"/>
          <w:color w:val="000000"/>
          <w:kern w:val="0"/>
          <w:sz w:val="32"/>
          <w:szCs w:val="32"/>
        </w:rPr>
        <w:t>抓好汉滨、汉阴、石泉、紫阳、平利、旬阳6个生猪养殖和良种繁育基地县及镇坪县生猪一县一业建设，建成生猪产业重点镇50个、重点村100个，打造1000万头生态猪生产基地。发展规模适度的牛、羊和禽类养殖。到2020年，全市肉类总产量55万吨、禽蛋产量4.3万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b/>
          <w:snapToGrid w:val="0"/>
          <w:color w:val="000000"/>
          <w:kern w:val="0"/>
          <w:sz w:val="32"/>
          <w:szCs w:val="32"/>
        </w:rPr>
        <w:t>稳步发展设施蔬菜。</w:t>
      </w:r>
      <w:r>
        <w:rPr>
          <w:rFonts w:hint="eastAsia" w:ascii="仿宋_GB2312" w:hAnsi="仿宋_GB2312" w:eastAsia="仿宋_GB2312" w:cs="仿宋_GB2312"/>
          <w:snapToGrid w:val="0"/>
          <w:color w:val="000000"/>
          <w:kern w:val="0"/>
          <w:sz w:val="32"/>
          <w:szCs w:val="32"/>
        </w:rPr>
        <w:t>建成一批蔬菜标准化示范园、育苗点和专业菜田，全市年种植蔬菜100万亩、总产150万吨。鼓励蔬菜生产企业提高产量、品质和市场竞争力，完善冷链物流体系，加强与京东</w:t>
      </w:r>
      <w:r>
        <w:rPr>
          <w:rFonts w:hint="eastAsia" w:ascii="仿宋_GB2312" w:hAnsi="仿宋_GB2312" w:eastAsia="仿宋_GB2312" w:cs="仿宋_GB2312"/>
          <w:snapToGrid w:val="0"/>
          <w:color w:val="000000"/>
          <w:kern w:val="0"/>
          <w:sz w:val="32"/>
          <w:szCs w:val="32"/>
          <w:lang w:eastAsia="zh-CN"/>
        </w:rPr>
        <w:t>、阿里巴巴</w:t>
      </w:r>
      <w:r>
        <w:rPr>
          <w:rFonts w:hint="eastAsia" w:ascii="仿宋_GB2312" w:hAnsi="仿宋_GB2312" w:eastAsia="仿宋_GB2312" w:cs="仿宋_GB2312"/>
          <w:snapToGrid w:val="0"/>
          <w:color w:val="000000"/>
          <w:kern w:val="0"/>
          <w:sz w:val="32"/>
          <w:szCs w:val="32"/>
        </w:rPr>
        <w:t>等知名企业合作，推动安康无公害富硒蔬菜流通陕西、走向全国。大力推广食用菌标准化、集约化和规模化生产，发展食用菌1亿袋、鲜品产量10万吨。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b/>
          <w:snapToGrid w:val="0"/>
          <w:color w:val="000000"/>
          <w:kern w:val="0"/>
          <w:sz w:val="32"/>
          <w:szCs w:val="32"/>
        </w:rPr>
        <w:t>建设现代农业园区。</w:t>
      </w:r>
      <w:r>
        <w:rPr>
          <w:rFonts w:hint="eastAsia" w:ascii="仿宋_GB2312" w:hAnsi="仿宋_GB2312" w:eastAsia="仿宋_GB2312" w:cs="仿宋_GB2312"/>
          <w:snapToGrid w:val="0"/>
          <w:color w:val="000000"/>
          <w:kern w:val="0"/>
          <w:sz w:val="32"/>
          <w:szCs w:val="32"/>
        </w:rPr>
        <w:t>实施园区建设“五个一”工程，全面提升现代农业发展水平，打造全市规模农业的示范基地、农业产业的集聚平台、现代农业的展示窗口。汉滨区和平利县建成国家现代农业示范区样板工程。到2020年，全市创建省级园区50个、市级园区200个。</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b/>
          <w:snapToGrid w:val="0"/>
          <w:color w:val="000000"/>
          <w:kern w:val="0"/>
          <w:sz w:val="32"/>
          <w:szCs w:val="32"/>
        </w:rPr>
        <w:t>大力发展山林经济。</w:t>
      </w:r>
      <w:r>
        <w:rPr>
          <w:rFonts w:hint="eastAsia" w:ascii="仿宋_GB2312" w:hAnsi="仿宋_GB2312" w:eastAsia="仿宋_GB2312" w:cs="仿宋_GB2312"/>
          <w:snapToGrid w:val="0"/>
          <w:color w:val="000000"/>
          <w:kern w:val="0"/>
          <w:sz w:val="32"/>
          <w:szCs w:val="32"/>
          <w:lang w:eastAsia="zh-CN"/>
        </w:rPr>
        <w:t>以特色林果、林木花卉、绿化苗木为重点，</w:t>
      </w:r>
      <w:r>
        <w:rPr>
          <w:rFonts w:hint="eastAsia" w:ascii="仿宋_GB2312" w:hAnsi="仿宋_GB2312" w:eastAsia="仿宋_GB2312" w:cs="仿宋_GB2312"/>
          <w:snapToGrid w:val="0"/>
          <w:color w:val="000000"/>
          <w:kern w:val="0"/>
          <w:sz w:val="32"/>
          <w:szCs w:val="32"/>
        </w:rPr>
        <w:t>加快特色林产品基地建设，大力培育林业经营主体，搞好林草、林药、林禽等结合，实现山林经济提质增效，建设山林经济发展示范市。抓好以核桃为重点的特色林果、以林下魔芋为重点的林下种养等优势产业，到2020年核桃种植面积200万亩，其中核桃丰产面积120万亩，年产核桃20万吨，实现综合产值100亿元。</w:t>
      </w:r>
    </w:p>
    <w:p>
      <w:pPr>
        <w:spacing w:line="560" w:lineRule="exact"/>
        <w:jc w:val="center"/>
        <w:rPr>
          <w:rFonts w:hint="eastAsia" w:ascii="黑体" w:hAnsi="黑体" w:eastAsia="黑体" w:cs="黑体"/>
          <w:snapToGrid w:val="0"/>
          <w:color w:val="000000"/>
          <w:kern w:val="0"/>
          <w:sz w:val="28"/>
          <w:szCs w:val="28"/>
          <w:lang w:val="en-US" w:eastAsia="zh-CN"/>
        </w:rPr>
      </w:pPr>
    </w:p>
    <w:p>
      <w:pPr>
        <w:spacing w:line="560" w:lineRule="exact"/>
        <w:jc w:val="center"/>
        <w:rPr>
          <w:rFonts w:hint="eastAsia" w:ascii="黑体" w:hAnsi="黑体" w:eastAsia="黑体" w:cs="黑体"/>
          <w:snapToGrid w:val="0"/>
          <w:color w:val="000000"/>
          <w:kern w:val="0"/>
          <w:sz w:val="28"/>
          <w:szCs w:val="28"/>
          <w:lang w:val="en-US" w:eastAsia="zh-CN"/>
        </w:rPr>
      </w:pPr>
      <w:r>
        <w:rPr>
          <w:rFonts w:hint="eastAsia" w:ascii="黑体" w:hAnsi="黑体" w:eastAsia="黑体" w:cs="黑体"/>
          <w:snapToGrid w:val="0"/>
          <w:color w:val="000000"/>
          <w:kern w:val="0"/>
          <w:sz w:val="28"/>
          <w:szCs w:val="28"/>
          <w:lang w:val="en-US" w:eastAsia="zh-CN"/>
        </w:rPr>
        <w:t>专栏7　特色高效现代农业工程</w:t>
      </w:r>
    </w:p>
    <w:tbl>
      <w:tblPr>
        <w:tblStyle w:val="21"/>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95" w:hRule="atLeast"/>
        </w:trPr>
        <w:tc>
          <w:tcPr>
            <w:tcW w:w="8796"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2" w:firstLineChars="0"/>
              <w:jc w:val="both"/>
              <w:textAlignment w:val="auto"/>
              <w:outlineLvl w:val="9"/>
              <w:rPr>
                <w:rFonts w:hint="eastAsia" w:ascii="宋体" w:hAnsi="宋体" w:eastAsia="宋体" w:cs="宋体"/>
                <w:color w:val="000000"/>
                <w:sz w:val="24"/>
              </w:rPr>
            </w:pPr>
            <w:r>
              <w:rPr>
                <w:rFonts w:hint="eastAsia" w:ascii="宋体" w:hAnsi="宋体" w:eastAsia="宋体" w:cs="宋体"/>
                <w:b/>
                <w:bCs/>
                <w:color w:val="000000"/>
                <w:sz w:val="24"/>
              </w:rPr>
              <w:t>魔芋产业：</w:t>
            </w:r>
            <w:r>
              <w:rPr>
                <w:rFonts w:hint="eastAsia" w:ascii="宋体" w:hAnsi="宋体" w:eastAsia="宋体" w:cs="宋体"/>
                <w:color w:val="000000"/>
                <w:sz w:val="24"/>
              </w:rPr>
              <w:t>在岚皋、紫阳、旬阳、汉滨、汉阴建成10万亩市级核心种源基地，幅射带动全市魔芋种植面积50万亩，魔芋产量达到65万吨。建成全国魔芋交易集散中心、全国最大的魔芋科研机构（魔芋产业研究院）。</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2" w:firstLineChars="0"/>
              <w:jc w:val="both"/>
              <w:textAlignment w:val="auto"/>
              <w:outlineLvl w:val="9"/>
              <w:rPr>
                <w:rFonts w:hint="eastAsia" w:ascii="宋体" w:hAnsi="宋体" w:eastAsia="宋体" w:cs="宋体"/>
                <w:color w:val="000000"/>
                <w:sz w:val="24"/>
              </w:rPr>
            </w:pPr>
            <w:r>
              <w:rPr>
                <w:rFonts w:hint="eastAsia" w:ascii="宋体" w:hAnsi="宋体" w:eastAsia="宋体" w:cs="宋体"/>
                <w:b/>
                <w:bCs/>
                <w:color w:val="000000"/>
                <w:sz w:val="24"/>
              </w:rPr>
              <w:t>富硒茶产业：</w:t>
            </w:r>
            <w:r>
              <w:rPr>
                <w:rFonts w:hint="eastAsia" w:ascii="宋体" w:hAnsi="宋体" w:eastAsia="宋体" w:cs="宋体"/>
                <w:color w:val="000000"/>
                <w:sz w:val="24"/>
              </w:rPr>
              <w:t>主推“陕茶一号”，建设种苗繁育基地、标准化茶园和加工生产项目，在茶叶主产区分别建成一批种苗繁育圃和母穗园，辐射带动全市建设标准化茶园100万亩，茶叶总产3.2万吨。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2" w:firstLineChars="0"/>
              <w:jc w:val="both"/>
              <w:textAlignment w:val="auto"/>
              <w:outlineLvl w:val="9"/>
              <w:rPr>
                <w:rFonts w:hint="eastAsia" w:ascii="宋体" w:hAnsi="宋体" w:eastAsia="宋体" w:cs="宋体"/>
                <w:color w:val="000000"/>
                <w:sz w:val="24"/>
              </w:rPr>
            </w:pPr>
            <w:r>
              <w:rPr>
                <w:rFonts w:hint="eastAsia" w:ascii="宋体" w:hAnsi="宋体" w:eastAsia="宋体" w:cs="宋体"/>
                <w:b/>
                <w:bCs/>
                <w:color w:val="000000"/>
                <w:sz w:val="24"/>
                <w:lang w:eastAsia="zh-CN"/>
              </w:rPr>
              <w:t>畜牧产业</w:t>
            </w:r>
            <w:r>
              <w:rPr>
                <w:rFonts w:hint="eastAsia" w:ascii="宋体" w:hAnsi="宋体" w:eastAsia="宋体" w:cs="宋体"/>
                <w:b/>
                <w:bCs/>
                <w:color w:val="000000"/>
                <w:sz w:val="24"/>
              </w:rPr>
              <w:t>：</w:t>
            </w:r>
            <w:r>
              <w:rPr>
                <w:rFonts w:hint="eastAsia" w:ascii="宋体" w:hAnsi="宋体" w:eastAsia="宋体" w:cs="宋体"/>
                <w:color w:val="000000"/>
                <w:sz w:val="24"/>
              </w:rPr>
              <w:t>在汉滨、汉阴、石泉、紫阳、平利、镇坪、旬阳县建设10个种猪繁育场，提供优质仔猪10万头以上。发展壮大阳晨生猪产业联盟。</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2" w:firstLineChars="0"/>
              <w:jc w:val="both"/>
              <w:textAlignment w:val="auto"/>
              <w:outlineLvl w:val="9"/>
              <w:rPr>
                <w:rFonts w:hint="eastAsia" w:ascii="宋体" w:hAnsi="宋体" w:eastAsia="宋体" w:cs="宋体"/>
                <w:color w:val="000000"/>
                <w:sz w:val="24"/>
              </w:rPr>
            </w:pPr>
            <w:r>
              <w:rPr>
                <w:rFonts w:hint="eastAsia" w:ascii="宋体" w:hAnsi="宋体" w:eastAsia="宋体" w:cs="宋体"/>
                <w:b/>
                <w:bCs/>
                <w:color w:val="000000"/>
                <w:sz w:val="24"/>
              </w:rPr>
              <w:t>现代农业园区：</w:t>
            </w:r>
            <w:r>
              <w:rPr>
                <w:rFonts w:hint="eastAsia" w:ascii="宋体" w:hAnsi="宋体" w:eastAsia="宋体" w:cs="宋体"/>
                <w:color w:val="000000"/>
                <w:sz w:val="24"/>
                <w:lang w:eastAsia="zh-CN"/>
              </w:rPr>
              <w:t>创建</w:t>
            </w:r>
            <w:r>
              <w:rPr>
                <w:rFonts w:hint="eastAsia" w:ascii="宋体" w:hAnsi="宋体" w:eastAsia="宋体" w:cs="宋体"/>
                <w:color w:val="000000"/>
                <w:sz w:val="24"/>
              </w:rPr>
              <w:t>省级</w:t>
            </w:r>
            <w:r>
              <w:rPr>
                <w:rFonts w:hint="eastAsia" w:ascii="宋体" w:hAnsi="宋体" w:eastAsia="宋体" w:cs="宋体"/>
                <w:color w:val="000000"/>
                <w:sz w:val="24"/>
                <w:lang w:eastAsia="zh-CN"/>
              </w:rPr>
              <w:t>农业</w:t>
            </w:r>
            <w:r>
              <w:rPr>
                <w:rFonts w:hint="eastAsia" w:ascii="宋体" w:hAnsi="宋体" w:eastAsia="宋体" w:cs="宋体"/>
                <w:color w:val="000000"/>
                <w:sz w:val="24"/>
              </w:rPr>
              <w:t>园区</w:t>
            </w:r>
            <w:r>
              <w:rPr>
                <w:rFonts w:hint="eastAsia" w:ascii="宋体" w:hAnsi="宋体" w:eastAsia="宋体" w:cs="宋体"/>
                <w:color w:val="000000"/>
                <w:sz w:val="24"/>
                <w:lang w:val="en-US" w:eastAsia="zh-CN"/>
              </w:rPr>
              <w:t>50</w:t>
            </w:r>
            <w:r>
              <w:rPr>
                <w:rFonts w:hint="eastAsia" w:ascii="宋体" w:hAnsi="宋体" w:eastAsia="宋体" w:cs="宋体"/>
                <w:color w:val="000000"/>
                <w:sz w:val="24"/>
              </w:rPr>
              <w:t>个，市级</w:t>
            </w:r>
            <w:r>
              <w:rPr>
                <w:rFonts w:hint="eastAsia" w:ascii="宋体" w:hAnsi="宋体" w:eastAsia="宋体" w:cs="宋体"/>
                <w:color w:val="000000"/>
                <w:sz w:val="24"/>
                <w:lang w:eastAsia="zh-CN"/>
              </w:rPr>
              <w:t>农业</w:t>
            </w:r>
            <w:r>
              <w:rPr>
                <w:rFonts w:hint="eastAsia" w:ascii="宋体" w:hAnsi="宋体" w:eastAsia="宋体" w:cs="宋体"/>
                <w:color w:val="000000"/>
                <w:sz w:val="24"/>
              </w:rPr>
              <w:t>园区200个。</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hint="eastAsia" w:ascii="黑体" w:hAnsi="黑体" w:eastAsia="黑体" w:cs="黑体"/>
                <w:snapToGrid w:val="0"/>
                <w:color w:val="000000"/>
                <w:kern w:val="0"/>
                <w:sz w:val="28"/>
                <w:szCs w:val="28"/>
                <w:vertAlign w:val="baseline"/>
                <w:lang w:val="en-US" w:eastAsia="zh-CN"/>
              </w:rPr>
            </w:pPr>
            <w:r>
              <w:rPr>
                <w:rFonts w:hint="eastAsia" w:ascii="宋体" w:hAnsi="宋体" w:eastAsia="宋体" w:cs="宋体"/>
                <w:b/>
                <w:bCs/>
                <w:color w:val="000000"/>
                <w:sz w:val="24"/>
                <w:lang w:val="en-US" w:eastAsia="zh-CN"/>
              </w:rPr>
              <w:t xml:space="preserve">    </w:t>
            </w:r>
            <w:r>
              <w:rPr>
                <w:rFonts w:hint="eastAsia" w:ascii="宋体" w:hAnsi="宋体" w:eastAsia="宋体" w:cs="宋体"/>
                <w:b/>
                <w:bCs/>
                <w:color w:val="000000"/>
                <w:sz w:val="24"/>
              </w:rPr>
              <w:t>菜蓝子工程：</w:t>
            </w:r>
            <w:r>
              <w:rPr>
                <w:rFonts w:hint="eastAsia" w:ascii="宋体" w:hAnsi="宋体" w:eastAsia="宋体" w:cs="宋体"/>
                <w:color w:val="000000"/>
                <w:sz w:val="24"/>
                <w:lang w:eastAsia="zh-CN"/>
              </w:rPr>
              <w:t>新建</w:t>
            </w:r>
            <w:r>
              <w:rPr>
                <w:rFonts w:hint="eastAsia" w:ascii="宋体" w:hAnsi="宋体" w:eastAsia="宋体" w:cs="宋体"/>
                <w:color w:val="000000"/>
                <w:sz w:val="24"/>
              </w:rPr>
              <w:t>改造设施蔬菜大棚10万亩，建成各类果蔬冷藏库50座。</w:t>
            </w:r>
          </w:p>
        </w:tc>
      </w:tr>
    </w:tbl>
    <w:p>
      <w:pPr>
        <w:spacing w:line="600" w:lineRule="exact"/>
        <w:jc w:val="center"/>
        <w:outlineLvl w:val="1"/>
        <w:rPr>
          <w:rFonts w:hint="eastAsia" w:ascii="黑体" w:hAnsi="黑体" w:eastAsia="黑体" w:cs="黑体"/>
          <w:color w:val="000000"/>
          <w:spacing w:val="6"/>
          <w:kern w:val="0"/>
          <w:sz w:val="32"/>
          <w:szCs w:val="32"/>
          <w:lang w:bidi="ar"/>
        </w:rPr>
      </w:pPr>
      <w:bookmarkStart w:id="22" w:name="_Toc8132"/>
    </w:p>
    <w:p>
      <w:pPr>
        <w:spacing w:line="600" w:lineRule="exact"/>
        <w:jc w:val="center"/>
        <w:outlineLvl w:val="1"/>
        <w:rPr>
          <w:rFonts w:hint="eastAsia" w:ascii="黑体" w:hAnsi="黑体" w:eastAsia="黑体" w:cs="黑体"/>
          <w:color w:val="000000"/>
          <w:spacing w:val="6"/>
          <w:kern w:val="0"/>
          <w:sz w:val="32"/>
          <w:szCs w:val="32"/>
        </w:rPr>
      </w:pPr>
      <w:r>
        <w:rPr>
          <w:rFonts w:hint="eastAsia" w:ascii="黑体" w:hAnsi="黑体" w:eastAsia="黑体" w:cs="黑体"/>
          <w:color w:val="000000"/>
          <w:spacing w:val="6"/>
          <w:kern w:val="0"/>
          <w:sz w:val="32"/>
          <w:szCs w:val="32"/>
          <w:lang w:bidi="ar"/>
        </w:rPr>
        <w:t>第十二节</w:t>
      </w:r>
      <w:r>
        <w:rPr>
          <w:rFonts w:hint="eastAsia" w:ascii="黑体" w:hAnsi="黑体" w:eastAsia="黑体" w:cs="黑体"/>
          <w:color w:val="000000"/>
          <w:spacing w:val="6"/>
          <w:kern w:val="0"/>
          <w:sz w:val="32"/>
          <w:szCs w:val="32"/>
          <w:lang w:val="en-US" w:eastAsia="zh-CN" w:bidi="ar"/>
        </w:rPr>
        <w:t xml:space="preserve">  </w:t>
      </w:r>
      <w:r>
        <w:rPr>
          <w:rFonts w:hint="eastAsia" w:ascii="黑体" w:hAnsi="黑体" w:eastAsia="黑体" w:cs="黑体"/>
          <w:color w:val="000000"/>
          <w:spacing w:val="6"/>
          <w:kern w:val="0"/>
          <w:sz w:val="32"/>
          <w:szCs w:val="32"/>
          <w:lang w:bidi="ar"/>
        </w:rPr>
        <w:t>推进产业融合创新发展</w:t>
      </w:r>
      <w:bookmarkEnd w:id="22"/>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cs="仿宋_GB2312"/>
          <w:bCs/>
          <w:color w:val="000000"/>
          <w:kern w:val="0"/>
          <w:sz w:val="32"/>
          <w:szCs w:val="32"/>
          <w:lang w:bidi="ar"/>
        </w:rPr>
      </w:pPr>
      <w:r>
        <w:rPr>
          <w:rFonts w:hint="eastAsia" w:ascii="仿宋_GB2312" w:eastAsia="仿宋_GB2312" w:cs="仿宋_GB2312"/>
          <w:bCs/>
          <w:color w:val="000000"/>
          <w:kern w:val="0"/>
          <w:sz w:val="32"/>
          <w:szCs w:val="32"/>
          <w:lang w:bidi="ar"/>
        </w:rPr>
        <w:t>抓住互联网、云计算、大数据、物联网等新一代信息技术迅猛发展的契机，推进三次产业深度融合、协同发展，形成新的生产方式、产业形态、商业模式和经济增长点。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eastAsia="仿宋_GB2312" w:cs="仿宋_GB2312"/>
          <w:color w:val="000000"/>
          <w:kern w:val="0"/>
          <w:sz w:val="32"/>
          <w:szCs w:val="32"/>
          <w:lang w:bidi="ar"/>
        </w:rPr>
      </w:pPr>
      <w:r>
        <w:rPr>
          <w:rFonts w:hint="eastAsia" w:ascii="仿宋_GB2312" w:eastAsia="仿宋_GB2312" w:cs="仿宋_GB2312"/>
          <w:b/>
          <w:color w:val="000000"/>
          <w:kern w:val="0"/>
          <w:sz w:val="32"/>
          <w:szCs w:val="32"/>
          <w:lang w:bidi="ar"/>
        </w:rPr>
        <w:t>实施“互联网</w:t>
      </w:r>
      <w:r>
        <w:rPr>
          <w:rFonts w:eastAsia="仿宋_GB2312"/>
          <w:b/>
          <w:color w:val="000000"/>
          <w:kern w:val="0"/>
          <w:sz w:val="32"/>
          <w:szCs w:val="32"/>
          <w:lang w:bidi="ar"/>
        </w:rPr>
        <w:t>+</w:t>
      </w:r>
      <w:r>
        <w:rPr>
          <w:rFonts w:hint="eastAsia" w:ascii="仿宋_GB2312" w:eastAsia="仿宋_GB2312" w:cs="仿宋_GB2312"/>
          <w:b/>
          <w:color w:val="000000"/>
          <w:kern w:val="0"/>
          <w:sz w:val="32"/>
          <w:szCs w:val="32"/>
          <w:lang w:bidi="ar"/>
        </w:rPr>
        <w:t>”行动计划。</w:t>
      </w:r>
      <w:r>
        <w:rPr>
          <w:rFonts w:hint="eastAsia" w:ascii="仿宋_GB2312" w:eastAsia="仿宋_GB2312" w:cs="仿宋_GB2312"/>
          <w:color w:val="000000"/>
          <w:kern w:val="0"/>
          <w:sz w:val="32"/>
          <w:szCs w:val="32"/>
          <w:lang w:bidi="ar"/>
        </w:rPr>
        <w:t>充分发挥互联网在生产要素中的聚集优化和协同共享作用，运用互联网技术、思维、模式，</w:t>
      </w:r>
      <w:r>
        <w:rPr>
          <w:rFonts w:hint="eastAsia" w:ascii="仿宋_GB2312" w:eastAsia="仿宋_GB2312"/>
          <w:color w:val="000000"/>
          <w:sz w:val="32"/>
          <w:szCs w:val="32"/>
        </w:rPr>
        <w:t>提高信息化应用水平，</w:t>
      </w:r>
      <w:r>
        <w:rPr>
          <w:rFonts w:hint="eastAsia" w:ascii="仿宋_GB2312" w:eastAsia="仿宋_GB2312" w:cs="仿宋_GB2312"/>
          <w:color w:val="000000"/>
          <w:kern w:val="0"/>
          <w:sz w:val="32"/>
          <w:szCs w:val="32"/>
          <w:lang w:bidi="ar"/>
        </w:rPr>
        <w:t>促进产业融合发展。重点推进互联网</w:t>
      </w:r>
      <w:r>
        <w:rPr>
          <w:rFonts w:ascii="仿宋_GB2312" w:eastAsia="仿宋_GB2312" w:cs="仿宋_GB2312"/>
          <w:color w:val="000000"/>
          <w:kern w:val="0"/>
          <w:sz w:val="32"/>
          <w:szCs w:val="32"/>
          <w:lang w:bidi="ar"/>
        </w:rPr>
        <w:t>+</w:t>
      </w:r>
      <w:r>
        <w:rPr>
          <w:rFonts w:hint="eastAsia" w:ascii="仿宋_GB2312" w:eastAsia="仿宋_GB2312" w:cs="仿宋_GB2312"/>
          <w:color w:val="000000"/>
          <w:kern w:val="0"/>
          <w:sz w:val="32"/>
          <w:szCs w:val="32"/>
          <w:lang w:bidi="ar"/>
        </w:rPr>
        <w:t>农业、互联网</w:t>
      </w:r>
      <w:r>
        <w:rPr>
          <w:rFonts w:ascii="仿宋_GB2312" w:eastAsia="仿宋_GB2312" w:cs="仿宋_GB2312"/>
          <w:color w:val="000000"/>
          <w:kern w:val="0"/>
          <w:sz w:val="32"/>
          <w:szCs w:val="32"/>
          <w:lang w:bidi="ar"/>
        </w:rPr>
        <w:t>+</w:t>
      </w:r>
      <w:r>
        <w:rPr>
          <w:rFonts w:hint="eastAsia" w:ascii="仿宋_GB2312" w:eastAsia="仿宋_GB2312" w:cs="仿宋_GB2312"/>
          <w:color w:val="000000"/>
          <w:kern w:val="0"/>
          <w:sz w:val="32"/>
          <w:szCs w:val="32"/>
          <w:lang w:bidi="ar"/>
        </w:rPr>
        <w:t>工业、互联网</w:t>
      </w:r>
      <w:r>
        <w:rPr>
          <w:rFonts w:ascii="仿宋_GB2312" w:eastAsia="仿宋_GB2312" w:cs="仿宋_GB2312"/>
          <w:color w:val="000000"/>
          <w:kern w:val="0"/>
          <w:sz w:val="32"/>
          <w:szCs w:val="32"/>
          <w:lang w:bidi="ar"/>
        </w:rPr>
        <w:t>+</w:t>
      </w:r>
      <w:r>
        <w:rPr>
          <w:rFonts w:hint="eastAsia" w:ascii="仿宋_GB2312" w:eastAsia="仿宋_GB2312" w:cs="仿宋_GB2312"/>
          <w:color w:val="000000"/>
          <w:kern w:val="0"/>
          <w:sz w:val="32"/>
          <w:szCs w:val="32"/>
          <w:lang w:bidi="ar"/>
        </w:rPr>
        <w:t>旅游、互联网</w:t>
      </w:r>
      <w:r>
        <w:rPr>
          <w:rFonts w:ascii="仿宋_GB2312" w:eastAsia="仿宋_GB2312" w:cs="仿宋_GB2312"/>
          <w:color w:val="000000"/>
          <w:kern w:val="0"/>
          <w:sz w:val="32"/>
          <w:szCs w:val="32"/>
          <w:lang w:bidi="ar"/>
        </w:rPr>
        <w:t>+</w:t>
      </w:r>
      <w:r>
        <w:rPr>
          <w:rFonts w:hint="eastAsia" w:ascii="仿宋_GB2312" w:eastAsia="仿宋_GB2312" w:cs="仿宋_GB2312"/>
          <w:color w:val="000000"/>
          <w:kern w:val="0"/>
          <w:sz w:val="32"/>
          <w:szCs w:val="32"/>
          <w:lang w:bidi="ar"/>
        </w:rPr>
        <w:t>健康养老、互联网</w:t>
      </w:r>
      <w:r>
        <w:rPr>
          <w:rFonts w:ascii="仿宋_GB2312" w:eastAsia="仿宋_GB2312" w:cs="仿宋_GB2312"/>
          <w:color w:val="000000"/>
          <w:kern w:val="0"/>
          <w:sz w:val="32"/>
          <w:szCs w:val="32"/>
          <w:lang w:bidi="ar"/>
        </w:rPr>
        <w:t>+</w:t>
      </w:r>
      <w:r>
        <w:rPr>
          <w:rFonts w:hint="eastAsia" w:ascii="仿宋_GB2312" w:eastAsia="仿宋_GB2312" w:cs="仿宋_GB2312"/>
          <w:color w:val="000000"/>
          <w:kern w:val="0"/>
          <w:sz w:val="32"/>
          <w:szCs w:val="32"/>
          <w:lang w:bidi="ar"/>
        </w:rPr>
        <w:t>普惠金融、互联网</w:t>
      </w:r>
      <w:r>
        <w:rPr>
          <w:rFonts w:ascii="仿宋_GB2312" w:eastAsia="仿宋_GB2312" w:cs="仿宋_GB2312"/>
          <w:color w:val="000000"/>
          <w:kern w:val="0"/>
          <w:sz w:val="32"/>
          <w:szCs w:val="32"/>
          <w:lang w:bidi="ar"/>
        </w:rPr>
        <w:t>+</w:t>
      </w:r>
      <w:r>
        <w:rPr>
          <w:rFonts w:hint="eastAsia" w:ascii="仿宋_GB2312" w:eastAsia="仿宋_GB2312" w:cs="仿宋_GB2312"/>
          <w:color w:val="000000"/>
          <w:kern w:val="0"/>
          <w:sz w:val="32"/>
          <w:szCs w:val="32"/>
          <w:lang w:bidi="ar"/>
        </w:rPr>
        <w:t>生态环保、互联网</w:t>
      </w:r>
      <w:r>
        <w:rPr>
          <w:rFonts w:ascii="仿宋_GB2312" w:eastAsia="仿宋_GB2312" w:cs="仿宋_GB2312"/>
          <w:color w:val="000000"/>
          <w:kern w:val="0"/>
          <w:sz w:val="32"/>
          <w:szCs w:val="32"/>
          <w:lang w:bidi="ar"/>
        </w:rPr>
        <w:t>+</w:t>
      </w:r>
      <w:r>
        <w:rPr>
          <w:rFonts w:hint="eastAsia" w:ascii="仿宋_GB2312" w:eastAsia="仿宋_GB2312" w:cs="仿宋_GB2312"/>
          <w:color w:val="000000"/>
          <w:kern w:val="0"/>
          <w:sz w:val="32"/>
          <w:szCs w:val="32"/>
          <w:lang w:bidi="ar"/>
        </w:rPr>
        <w:t>公用信息等，创造新型业态。强化云计算在政府服务、城市管理、交通物流、企业管理、民生服务、教育科研等领域应用。鼓励企业运用新一代信息技术，加快推进研发设计可视化、生产制造智能化、生产组织网络化、产品服务个性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eastAsia="仿宋_GB2312" w:cs="仿宋_GB2312"/>
          <w:color w:val="000000"/>
          <w:kern w:val="0"/>
          <w:sz w:val="32"/>
          <w:szCs w:val="32"/>
          <w:lang w:bidi="ar"/>
        </w:rPr>
      </w:pPr>
      <w:r>
        <w:rPr>
          <w:rFonts w:hint="eastAsia" w:ascii="仿宋_GB2312" w:eastAsia="仿宋_GB2312" w:cs="仿宋_GB2312"/>
          <w:b/>
          <w:color w:val="000000"/>
          <w:kern w:val="0"/>
          <w:sz w:val="32"/>
          <w:szCs w:val="32"/>
          <w:lang w:bidi="ar"/>
        </w:rPr>
        <w:t>推动产业组织和商业模式创新。</w:t>
      </w:r>
      <w:r>
        <w:rPr>
          <w:rFonts w:hint="eastAsia" w:ascii="仿宋_GB2312" w:eastAsia="仿宋_GB2312" w:cs="仿宋_GB2312"/>
          <w:color w:val="000000"/>
          <w:kern w:val="0"/>
          <w:sz w:val="32"/>
          <w:szCs w:val="32"/>
          <w:lang w:bidi="ar"/>
        </w:rPr>
        <w:t>引导企业适应互联网时代发展要求，加快商业模式由</w:t>
      </w:r>
      <w:r>
        <w:rPr>
          <w:rFonts w:eastAsia="仿宋_GB2312"/>
          <w:color w:val="000000"/>
          <w:kern w:val="0"/>
          <w:sz w:val="32"/>
          <w:szCs w:val="32"/>
          <w:lang w:bidi="ar"/>
        </w:rPr>
        <w:t>B2C</w:t>
      </w:r>
      <w:r>
        <w:rPr>
          <w:rFonts w:hint="eastAsia" w:ascii="仿宋_GB2312" w:eastAsia="仿宋_GB2312" w:cs="仿宋_GB2312"/>
          <w:color w:val="000000"/>
          <w:kern w:val="0"/>
          <w:sz w:val="32"/>
          <w:szCs w:val="32"/>
          <w:lang w:bidi="ar"/>
        </w:rPr>
        <w:t>（企业到用户）向</w:t>
      </w:r>
      <w:r>
        <w:rPr>
          <w:rFonts w:eastAsia="仿宋_GB2312"/>
          <w:color w:val="000000"/>
          <w:kern w:val="0"/>
          <w:sz w:val="32"/>
          <w:szCs w:val="32"/>
          <w:lang w:bidi="ar"/>
        </w:rPr>
        <w:t>C2B</w:t>
      </w:r>
      <w:r>
        <w:rPr>
          <w:rFonts w:hint="eastAsia" w:ascii="仿宋_GB2312" w:eastAsia="仿宋_GB2312" w:cs="仿宋_GB2312"/>
          <w:color w:val="000000"/>
          <w:kern w:val="0"/>
          <w:sz w:val="32"/>
          <w:szCs w:val="32"/>
          <w:lang w:bidi="ar"/>
        </w:rPr>
        <w:t>（用户到企业）创新，积极开展产品定制、零部件定制、柔性制造、个性化制造等新业务，满足个性化消费需求。支持个人利用网络平台，开展</w:t>
      </w:r>
      <w:r>
        <w:rPr>
          <w:rFonts w:eastAsia="仿宋_GB2312"/>
          <w:color w:val="000000"/>
          <w:kern w:val="0"/>
          <w:sz w:val="32"/>
          <w:szCs w:val="32"/>
          <w:lang w:bidi="ar"/>
        </w:rPr>
        <w:t>O2O</w:t>
      </w:r>
      <w:r>
        <w:rPr>
          <w:rFonts w:hint="eastAsia" w:ascii="仿宋_GB2312" w:eastAsia="仿宋_GB2312" w:cs="仿宋_GB2312"/>
          <w:color w:val="000000"/>
          <w:kern w:val="0"/>
          <w:sz w:val="32"/>
          <w:szCs w:val="32"/>
          <w:lang w:bidi="ar"/>
        </w:rPr>
        <w:t>交易，激活社会资源，发展分享型经济。吸引大型企业向我市中小企业开放技术、开发、营销、推广等资源，开展众包众扶、协同创新。支持食品、建材等传统产业利用互联网拓展市场空间，形成线上线下相结合的商业模式。</w:t>
      </w:r>
    </w:p>
    <w:p>
      <w:pPr>
        <w:spacing w:line="560" w:lineRule="exact"/>
        <w:jc w:val="center"/>
        <w:rPr>
          <w:rFonts w:hint="eastAsia" w:ascii="黑体" w:hAnsi="黑体" w:eastAsia="黑体" w:cs="黑体"/>
          <w:snapToGrid w:val="0"/>
          <w:color w:val="000000"/>
          <w:kern w:val="0"/>
          <w:sz w:val="28"/>
          <w:szCs w:val="28"/>
          <w:lang w:val="en-US" w:eastAsia="zh-CN"/>
        </w:rPr>
      </w:pPr>
      <w:r>
        <w:rPr>
          <w:rFonts w:hint="eastAsia" w:ascii="黑体" w:hAnsi="黑体" w:eastAsia="黑体" w:cs="黑体"/>
          <w:snapToGrid w:val="0"/>
          <w:color w:val="000000"/>
          <w:kern w:val="0"/>
          <w:sz w:val="28"/>
          <w:szCs w:val="28"/>
          <w:lang w:val="en-US" w:eastAsia="zh-CN"/>
        </w:rPr>
        <w:t>专栏8  “互联网+”重点发展领域</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2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2" w:firstLineChars="175"/>
              <w:jc w:val="both"/>
              <w:textAlignment w:val="auto"/>
              <w:outlineLvl w:val="9"/>
              <w:rPr>
                <w:rFonts w:hint="eastAsia" w:ascii="宋体" w:hAnsi="宋体" w:eastAsia="宋体" w:cs="宋体"/>
                <w:color w:val="000000"/>
                <w:sz w:val="24"/>
              </w:rPr>
            </w:pPr>
            <w:r>
              <w:rPr>
                <w:rFonts w:hint="eastAsia" w:ascii="宋体" w:hAnsi="宋体" w:eastAsia="宋体" w:cs="宋体"/>
                <w:b/>
                <w:bCs/>
                <w:color w:val="000000"/>
                <w:sz w:val="24"/>
              </w:rPr>
              <w:t>互联网+现代农业：</w:t>
            </w:r>
            <w:r>
              <w:rPr>
                <w:rFonts w:hint="eastAsia" w:ascii="宋体" w:hAnsi="宋体" w:eastAsia="宋体" w:cs="宋体"/>
                <w:color w:val="000000"/>
                <w:sz w:val="24"/>
              </w:rPr>
              <w:t>建立农业信息服务互联网平台，支撑专业大户、家庭农场、农民合作社、农业产业化龙头企业加强产销衔接。推动移动互联网、物联网、二维码等信息技术在农产品生产加工和流通销售各环节的推广应用。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2" w:firstLineChars="175"/>
              <w:jc w:val="both"/>
              <w:textAlignment w:val="auto"/>
              <w:outlineLvl w:val="9"/>
              <w:rPr>
                <w:rFonts w:hint="eastAsia" w:ascii="宋体" w:hAnsi="宋体" w:eastAsia="宋体" w:cs="宋体"/>
                <w:color w:val="000000"/>
                <w:sz w:val="24"/>
              </w:rPr>
            </w:pPr>
            <w:r>
              <w:rPr>
                <w:rFonts w:hint="eastAsia" w:ascii="宋体" w:hAnsi="宋体" w:eastAsia="宋体" w:cs="宋体"/>
                <w:b/>
                <w:bCs/>
                <w:color w:val="000000"/>
                <w:sz w:val="24"/>
              </w:rPr>
              <w:t>互联网+益民服务：</w:t>
            </w:r>
            <w:r>
              <w:rPr>
                <w:rFonts w:hint="eastAsia" w:ascii="宋体" w:hAnsi="宋体" w:eastAsia="宋体" w:cs="宋体"/>
                <w:color w:val="000000"/>
                <w:sz w:val="24"/>
              </w:rPr>
              <w:t>构建安康“互联网+旅游目的地”联盟。建设医疗、健康、养老、教育、旅游、社会保障等公共服务网络平台。</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2" w:firstLineChars="175"/>
              <w:jc w:val="both"/>
              <w:textAlignment w:val="auto"/>
              <w:outlineLvl w:val="9"/>
              <w:rPr>
                <w:rFonts w:hint="eastAsia" w:ascii="宋体" w:hAnsi="宋体" w:eastAsia="宋体" w:cs="宋体"/>
                <w:color w:val="000000"/>
                <w:sz w:val="24"/>
              </w:rPr>
            </w:pPr>
            <w:r>
              <w:rPr>
                <w:rFonts w:hint="eastAsia" w:ascii="宋体" w:hAnsi="宋体" w:eastAsia="宋体" w:cs="宋体"/>
                <w:b/>
                <w:bCs/>
                <w:color w:val="000000"/>
                <w:sz w:val="24"/>
              </w:rPr>
              <w:t>互联网+普惠金融：</w:t>
            </w:r>
            <w:r>
              <w:rPr>
                <w:rFonts w:hint="eastAsia" w:ascii="宋体" w:hAnsi="宋体" w:eastAsia="宋体" w:cs="宋体"/>
                <w:color w:val="000000"/>
                <w:sz w:val="24"/>
              </w:rPr>
              <w:t>引进培育互联网金融创新型企业，建设</w:t>
            </w:r>
            <w:r>
              <w:rPr>
                <w:rFonts w:hint="eastAsia" w:ascii="宋体" w:hAnsi="宋体" w:eastAsia="宋体" w:cs="宋体"/>
                <w:color w:val="000000"/>
                <w:sz w:val="24"/>
                <w:lang w:bidi="ar"/>
              </w:rPr>
              <w:t>互联网金融云服务平台、中小微企业融资服务项目。</w:t>
            </w:r>
            <w:r>
              <w:rPr>
                <w:rFonts w:hint="eastAsia" w:ascii="宋体" w:hAnsi="宋体" w:eastAsia="宋体" w:cs="宋体"/>
                <w:color w:val="000000"/>
                <w:sz w:val="24"/>
              </w:rPr>
              <w:t>鼓励金融机构利用云计算、移动互联网、大数据等技术手段，加快金融产品和服务创新。</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2" w:firstLineChars="175"/>
              <w:jc w:val="both"/>
              <w:textAlignment w:val="auto"/>
              <w:outlineLvl w:val="9"/>
              <w:rPr>
                <w:rFonts w:hint="eastAsia" w:ascii="宋体" w:hAnsi="宋体" w:eastAsia="宋体" w:cs="宋体"/>
                <w:color w:val="000000"/>
                <w:sz w:val="24"/>
              </w:rPr>
            </w:pPr>
            <w:r>
              <w:rPr>
                <w:rFonts w:hint="eastAsia" w:ascii="宋体" w:hAnsi="宋体" w:eastAsia="宋体" w:cs="宋体"/>
                <w:b/>
                <w:bCs/>
                <w:color w:val="000000"/>
                <w:sz w:val="24"/>
              </w:rPr>
              <w:t>互联网+生态环保：</w:t>
            </w:r>
            <w:r>
              <w:rPr>
                <w:rFonts w:hint="eastAsia" w:ascii="宋体" w:hAnsi="宋体" w:eastAsia="宋体" w:cs="宋体"/>
                <w:color w:val="000000"/>
                <w:sz w:val="24"/>
              </w:rPr>
              <w:t>依托互联网、云计算平台，加强汉江水质保护环境动态监测，优化汉江干支流监测站点布局，构建立体监控系统，实现各县区资源环境动态监测信息互联共享。</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left"/>
              <w:textAlignment w:val="auto"/>
              <w:outlineLvl w:val="9"/>
              <w:rPr>
                <w:rFonts w:hint="eastAsia" w:ascii="黑体" w:hAnsi="黑体" w:eastAsia="黑体" w:cs="黑体"/>
                <w:snapToGrid w:val="0"/>
                <w:color w:val="000000"/>
                <w:kern w:val="0"/>
                <w:sz w:val="28"/>
                <w:szCs w:val="28"/>
                <w:vertAlign w:val="baseline"/>
                <w:lang w:val="en-US" w:eastAsia="zh-CN"/>
              </w:rPr>
            </w:pPr>
            <w:r>
              <w:rPr>
                <w:rFonts w:hint="eastAsia" w:ascii="宋体" w:hAnsi="宋体" w:eastAsia="宋体" w:cs="宋体"/>
                <w:b/>
                <w:bCs/>
                <w:color w:val="000000"/>
                <w:sz w:val="24"/>
                <w:lang w:val="en-US" w:eastAsia="zh-CN" w:bidi="ar"/>
              </w:rPr>
              <w:t xml:space="preserve">    </w:t>
            </w:r>
            <w:r>
              <w:rPr>
                <w:rFonts w:hint="eastAsia" w:ascii="宋体" w:hAnsi="宋体" w:eastAsia="宋体" w:cs="宋体"/>
                <w:b/>
                <w:bCs/>
                <w:color w:val="000000"/>
                <w:sz w:val="24"/>
                <w:lang w:bidi="ar"/>
              </w:rPr>
              <w:t>互联网+公用信息：</w:t>
            </w:r>
            <w:r>
              <w:rPr>
                <w:rFonts w:hint="eastAsia" w:ascii="宋体" w:hAnsi="宋体" w:eastAsia="宋体" w:cs="宋体"/>
                <w:color w:val="000000"/>
                <w:sz w:val="24"/>
                <w:lang w:bidi="ar"/>
              </w:rPr>
              <w:t>建设全市统一的社会公共信用信息共享交换平台，纵向通达省市县、横向连接行业部门。</w:t>
            </w:r>
          </w:p>
        </w:tc>
      </w:tr>
    </w:tbl>
    <w:p>
      <w:pPr>
        <w:spacing w:line="560" w:lineRule="exact"/>
        <w:jc w:val="center"/>
        <w:rPr>
          <w:rFonts w:hint="eastAsia" w:ascii="黑体" w:hAnsi="黑体" w:eastAsia="黑体" w:cs="黑体"/>
          <w:snapToGrid w:val="0"/>
          <w:color w:val="000000"/>
          <w:kern w:val="0"/>
          <w:sz w:val="28"/>
          <w:szCs w:val="28"/>
          <w:lang w:val="en-US" w:eastAsia="zh-CN"/>
        </w:rPr>
      </w:pPr>
    </w:p>
    <w:p>
      <w:pPr>
        <w:spacing w:line="560" w:lineRule="exact"/>
        <w:jc w:val="center"/>
        <w:outlineLvl w:val="0"/>
        <w:rPr>
          <w:rFonts w:hint="eastAsia" w:ascii="方正小标宋简体" w:hAnsi="黑体" w:eastAsia="方正小标宋简体" w:cs="黑体"/>
          <w:color w:val="000000"/>
          <w:sz w:val="36"/>
          <w:szCs w:val="36"/>
        </w:rPr>
      </w:pPr>
      <w:bookmarkStart w:id="23" w:name="_Toc20820"/>
      <w:r>
        <w:rPr>
          <w:rFonts w:hint="eastAsia" w:ascii="方正小标宋简体" w:hAnsi="黑体" w:eastAsia="方正小标宋简体" w:cs="黑体"/>
          <w:color w:val="000000"/>
          <w:sz w:val="36"/>
          <w:szCs w:val="36"/>
        </w:rPr>
        <w:t>第四章</w:t>
      </w:r>
      <w:r>
        <w:rPr>
          <w:rFonts w:hint="eastAsia" w:ascii="方正小标宋简体" w:hAnsi="黑体" w:eastAsia="方正小标宋简体" w:cs="黑体"/>
          <w:color w:val="000000"/>
          <w:sz w:val="36"/>
          <w:szCs w:val="36"/>
          <w:lang w:val="en-US" w:eastAsia="zh-CN"/>
        </w:rPr>
        <w:t xml:space="preserve">  </w:t>
      </w:r>
      <w:r>
        <w:rPr>
          <w:rFonts w:hint="eastAsia" w:ascii="方正小标宋简体" w:hAnsi="黑体" w:eastAsia="方正小标宋简体" w:cs="黑体"/>
          <w:color w:val="000000"/>
          <w:sz w:val="36"/>
          <w:szCs w:val="36"/>
        </w:rPr>
        <w:t>精准发力　坚决打赢脱贫攻坚战</w:t>
      </w:r>
      <w:bookmarkEnd w:id="23"/>
    </w:p>
    <w:p>
      <w:pPr>
        <w:tabs>
          <w:tab w:val="left" w:pos="1859"/>
          <w:tab w:val="center" w:pos="4153"/>
        </w:tabs>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坚持把脱贫攻坚作为头等大事和第一民生工程，以脱贫攻坚统揽工作全局，促进农业稳定发展、农民安居乐业、农村和谐美丽。</w:t>
      </w:r>
    </w:p>
    <w:p>
      <w:pPr>
        <w:spacing w:line="560" w:lineRule="exact"/>
        <w:jc w:val="left"/>
        <w:outlineLvl w:val="1"/>
        <w:rPr>
          <w:rFonts w:hint="eastAsia" w:ascii="仿宋" w:hAnsi="仿宋" w:eastAsia="仿宋" w:cs="仿宋_GB2312"/>
          <w:color w:val="000000"/>
          <w:kern w:val="0"/>
          <w:sz w:val="32"/>
          <w:szCs w:val="32"/>
        </w:rPr>
      </w:pPr>
      <w:bookmarkStart w:id="24" w:name="_Toc27726"/>
    </w:p>
    <w:p>
      <w:pPr>
        <w:spacing w:line="560" w:lineRule="exact"/>
        <w:jc w:val="center"/>
        <w:outlineLvl w:val="1"/>
        <w:rPr>
          <w:rFonts w:hint="eastAsia" w:ascii="仿宋_GB2312" w:hAnsi="仿宋_GB2312" w:eastAsia="仿宋_GB2312" w:cs="仿宋_GB2312"/>
          <w:bCs/>
          <w:snapToGrid w:val="0"/>
          <w:color w:val="000000"/>
          <w:spacing w:val="6"/>
          <w:kern w:val="0"/>
          <w:sz w:val="32"/>
          <w:szCs w:val="32"/>
        </w:rPr>
      </w:pPr>
      <w:r>
        <w:rPr>
          <w:rFonts w:hint="eastAsia" w:ascii="黑体" w:eastAsia="黑体"/>
          <w:color w:val="000000"/>
          <w:spacing w:val="6"/>
          <w:kern w:val="0"/>
          <w:sz w:val="32"/>
          <w:szCs w:val="32"/>
        </w:rPr>
        <w:t>第十三节</w:t>
      </w:r>
      <w:r>
        <w:rPr>
          <w:rFonts w:hint="eastAsia" w:ascii="黑体" w:eastAsia="黑体"/>
          <w:color w:val="000000"/>
          <w:spacing w:val="6"/>
          <w:kern w:val="0"/>
          <w:sz w:val="32"/>
          <w:szCs w:val="32"/>
          <w:lang w:val="en-US" w:eastAsia="zh-CN"/>
        </w:rPr>
        <w:t xml:space="preserve">  </w:t>
      </w:r>
      <w:r>
        <w:rPr>
          <w:rFonts w:hint="eastAsia" w:ascii="黑体" w:eastAsia="黑体"/>
          <w:color w:val="000000"/>
          <w:spacing w:val="6"/>
          <w:kern w:val="0"/>
          <w:sz w:val="32"/>
          <w:szCs w:val="32"/>
        </w:rPr>
        <w:t>强化“三农”工作基础</w:t>
      </w:r>
      <w:bookmarkEnd w:id="24"/>
    </w:p>
    <w:p>
      <w:pPr>
        <w:tabs>
          <w:tab w:val="left" w:pos="1859"/>
          <w:tab w:val="center" w:pos="4153"/>
        </w:tabs>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走绿色</w:t>
      </w:r>
      <w:r>
        <w:rPr>
          <w:rFonts w:hint="eastAsia" w:ascii="仿宋_GB2312" w:eastAsia="仿宋_GB2312"/>
          <w:color w:val="000000"/>
          <w:sz w:val="32"/>
          <w:szCs w:val="32"/>
          <w:lang w:eastAsia="zh-CN"/>
        </w:rPr>
        <w:t>、</w:t>
      </w:r>
      <w:r>
        <w:rPr>
          <w:rFonts w:hint="eastAsia" w:ascii="仿宋_GB2312" w:eastAsia="仿宋_GB2312"/>
          <w:color w:val="000000"/>
          <w:sz w:val="32"/>
          <w:szCs w:val="32"/>
        </w:rPr>
        <w:t>低碳</w:t>
      </w:r>
      <w:r>
        <w:rPr>
          <w:rFonts w:hint="eastAsia" w:ascii="仿宋_GB2312" w:eastAsia="仿宋_GB2312"/>
          <w:color w:val="000000"/>
          <w:sz w:val="32"/>
          <w:szCs w:val="32"/>
          <w:lang w:eastAsia="zh-CN"/>
        </w:rPr>
        <w:t>、</w:t>
      </w:r>
      <w:r>
        <w:rPr>
          <w:rFonts w:hint="eastAsia" w:ascii="仿宋_GB2312" w:eastAsia="仿宋_GB2312"/>
          <w:color w:val="000000"/>
          <w:sz w:val="32"/>
          <w:szCs w:val="32"/>
        </w:rPr>
        <w:t>循环发展之路，以农业发展和农民增收为目标，加大农业基础设施投入，改善农业发展环境，构建现代农业发展体系。</w:t>
      </w:r>
    </w:p>
    <w:p>
      <w:pPr>
        <w:spacing w:line="560" w:lineRule="exact"/>
        <w:ind w:firstLine="643" w:firstLineChars="200"/>
        <w:jc w:val="left"/>
        <w:rPr>
          <w:rFonts w:hint="eastAsia" w:ascii="仿宋_GB2312" w:eastAsia="仿宋_GB2312"/>
          <w:color w:val="000000"/>
          <w:sz w:val="32"/>
          <w:szCs w:val="32"/>
        </w:rPr>
      </w:pPr>
      <w:r>
        <w:rPr>
          <w:rFonts w:hint="eastAsia" w:eastAsia="仿宋_GB2312"/>
          <w:b/>
          <w:bCs/>
          <w:snapToGrid w:val="0"/>
          <w:color w:val="000000"/>
          <w:kern w:val="0"/>
          <w:sz w:val="32"/>
          <w:szCs w:val="32"/>
        </w:rPr>
        <w:t>培育产业化经营主体。</w:t>
      </w:r>
      <w:r>
        <w:rPr>
          <w:rFonts w:hint="eastAsia" w:eastAsia="仿宋_GB2312"/>
          <w:snapToGrid w:val="0"/>
          <w:color w:val="000000"/>
          <w:kern w:val="0"/>
          <w:sz w:val="32"/>
          <w:szCs w:val="32"/>
        </w:rPr>
        <w:t>加快培育家庭农场、专业大户、农业合作社、农业产业化龙头企业等新型经营主体</w:t>
      </w:r>
      <w:r>
        <w:rPr>
          <w:rFonts w:hint="eastAsia" w:ascii="仿宋_GB2312" w:hAnsi="仿宋_GB2312" w:eastAsia="仿宋_GB2312" w:cs="仿宋_GB2312"/>
          <w:snapToGrid w:val="0"/>
          <w:color w:val="000000"/>
          <w:kern w:val="0"/>
          <w:sz w:val="32"/>
          <w:szCs w:val="32"/>
        </w:rPr>
        <w:t>。到</w:t>
      </w:r>
      <w:r>
        <w:rPr>
          <w:rFonts w:ascii="仿宋_GB2312" w:hAnsi="仿宋_GB2312" w:eastAsia="仿宋_GB2312" w:cs="仿宋_GB2312"/>
          <w:snapToGrid w:val="0"/>
          <w:color w:val="000000"/>
          <w:kern w:val="0"/>
          <w:sz w:val="32"/>
          <w:szCs w:val="32"/>
        </w:rPr>
        <w:t>2020</w:t>
      </w:r>
      <w:r>
        <w:rPr>
          <w:rFonts w:hint="eastAsia" w:ascii="仿宋_GB2312" w:hAnsi="仿宋_GB2312" w:eastAsia="仿宋_GB2312" w:cs="仿宋_GB2312"/>
          <w:snapToGrid w:val="0"/>
          <w:color w:val="000000"/>
          <w:kern w:val="0"/>
          <w:sz w:val="32"/>
          <w:szCs w:val="32"/>
        </w:rPr>
        <w:t>年，全市培育职业农民</w:t>
      </w:r>
      <w:r>
        <w:rPr>
          <w:rFonts w:ascii="仿宋_GB2312" w:hAnsi="仿宋_GB2312" w:eastAsia="仿宋_GB2312" w:cs="仿宋_GB2312"/>
          <w:snapToGrid w:val="0"/>
          <w:color w:val="000000"/>
          <w:kern w:val="0"/>
          <w:sz w:val="32"/>
          <w:szCs w:val="32"/>
        </w:rPr>
        <w:t>10000</w:t>
      </w:r>
      <w:r>
        <w:rPr>
          <w:rFonts w:hint="eastAsia" w:ascii="仿宋_GB2312" w:hAnsi="仿宋_GB2312" w:eastAsia="仿宋_GB2312" w:cs="仿宋_GB2312"/>
          <w:snapToGrid w:val="0"/>
          <w:color w:val="000000"/>
          <w:kern w:val="0"/>
          <w:sz w:val="32"/>
          <w:szCs w:val="32"/>
        </w:rPr>
        <w:t>人</w:t>
      </w:r>
      <w:r>
        <w:rPr>
          <w:rFonts w:hint="eastAsia" w:ascii="仿宋_GB2312" w:hAnsi="仿宋_GB2312" w:eastAsia="仿宋_GB2312" w:cs="仿宋_GB2312"/>
          <w:snapToGrid w:val="0"/>
          <w:color w:val="000000"/>
          <w:kern w:val="0"/>
          <w:sz w:val="32"/>
          <w:szCs w:val="32"/>
          <w:lang w:eastAsia="zh-CN"/>
        </w:rPr>
        <w:t>，</w:t>
      </w:r>
      <w:r>
        <w:rPr>
          <w:rFonts w:hint="eastAsia" w:ascii="仿宋_GB2312" w:hAnsi="仿宋_GB2312" w:eastAsia="仿宋_GB2312" w:cs="仿宋_GB2312"/>
          <w:snapToGrid w:val="0"/>
          <w:color w:val="000000"/>
          <w:kern w:val="0"/>
          <w:sz w:val="32"/>
          <w:szCs w:val="32"/>
        </w:rPr>
        <w:t>培育认定各级示范家庭农场</w:t>
      </w:r>
      <w:r>
        <w:rPr>
          <w:rFonts w:ascii="仿宋_GB2312" w:hAnsi="仿宋_GB2312" w:eastAsia="仿宋_GB2312" w:cs="仿宋_GB2312"/>
          <w:snapToGrid w:val="0"/>
          <w:color w:val="000000"/>
          <w:kern w:val="0"/>
          <w:sz w:val="32"/>
          <w:szCs w:val="32"/>
        </w:rPr>
        <w:t>1000</w:t>
      </w:r>
      <w:r>
        <w:rPr>
          <w:rFonts w:hint="eastAsia" w:ascii="仿宋_GB2312" w:hAnsi="仿宋_GB2312" w:eastAsia="仿宋_GB2312" w:cs="仿宋_GB2312"/>
          <w:snapToGrid w:val="0"/>
          <w:color w:val="000000"/>
          <w:kern w:val="0"/>
          <w:sz w:val="32"/>
          <w:szCs w:val="32"/>
        </w:rPr>
        <w:t>户、农民专业合作组织</w:t>
      </w:r>
      <w:r>
        <w:rPr>
          <w:rFonts w:ascii="仿宋_GB2312" w:hAnsi="仿宋_GB2312" w:eastAsia="仿宋_GB2312" w:cs="仿宋_GB2312"/>
          <w:snapToGrid w:val="0"/>
          <w:color w:val="000000"/>
          <w:kern w:val="0"/>
          <w:sz w:val="32"/>
          <w:szCs w:val="32"/>
        </w:rPr>
        <w:t>1500</w:t>
      </w:r>
      <w:r>
        <w:rPr>
          <w:rFonts w:hint="eastAsia" w:ascii="仿宋_GB2312" w:hAnsi="仿宋_GB2312" w:eastAsia="仿宋_GB2312" w:cs="仿宋_GB2312"/>
          <w:snapToGrid w:val="0"/>
          <w:color w:val="000000"/>
          <w:kern w:val="0"/>
          <w:sz w:val="32"/>
          <w:szCs w:val="32"/>
        </w:rPr>
        <w:t>个。培育农业产业化经营重点龙头企业</w:t>
      </w:r>
      <w:r>
        <w:rPr>
          <w:rFonts w:ascii="仿宋_GB2312" w:hAnsi="仿宋_GB2312" w:eastAsia="仿宋_GB2312" w:cs="仿宋_GB2312"/>
          <w:snapToGrid w:val="0"/>
          <w:color w:val="000000"/>
          <w:kern w:val="0"/>
          <w:sz w:val="32"/>
          <w:szCs w:val="32"/>
        </w:rPr>
        <w:t>154</w:t>
      </w:r>
      <w:r>
        <w:rPr>
          <w:rFonts w:hint="eastAsia" w:ascii="仿宋_GB2312" w:hAnsi="仿宋_GB2312" w:eastAsia="仿宋_GB2312" w:cs="仿宋_GB2312"/>
          <w:snapToGrid w:val="0"/>
          <w:color w:val="000000"/>
          <w:kern w:val="0"/>
          <w:sz w:val="32"/>
          <w:szCs w:val="32"/>
        </w:rPr>
        <w:t>家（国家级</w:t>
      </w:r>
      <w:r>
        <w:rPr>
          <w:rFonts w:ascii="仿宋_GB2312" w:hAnsi="仿宋_GB2312" w:eastAsia="仿宋_GB2312" w:cs="仿宋_GB2312"/>
          <w:snapToGrid w:val="0"/>
          <w:color w:val="000000"/>
          <w:kern w:val="0"/>
          <w:sz w:val="32"/>
          <w:szCs w:val="32"/>
        </w:rPr>
        <w:t>4</w:t>
      </w:r>
      <w:r>
        <w:rPr>
          <w:rFonts w:hint="eastAsia" w:ascii="仿宋_GB2312" w:hAnsi="仿宋_GB2312" w:eastAsia="仿宋_GB2312" w:cs="仿宋_GB2312"/>
          <w:snapToGrid w:val="0"/>
          <w:color w:val="000000"/>
          <w:kern w:val="0"/>
          <w:sz w:val="32"/>
          <w:szCs w:val="32"/>
        </w:rPr>
        <w:t>家、省级</w:t>
      </w:r>
      <w:r>
        <w:rPr>
          <w:rFonts w:ascii="仿宋_GB2312" w:hAnsi="仿宋_GB2312" w:eastAsia="仿宋_GB2312" w:cs="仿宋_GB2312"/>
          <w:snapToGrid w:val="0"/>
          <w:color w:val="000000"/>
          <w:kern w:val="0"/>
          <w:sz w:val="32"/>
          <w:szCs w:val="32"/>
        </w:rPr>
        <w:t>50</w:t>
      </w:r>
      <w:r>
        <w:rPr>
          <w:rFonts w:hint="eastAsia" w:ascii="仿宋_GB2312" w:hAnsi="仿宋_GB2312" w:eastAsia="仿宋_GB2312" w:cs="仿宋_GB2312"/>
          <w:snapToGrid w:val="0"/>
          <w:color w:val="000000"/>
          <w:kern w:val="0"/>
          <w:sz w:val="32"/>
          <w:szCs w:val="32"/>
        </w:rPr>
        <w:t>家），力争培育上市企业</w:t>
      </w:r>
      <w:r>
        <w:rPr>
          <w:rFonts w:ascii="仿宋_GB2312" w:hAnsi="仿宋_GB2312" w:eastAsia="仿宋_GB2312" w:cs="仿宋_GB2312"/>
          <w:snapToGrid w:val="0"/>
          <w:color w:val="000000"/>
          <w:kern w:val="0"/>
          <w:sz w:val="32"/>
          <w:szCs w:val="32"/>
        </w:rPr>
        <w:t>1-2</w:t>
      </w:r>
      <w:r>
        <w:rPr>
          <w:rFonts w:hint="eastAsia" w:ascii="仿宋_GB2312" w:hAnsi="仿宋_GB2312" w:eastAsia="仿宋_GB2312" w:cs="仿宋_GB2312"/>
          <w:snapToGrid w:val="0"/>
          <w:color w:val="000000"/>
          <w:kern w:val="0"/>
          <w:sz w:val="32"/>
          <w:szCs w:val="32"/>
        </w:rPr>
        <w:t>家。</w:t>
      </w:r>
    </w:p>
    <w:p>
      <w:pPr>
        <w:spacing w:line="560" w:lineRule="exact"/>
        <w:ind w:firstLine="643" w:firstLineChars="200"/>
        <w:jc w:val="left"/>
        <w:rPr>
          <w:rFonts w:hint="eastAsia" w:ascii="仿宋_GB2312" w:hAnsi="楷体" w:eastAsia="仿宋_GB2312"/>
          <w:color w:val="000000"/>
          <w:sz w:val="32"/>
          <w:szCs w:val="32"/>
        </w:rPr>
      </w:pPr>
      <w:r>
        <w:rPr>
          <w:rFonts w:hint="eastAsia" w:ascii="仿宋_GB2312" w:hAnsi="楷体" w:eastAsia="仿宋_GB2312" w:cs="楷体"/>
          <w:b/>
          <w:bCs/>
          <w:color w:val="000000"/>
          <w:sz w:val="32"/>
          <w:szCs w:val="32"/>
        </w:rPr>
        <w:t>健全农业社会化服务体系。</w:t>
      </w:r>
      <w:r>
        <w:rPr>
          <w:rFonts w:hint="eastAsia" w:ascii="仿宋_GB2312" w:hAnsi="楷体" w:eastAsia="仿宋_GB2312"/>
          <w:color w:val="000000"/>
          <w:sz w:val="32"/>
          <w:szCs w:val="32"/>
          <w:lang w:eastAsia="zh-CN"/>
        </w:rPr>
        <w:t>支持科研机构、行业协会、龙头企业和经营性服务组织从事农业公益性服务。</w:t>
      </w:r>
      <w:r>
        <w:rPr>
          <w:rFonts w:hint="eastAsia" w:ascii="仿宋_GB2312" w:hAnsi="楷体" w:eastAsia="仿宋_GB2312"/>
          <w:color w:val="000000"/>
          <w:sz w:val="32"/>
          <w:szCs w:val="32"/>
        </w:rPr>
        <w:t>研究制定政策保障机制，完善镇村农业技术推广、动植物疫病防控、农产品质量监管等农业社会化服务机构，建设“五有”标准化服务中心。推进农业金融创新，重点建立健全多元化投入机制，完善农业保险担保机制。</w:t>
      </w:r>
    </w:p>
    <w:p>
      <w:pPr>
        <w:spacing w:line="560" w:lineRule="exact"/>
        <w:ind w:firstLine="643" w:firstLineChars="200"/>
        <w:jc w:val="left"/>
        <w:rPr>
          <w:rFonts w:ascii="仿宋_GB2312" w:hAnsi="楷体" w:eastAsia="仿宋_GB2312"/>
          <w:color w:val="000000"/>
          <w:sz w:val="32"/>
          <w:szCs w:val="32"/>
        </w:rPr>
      </w:pPr>
      <w:r>
        <w:rPr>
          <w:rFonts w:hint="eastAsia" w:ascii="仿宋_GB2312" w:hAnsi="楷体" w:eastAsia="仿宋_GB2312" w:cs="楷体"/>
          <w:b/>
          <w:bCs/>
          <w:color w:val="000000"/>
          <w:sz w:val="32"/>
          <w:szCs w:val="32"/>
        </w:rPr>
        <w:t>激活农村产权要素市场。</w:t>
      </w:r>
      <w:r>
        <w:rPr>
          <w:rFonts w:hint="eastAsia" w:ascii="仿宋_GB2312" w:hAnsi="楷体" w:eastAsia="仿宋_GB2312"/>
          <w:color w:val="000000"/>
          <w:sz w:val="32"/>
          <w:szCs w:val="32"/>
        </w:rPr>
        <w:t>探索农村土地承包经营权、林权、农业科技成果、合作社股权等市场化流转机制。明晰农村集体资产、农民宅基地、承包土地、林地等产权，建立农村产权流转交易市场，构建市县镇三级交易网络和交易监管平台，推动农村产权流转交易公开、公正、规范运行。</w:t>
      </w:r>
    </w:p>
    <w:p>
      <w:pPr>
        <w:spacing w:line="560" w:lineRule="exact"/>
        <w:ind w:firstLine="643" w:firstLineChars="200"/>
        <w:jc w:val="left"/>
        <w:rPr>
          <w:rFonts w:hint="eastAsia" w:ascii="仿宋_GB2312" w:eastAsia="仿宋_GB2312"/>
          <w:b/>
          <w:color w:val="000000"/>
          <w:sz w:val="28"/>
          <w:szCs w:val="28"/>
        </w:rPr>
      </w:pPr>
      <w:r>
        <w:rPr>
          <w:rFonts w:hint="eastAsia" w:ascii="仿宋_GB2312" w:hAnsi="楷体" w:eastAsia="仿宋_GB2312" w:cs="楷体"/>
          <w:b/>
          <w:bCs/>
          <w:color w:val="000000"/>
          <w:sz w:val="32"/>
          <w:szCs w:val="32"/>
        </w:rPr>
        <w:t>推进农业融合发展。</w:t>
      </w:r>
      <w:r>
        <w:rPr>
          <w:rFonts w:hint="eastAsia" w:ascii="仿宋_GB2312" w:hAnsi="仿宋_GB2312" w:eastAsia="仿宋_GB2312" w:cs="仿宋_GB2312"/>
          <w:color w:val="000000"/>
          <w:sz w:val="32"/>
          <w:szCs w:val="32"/>
        </w:rPr>
        <w:t>推动粮经饲统筹、农林渔结合、种养加一体、一二三产业融合发展，走产出高效、产品安全、资源节约、环境友好的农业现代化道路。</w:t>
      </w:r>
      <w:r>
        <w:rPr>
          <w:rFonts w:hint="eastAsia" w:ascii="仿宋_GB2312" w:hAnsi="楷体" w:eastAsia="仿宋_GB2312"/>
          <w:color w:val="000000"/>
          <w:sz w:val="32"/>
          <w:szCs w:val="32"/>
        </w:rPr>
        <w:t>积极发展“互联网/物联网+农业”，开发农业地理信息、农产品全程可追溯等专业化管理系统，提高种养业生产经营、管理服务信息化水平。</w:t>
      </w:r>
      <w:r>
        <w:rPr>
          <w:rFonts w:hint="eastAsia" w:ascii="仿宋_GB2312" w:hAnsi="宋体" w:eastAsia="仿宋_GB2312"/>
          <w:color w:val="000000"/>
          <w:sz w:val="32"/>
          <w:szCs w:val="32"/>
        </w:rPr>
        <w:t>加快发展农产品精深加工产业，推进农业产业化发展。创新产销对接模式，鼓励农超对接、直供专销、农产品进社区。发展生态休闲农业，培育一批特色景观旅游镇村、休闲观光农业景点和魅力乡村，推动农业和旅游融合发展。</w:t>
      </w:r>
    </w:p>
    <w:p>
      <w:pPr>
        <w:spacing w:line="560" w:lineRule="exact"/>
        <w:jc w:val="left"/>
        <w:rPr>
          <w:rFonts w:hint="eastAsia" w:eastAsia="黑体"/>
          <w:b/>
          <w:snapToGrid w:val="0"/>
          <w:color w:val="000000"/>
          <w:spacing w:val="6"/>
          <w:kern w:val="0"/>
          <w:sz w:val="32"/>
          <w:szCs w:val="32"/>
        </w:rPr>
      </w:pPr>
    </w:p>
    <w:p>
      <w:pPr>
        <w:spacing w:line="560" w:lineRule="exact"/>
        <w:jc w:val="center"/>
        <w:rPr>
          <w:rFonts w:hint="eastAsia" w:eastAsia="仿宋_GB2312"/>
          <w:b/>
          <w:snapToGrid w:val="0"/>
          <w:color w:val="000000"/>
          <w:kern w:val="0"/>
          <w:sz w:val="32"/>
          <w:szCs w:val="32"/>
        </w:rPr>
      </w:pPr>
      <w:r>
        <w:rPr>
          <w:rFonts w:hint="eastAsia" w:ascii="黑体" w:eastAsia="黑体"/>
          <w:color w:val="000000"/>
          <w:spacing w:val="6"/>
          <w:kern w:val="0"/>
          <w:sz w:val="32"/>
          <w:szCs w:val="32"/>
        </w:rPr>
        <w:t>第十四节</w:t>
      </w:r>
      <w:r>
        <w:rPr>
          <w:rFonts w:hint="eastAsia" w:ascii="黑体" w:eastAsia="黑体"/>
          <w:color w:val="000000"/>
          <w:spacing w:val="6"/>
          <w:kern w:val="0"/>
          <w:sz w:val="32"/>
          <w:szCs w:val="32"/>
          <w:lang w:val="en-US" w:eastAsia="zh-CN"/>
        </w:rPr>
        <w:t xml:space="preserve">  </w:t>
      </w:r>
      <w:r>
        <w:rPr>
          <w:rFonts w:hint="eastAsia" w:ascii="黑体" w:eastAsia="黑体"/>
          <w:color w:val="000000"/>
          <w:spacing w:val="6"/>
          <w:kern w:val="0"/>
          <w:sz w:val="32"/>
          <w:szCs w:val="32"/>
        </w:rPr>
        <w:t>实施精准扶贫精准脱贫</w:t>
      </w:r>
    </w:p>
    <w:p>
      <w:pPr>
        <w:tabs>
          <w:tab w:val="left" w:pos="1859"/>
          <w:tab w:val="center" w:pos="4153"/>
        </w:tabs>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以脱贫攻坚统揽经济社会发展全局，把解决贫困群众的生存和发展问题作为各级党委政府的首要之责,按照</w:t>
      </w:r>
      <w:r>
        <w:rPr>
          <w:rFonts w:hint="eastAsia" w:ascii="仿宋_GB2312" w:eastAsia="仿宋_GB2312"/>
          <w:color w:val="000000"/>
          <w:sz w:val="32"/>
          <w:szCs w:val="32"/>
          <w:lang w:eastAsia="zh-CN"/>
        </w:rPr>
        <w:t>易地搬迁、发展产业、劳务创业、生态建设、教育扶贫、健康扶贫、政策兜底</w:t>
      </w:r>
      <w:r>
        <w:rPr>
          <w:rFonts w:hint="eastAsia" w:ascii="仿宋_GB2312" w:eastAsia="仿宋_GB2312"/>
          <w:color w:val="000000"/>
          <w:sz w:val="32"/>
          <w:szCs w:val="32"/>
        </w:rPr>
        <w:t>“</w:t>
      </w:r>
      <w:r>
        <w:rPr>
          <w:rFonts w:hint="eastAsia" w:ascii="仿宋_GB2312" w:eastAsia="仿宋_GB2312"/>
          <w:color w:val="000000"/>
          <w:sz w:val="32"/>
          <w:szCs w:val="32"/>
          <w:lang w:eastAsia="zh-CN"/>
        </w:rPr>
        <w:t>七</w:t>
      </w:r>
      <w:r>
        <w:rPr>
          <w:rFonts w:hint="eastAsia" w:ascii="仿宋_GB2312" w:eastAsia="仿宋_GB2312"/>
          <w:color w:val="000000"/>
          <w:sz w:val="32"/>
          <w:szCs w:val="32"/>
        </w:rPr>
        <w:t>个一批”</w:t>
      </w:r>
      <w:r>
        <w:rPr>
          <w:rFonts w:hint="eastAsia" w:ascii="仿宋_GB2312" w:eastAsia="仿宋_GB2312"/>
          <w:color w:val="000000"/>
          <w:sz w:val="32"/>
          <w:szCs w:val="32"/>
          <w:lang w:eastAsia="zh-CN"/>
        </w:rPr>
        <w:t>和扶贫对象、项目安排、资金使用、措施到户、因村派人、脱贫成效</w:t>
      </w:r>
      <w:r>
        <w:rPr>
          <w:rFonts w:hint="eastAsia" w:ascii="仿宋_GB2312" w:eastAsia="仿宋_GB2312"/>
          <w:color w:val="000000"/>
          <w:sz w:val="32"/>
          <w:szCs w:val="32"/>
        </w:rPr>
        <w:t>“六个精准”的总体要求，坚持扶贫开发与经济社会发展相互促进、精准帮扶与特困山区开发紧密结合、避灾扶贫移民搬迁与新型城镇化建设相结合、精准施策与到村到户扶持相结合、扶贫开发与生态保护并重、</w:t>
      </w:r>
      <w:r>
        <w:rPr>
          <w:rFonts w:hint="eastAsia" w:ascii="仿宋_GB2312" w:eastAsia="仿宋_GB2312"/>
          <w:color w:val="000000"/>
          <w:sz w:val="32"/>
          <w:szCs w:val="32"/>
          <w:lang w:eastAsia="zh-CN"/>
        </w:rPr>
        <w:t>脱贫攻坚</w:t>
      </w:r>
      <w:r>
        <w:rPr>
          <w:rFonts w:hint="eastAsia" w:ascii="仿宋_GB2312" w:eastAsia="仿宋_GB2312"/>
          <w:color w:val="000000"/>
          <w:sz w:val="32"/>
          <w:szCs w:val="32"/>
        </w:rPr>
        <w:t>与社会保障有效衔接，到2020年，如期实现</w:t>
      </w:r>
      <w:r>
        <w:rPr>
          <w:rFonts w:hint="eastAsia" w:ascii="仿宋_GB2312" w:eastAsia="仿宋_GB2312"/>
          <w:color w:val="000000"/>
          <w:sz w:val="32"/>
          <w:szCs w:val="32"/>
          <w:lang w:val="en-US" w:eastAsia="zh-CN"/>
        </w:rPr>
        <w:t>58.17</w:t>
      </w:r>
      <w:r>
        <w:rPr>
          <w:rFonts w:hint="eastAsia" w:ascii="仿宋_GB2312" w:eastAsia="仿宋_GB2312"/>
          <w:color w:val="000000"/>
          <w:sz w:val="32"/>
          <w:szCs w:val="32"/>
        </w:rPr>
        <w:t>万建档立卡贫困人口全部脱贫“越线”，1</w:t>
      </w:r>
      <w:r>
        <w:rPr>
          <w:rFonts w:hint="eastAsia" w:ascii="仿宋_GB2312" w:eastAsia="仿宋_GB2312"/>
          <w:color w:val="000000"/>
          <w:sz w:val="32"/>
          <w:szCs w:val="32"/>
          <w:lang w:val="en-US" w:eastAsia="zh-CN"/>
        </w:rPr>
        <w:t>003</w:t>
      </w:r>
      <w:r>
        <w:rPr>
          <w:rFonts w:hint="eastAsia" w:ascii="仿宋_GB2312" w:eastAsia="仿宋_GB2312"/>
          <w:color w:val="000000"/>
          <w:sz w:val="32"/>
          <w:szCs w:val="32"/>
        </w:rPr>
        <w:t>个贫困村全部脱贫“销号”，10个扶贫开发重点县全部“摘帽”，稳定实现扶贫对象</w:t>
      </w:r>
      <w:r>
        <w:rPr>
          <w:rFonts w:hint="eastAsia" w:ascii="仿宋_GB2312" w:eastAsia="仿宋_GB2312"/>
          <w:color w:val="000000"/>
          <w:sz w:val="32"/>
          <w:szCs w:val="32"/>
          <w:lang w:eastAsia="zh-CN"/>
        </w:rPr>
        <w:t>不愁吃、不愁穿，保障其义务教育、基本医疗和住房</w:t>
      </w:r>
      <w:r>
        <w:rPr>
          <w:rFonts w:hint="eastAsia" w:ascii="仿宋_GB2312" w:eastAsia="仿宋_GB2312"/>
          <w:color w:val="000000"/>
          <w:sz w:val="32"/>
          <w:szCs w:val="32"/>
        </w:rPr>
        <w:t>，确保贫困地区农民人均可支配收入增幅高于全国平均水平，基本公共服务主要领域指标接近全国平均水平。</w:t>
      </w:r>
    </w:p>
    <w:p>
      <w:pPr>
        <w:tabs>
          <w:tab w:val="left" w:pos="1859"/>
          <w:tab w:val="center" w:pos="4153"/>
        </w:tabs>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突出问题导向，坚持“政府引导、民众自愿、有业安置、服务配套、持续发展”，因户施策、因人施策，提升脱贫攻坚工作的精准度和实效性。坚持</w:t>
      </w:r>
      <w:r>
        <w:rPr>
          <w:rFonts w:hint="eastAsia" w:ascii="仿宋_GB2312" w:eastAsia="仿宋_GB2312"/>
          <w:color w:val="000000"/>
          <w:sz w:val="32"/>
          <w:szCs w:val="32"/>
          <w:lang w:eastAsia="zh-CN"/>
        </w:rPr>
        <w:t>集中安置和进城入镇进社区安置相结合，</w:t>
      </w:r>
      <w:r>
        <w:rPr>
          <w:rFonts w:hint="eastAsia" w:ascii="仿宋_GB2312" w:eastAsia="仿宋_GB2312"/>
          <w:color w:val="000000"/>
          <w:sz w:val="32"/>
          <w:szCs w:val="32"/>
        </w:rPr>
        <w:t>与城镇、园区和中心村“三靠近”，大力实施集中安置、统规统建，加大基础设施和公共服务配套，实现易地搬迁脱贫</w:t>
      </w:r>
      <w:r>
        <w:rPr>
          <w:rFonts w:hint="eastAsia" w:ascii="仿宋_GB2312" w:eastAsia="仿宋_GB2312"/>
          <w:color w:val="000000"/>
          <w:sz w:val="32"/>
          <w:szCs w:val="32"/>
          <w:lang w:eastAsia="zh-CN"/>
        </w:rPr>
        <w:t>，解决</w:t>
      </w:r>
      <w:r>
        <w:rPr>
          <w:rFonts w:hint="eastAsia" w:ascii="仿宋_GB2312" w:eastAsia="仿宋_GB2312"/>
          <w:color w:val="000000"/>
          <w:sz w:val="32"/>
          <w:szCs w:val="32"/>
          <w:lang w:val="en-US" w:eastAsia="zh-CN"/>
        </w:rPr>
        <w:t>31.8万人脱贫</w:t>
      </w:r>
      <w:r>
        <w:rPr>
          <w:rFonts w:hint="eastAsia" w:ascii="仿宋_GB2312" w:eastAsia="仿宋_GB2312"/>
          <w:color w:val="000000"/>
          <w:sz w:val="32"/>
          <w:szCs w:val="32"/>
          <w:lang w:eastAsia="zh-CN"/>
        </w:rPr>
        <w:t>。</w:t>
      </w:r>
      <w:r>
        <w:rPr>
          <w:rFonts w:hint="eastAsia" w:ascii="仿宋_GB2312" w:eastAsia="仿宋_GB2312"/>
          <w:color w:val="000000"/>
          <w:sz w:val="32"/>
          <w:szCs w:val="32"/>
        </w:rPr>
        <w:t>突出特色产业发展促脱贫，实施“一村一品、一户一业”产业推动行动，在专项资金、品牌培育、技术培训、政策引导等方面给予倾斜支持</w:t>
      </w:r>
      <w:r>
        <w:rPr>
          <w:rFonts w:hint="eastAsia" w:ascii="仿宋_GB2312" w:eastAsia="仿宋_GB2312"/>
          <w:color w:val="000000"/>
          <w:sz w:val="32"/>
          <w:szCs w:val="32"/>
          <w:lang w:eastAsia="zh-CN"/>
        </w:rPr>
        <w:t>；建立就业和社保服务平台，</w:t>
      </w:r>
      <w:r>
        <w:rPr>
          <w:rFonts w:hint="eastAsia" w:ascii="仿宋_GB2312" w:eastAsia="仿宋_GB2312"/>
          <w:color w:val="000000"/>
          <w:sz w:val="32"/>
          <w:szCs w:val="32"/>
        </w:rPr>
        <w:t>组织实施贫困户子女职业技术技能培训，</w:t>
      </w:r>
      <w:r>
        <w:rPr>
          <w:rFonts w:hint="eastAsia" w:ascii="仿宋_GB2312" w:eastAsia="仿宋_GB2312"/>
          <w:color w:val="000000"/>
          <w:sz w:val="32"/>
          <w:szCs w:val="32"/>
          <w:lang w:eastAsia="zh-CN"/>
        </w:rPr>
        <w:t>引导劳务创业脱贫；</w:t>
      </w:r>
      <w:r>
        <w:rPr>
          <w:rFonts w:hint="eastAsia" w:ascii="仿宋_GB2312" w:eastAsia="仿宋_GB2312"/>
          <w:color w:val="000000"/>
          <w:sz w:val="32"/>
          <w:szCs w:val="32"/>
        </w:rPr>
        <w:t>争取退耕还林、公益林以及当地劳动力护林补偿</w:t>
      </w:r>
      <w:r>
        <w:rPr>
          <w:rFonts w:hint="eastAsia" w:ascii="仿宋_GB2312" w:eastAsia="仿宋_GB2312"/>
          <w:color w:val="000000"/>
          <w:sz w:val="32"/>
          <w:szCs w:val="32"/>
          <w:lang w:eastAsia="zh-CN"/>
        </w:rPr>
        <w:t>，</w:t>
      </w:r>
      <w:r>
        <w:rPr>
          <w:rFonts w:hint="eastAsia" w:ascii="仿宋_GB2312" w:eastAsia="仿宋_GB2312"/>
          <w:color w:val="000000"/>
          <w:sz w:val="32"/>
          <w:szCs w:val="32"/>
        </w:rPr>
        <w:t>实现发展产业</w:t>
      </w:r>
      <w:r>
        <w:rPr>
          <w:rFonts w:hint="eastAsia" w:ascii="仿宋_GB2312" w:eastAsia="仿宋_GB2312"/>
          <w:color w:val="000000"/>
          <w:sz w:val="32"/>
          <w:szCs w:val="32"/>
          <w:lang w:eastAsia="zh-CN"/>
        </w:rPr>
        <w:t>、</w:t>
      </w:r>
      <w:r>
        <w:rPr>
          <w:rFonts w:hint="eastAsia" w:ascii="仿宋_GB2312" w:eastAsia="仿宋_GB2312"/>
          <w:color w:val="000000"/>
          <w:sz w:val="32"/>
          <w:szCs w:val="32"/>
        </w:rPr>
        <w:t>促进就业</w:t>
      </w:r>
      <w:r>
        <w:rPr>
          <w:rFonts w:hint="eastAsia" w:ascii="仿宋_GB2312" w:eastAsia="仿宋_GB2312"/>
          <w:color w:val="000000"/>
          <w:sz w:val="32"/>
          <w:szCs w:val="32"/>
          <w:lang w:eastAsia="zh-CN"/>
        </w:rPr>
        <w:t>、</w:t>
      </w:r>
      <w:r>
        <w:rPr>
          <w:rFonts w:hint="eastAsia" w:ascii="仿宋_GB2312" w:eastAsia="仿宋_GB2312"/>
          <w:color w:val="000000"/>
          <w:sz w:val="32"/>
          <w:szCs w:val="32"/>
        </w:rPr>
        <w:t>生态补偿脱贫</w:t>
      </w:r>
      <w:r>
        <w:rPr>
          <w:rFonts w:hint="eastAsia" w:ascii="仿宋_GB2312" w:eastAsia="仿宋_GB2312"/>
          <w:color w:val="000000"/>
          <w:sz w:val="32"/>
          <w:szCs w:val="32"/>
          <w:lang w:eastAsia="zh-CN"/>
        </w:rPr>
        <w:t>，解决</w:t>
      </w:r>
      <w:r>
        <w:rPr>
          <w:rFonts w:hint="eastAsia" w:ascii="仿宋_GB2312" w:eastAsia="仿宋_GB2312"/>
          <w:color w:val="000000"/>
          <w:sz w:val="32"/>
          <w:szCs w:val="32"/>
          <w:lang w:val="en-US" w:eastAsia="zh-CN"/>
        </w:rPr>
        <w:t>39.6万人脱贫</w:t>
      </w:r>
      <w:r>
        <w:rPr>
          <w:rFonts w:hint="eastAsia" w:ascii="仿宋_GB2312" w:eastAsia="仿宋_GB2312"/>
          <w:color w:val="000000"/>
          <w:sz w:val="32"/>
          <w:szCs w:val="32"/>
          <w:lang w:eastAsia="zh-CN"/>
        </w:rPr>
        <w:t>。</w:t>
      </w:r>
      <w:r>
        <w:rPr>
          <w:rFonts w:hint="eastAsia" w:ascii="仿宋_GB2312" w:eastAsia="仿宋_GB2312"/>
          <w:color w:val="000000"/>
          <w:sz w:val="32"/>
          <w:szCs w:val="32"/>
        </w:rPr>
        <w:t>强化素质教育和技能培训，</w:t>
      </w:r>
      <w:r>
        <w:rPr>
          <w:rFonts w:hint="eastAsia" w:ascii="仿宋_GB2312" w:eastAsia="仿宋_GB2312"/>
          <w:color w:val="000000"/>
          <w:sz w:val="32"/>
          <w:szCs w:val="32"/>
          <w:lang w:eastAsia="zh-CN"/>
        </w:rPr>
        <w:t>免除贫困家庭学生</w:t>
      </w:r>
      <w:r>
        <w:rPr>
          <w:rFonts w:hint="eastAsia" w:ascii="仿宋_GB2312" w:eastAsia="仿宋_GB2312"/>
          <w:color w:val="000000"/>
          <w:sz w:val="32"/>
          <w:szCs w:val="32"/>
          <w:lang w:val="en-US" w:eastAsia="zh-CN"/>
        </w:rPr>
        <w:t>13</w:t>
      </w:r>
      <w:r>
        <w:rPr>
          <w:rFonts w:hint="eastAsia" w:ascii="仿宋_GB2312" w:eastAsia="仿宋_GB2312"/>
          <w:color w:val="000000"/>
          <w:sz w:val="32"/>
          <w:szCs w:val="32"/>
          <w:lang w:eastAsia="zh-CN"/>
        </w:rPr>
        <w:t>年教育学杂费，</w:t>
      </w:r>
      <w:r>
        <w:rPr>
          <w:rFonts w:hint="eastAsia" w:ascii="仿宋_GB2312" w:eastAsia="仿宋_GB2312"/>
          <w:color w:val="000000"/>
          <w:sz w:val="32"/>
          <w:szCs w:val="32"/>
        </w:rPr>
        <w:t>发展教育事业脱贫</w:t>
      </w:r>
      <w:r>
        <w:rPr>
          <w:rFonts w:hint="eastAsia" w:ascii="仿宋_GB2312" w:eastAsia="仿宋_GB2312"/>
          <w:color w:val="000000"/>
          <w:sz w:val="32"/>
          <w:szCs w:val="32"/>
          <w:lang w:eastAsia="zh-CN"/>
        </w:rPr>
        <w:t>，解决</w:t>
      </w:r>
      <w:r>
        <w:rPr>
          <w:rFonts w:hint="eastAsia" w:ascii="仿宋_GB2312" w:eastAsia="仿宋_GB2312"/>
          <w:color w:val="000000"/>
          <w:sz w:val="32"/>
          <w:szCs w:val="32"/>
          <w:lang w:val="en-US" w:eastAsia="zh-CN"/>
        </w:rPr>
        <w:t>9.8万人脱贫</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完善医疗救助机制，落实救助政策，扩大救助范围，保障贫困人口享有基本医疗卫生服务，防止因病致贫、因病返贫，解决10.9万人脱贫。</w:t>
      </w:r>
      <w:r>
        <w:rPr>
          <w:rFonts w:hint="eastAsia" w:ascii="仿宋_GB2312" w:eastAsia="仿宋_GB2312"/>
          <w:color w:val="000000"/>
          <w:sz w:val="32"/>
          <w:szCs w:val="32"/>
        </w:rPr>
        <w:t>加大社会保障、医疗救助及特殊群体关爱服务，实现社会保障兜底脱贫</w:t>
      </w:r>
      <w:r>
        <w:rPr>
          <w:rFonts w:hint="eastAsia" w:ascii="仿宋_GB2312" w:eastAsia="仿宋_GB2312"/>
          <w:color w:val="000000"/>
          <w:sz w:val="32"/>
          <w:szCs w:val="32"/>
          <w:lang w:eastAsia="zh-CN"/>
        </w:rPr>
        <w:t>，解决</w:t>
      </w:r>
      <w:r>
        <w:rPr>
          <w:rFonts w:hint="eastAsia" w:ascii="仿宋_GB2312" w:eastAsia="仿宋_GB2312"/>
          <w:color w:val="000000"/>
          <w:sz w:val="32"/>
          <w:szCs w:val="32"/>
          <w:lang w:val="en-US" w:eastAsia="zh-CN"/>
        </w:rPr>
        <w:t>34.6万人脱贫</w:t>
      </w:r>
      <w:r>
        <w:rPr>
          <w:rFonts w:hint="eastAsia" w:ascii="仿宋_GB2312" w:eastAsia="仿宋_GB2312"/>
          <w:color w:val="000000"/>
          <w:sz w:val="32"/>
          <w:szCs w:val="32"/>
        </w:rPr>
        <w:t>。</w:t>
      </w:r>
    </w:p>
    <w:p>
      <w:pPr>
        <w:tabs>
          <w:tab w:val="left" w:pos="1859"/>
          <w:tab w:val="center" w:pos="4153"/>
        </w:tabs>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全面深化脱贫攻坚机制，落实“片区为重点、精准到村到户”工作机制和“设定时间表、留出缓冲期、严格评估、逐户销号”退出机制，巩固和完善专项扶贫、行业扶贫、社会扶贫的“大扶贫”格局。加强规划引导，加大投入力度，整合扶贫资金，强化金融支持，完善服务配套，实施精准搬迁，增强贫困人口自我发展能力。</w:t>
      </w:r>
    </w:p>
    <w:p>
      <w:pPr>
        <w:tabs>
          <w:tab w:val="left" w:pos="1859"/>
          <w:tab w:val="center" w:pos="4153"/>
        </w:tabs>
        <w:spacing w:line="560" w:lineRule="exact"/>
        <w:jc w:val="left"/>
        <w:rPr>
          <w:rFonts w:hint="eastAsia" w:ascii="仿宋_GB2312" w:eastAsia="仿宋_GB2312"/>
          <w:color w:val="000000"/>
          <w:sz w:val="32"/>
          <w:szCs w:val="32"/>
        </w:rPr>
      </w:pPr>
    </w:p>
    <w:p>
      <w:pPr>
        <w:tabs>
          <w:tab w:val="left" w:pos="1859"/>
          <w:tab w:val="center" w:pos="4153"/>
        </w:tabs>
        <w:spacing w:line="560" w:lineRule="exact"/>
        <w:jc w:val="center"/>
        <w:rPr>
          <w:rFonts w:hint="eastAsia" w:ascii="仿宋_GB2312" w:eastAsia="仿宋_GB2312"/>
          <w:color w:val="000000"/>
          <w:spacing w:val="0"/>
          <w:sz w:val="32"/>
          <w:szCs w:val="32"/>
        </w:rPr>
      </w:pPr>
      <w:r>
        <w:rPr>
          <w:rFonts w:hint="eastAsia" w:ascii="黑体" w:eastAsia="黑体"/>
          <w:color w:val="000000"/>
          <w:spacing w:val="0"/>
          <w:kern w:val="0"/>
          <w:sz w:val="32"/>
          <w:szCs w:val="32"/>
        </w:rPr>
        <w:t>第十五节</w:t>
      </w:r>
      <w:r>
        <w:rPr>
          <w:rFonts w:hint="eastAsia" w:ascii="黑体" w:eastAsia="黑体"/>
          <w:color w:val="000000"/>
          <w:spacing w:val="0"/>
          <w:kern w:val="0"/>
          <w:sz w:val="32"/>
          <w:szCs w:val="32"/>
          <w:lang w:val="en-US" w:eastAsia="zh-CN"/>
        </w:rPr>
        <w:t xml:space="preserve">  </w:t>
      </w:r>
      <w:r>
        <w:rPr>
          <w:rFonts w:hint="eastAsia" w:ascii="黑体" w:eastAsia="黑体"/>
          <w:color w:val="000000"/>
          <w:spacing w:val="0"/>
          <w:kern w:val="0"/>
          <w:sz w:val="32"/>
          <w:szCs w:val="32"/>
        </w:rPr>
        <w:t>创建国家</w:t>
      </w:r>
      <w:r>
        <w:rPr>
          <w:rFonts w:hint="eastAsia" w:ascii="黑体" w:eastAsia="黑体"/>
          <w:color w:val="000000"/>
          <w:spacing w:val="0"/>
          <w:kern w:val="0"/>
          <w:sz w:val="32"/>
          <w:szCs w:val="32"/>
          <w:lang w:eastAsia="zh-CN"/>
        </w:rPr>
        <w:t>政策性</w:t>
      </w:r>
      <w:r>
        <w:rPr>
          <w:rFonts w:hint="eastAsia" w:ascii="黑体" w:eastAsia="黑体"/>
          <w:color w:val="000000"/>
          <w:spacing w:val="0"/>
          <w:kern w:val="0"/>
          <w:sz w:val="32"/>
          <w:szCs w:val="32"/>
        </w:rPr>
        <w:t>金融扶贫</w:t>
      </w:r>
      <w:r>
        <w:rPr>
          <w:rFonts w:hint="eastAsia" w:ascii="黑体" w:eastAsia="黑体"/>
          <w:color w:val="000000"/>
          <w:spacing w:val="0"/>
          <w:kern w:val="0"/>
          <w:sz w:val="32"/>
          <w:szCs w:val="32"/>
          <w:lang w:eastAsia="zh-CN"/>
        </w:rPr>
        <w:t>实验</w:t>
      </w:r>
      <w:r>
        <w:rPr>
          <w:rFonts w:hint="eastAsia" w:ascii="黑体" w:eastAsia="黑体"/>
          <w:color w:val="000000"/>
          <w:spacing w:val="0"/>
          <w:kern w:val="0"/>
          <w:sz w:val="32"/>
          <w:szCs w:val="32"/>
        </w:rPr>
        <w:t>示范区</w:t>
      </w:r>
    </w:p>
    <w:p>
      <w:pPr>
        <w:keepNext w:val="0"/>
        <w:keepLines w:val="0"/>
        <w:widowControl w:val="0"/>
        <w:suppressLineNumbers w:val="0"/>
        <w:autoSpaceDE w:val="0"/>
        <w:autoSpaceDN/>
        <w:spacing w:before="0" w:beforeAutospacing="0" w:after="0" w:afterAutospacing="0" w:line="560" w:lineRule="exact"/>
        <w:ind w:left="0" w:leftChars="0" w:right="0" w:rightChars="0" w:firstLine="704" w:firstLineChars="220"/>
        <w:jc w:val="both"/>
        <w:rPr>
          <w:rFonts w:hint="eastAsia" w:ascii="仿宋_GB2312" w:eastAsia="仿宋_GB2312"/>
          <w:color w:val="000000"/>
          <w:sz w:val="32"/>
          <w:szCs w:val="32"/>
        </w:rPr>
      </w:pPr>
      <w:r>
        <w:rPr>
          <w:rFonts w:hint="eastAsia" w:ascii="仿宋_GB2312" w:eastAsia="仿宋_GB2312"/>
          <w:color w:val="000000"/>
          <w:sz w:val="32"/>
          <w:szCs w:val="32"/>
        </w:rPr>
        <w:t>坚持积极创新、先行先试、风险可控、稳步推进原则，充分发挥政府推动、金融撬动、市场牵动、贫困户联动作用，鼓励和引导金融机构加大对脱贫攻坚的金融支持。</w:t>
      </w:r>
      <w:r>
        <w:rPr>
          <w:rFonts w:hint="eastAsia" w:ascii="仿宋_GB2312" w:eastAsia="仿宋_GB2312"/>
          <w:color w:val="000000"/>
          <w:sz w:val="32"/>
          <w:szCs w:val="32"/>
          <w:lang w:eastAsia="zh-CN"/>
        </w:rPr>
        <w:t>以平台建设、项目储备、创新配套、农村信用体系建设为重点，</w:t>
      </w:r>
      <w:r>
        <w:rPr>
          <w:rFonts w:hint="eastAsia" w:ascii="仿宋_GB2312" w:eastAsia="仿宋_GB2312"/>
          <w:color w:val="000000"/>
          <w:sz w:val="32"/>
          <w:szCs w:val="32"/>
        </w:rPr>
        <w:t>积极探索财政资金与政策性金融扶贫资金协作配合机制</w:t>
      </w:r>
      <w:r>
        <w:rPr>
          <w:rFonts w:hint="eastAsia" w:ascii="仿宋_GB2312" w:eastAsia="仿宋_GB2312"/>
          <w:color w:val="000000"/>
          <w:sz w:val="32"/>
          <w:szCs w:val="32"/>
          <w:lang w:eastAsia="zh-CN"/>
        </w:rPr>
        <w:t>，以及</w:t>
      </w:r>
      <w:r>
        <w:rPr>
          <w:rFonts w:hint="eastAsia" w:ascii="仿宋_GB2312" w:eastAsia="仿宋_GB2312"/>
          <w:color w:val="000000"/>
          <w:sz w:val="32"/>
          <w:szCs w:val="32"/>
          <w:lang w:val="en-US" w:eastAsia="zh-CN"/>
        </w:rPr>
        <w:t>政策性银行与商业银行、农村合作银行、农村信用社以及保险、证券、基金等金融机构的扶贫合作机制，推动政策性金融扶贫、财政扶贫、社会扶贫三方融合。</w:t>
      </w:r>
      <w:r>
        <w:rPr>
          <w:rFonts w:hint="eastAsia" w:ascii="仿宋_GB2312" w:eastAsia="仿宋_GB2312"/>
          <w:color w:val="000000"/>
          <w:sz w:val="32"/>
          <w:szCs w:val="32"/>
        </w:rPr>
        <w:t>合理配置金融资源，创新金融产品，扩大政策性银行综合授信，积极发展农村普惠金融</w:t>
      </w:r>
      <w:r>
        <w:rPr>
          <w:rFonts w:hint="eastAsia" w:ascii="仿宋_GB2312" w:eastAsia="仿宋_GB2312"/>
          <w:color w:val="000000"/>
          <w:sz w:val="32"/>
          <w:szCs w:val="32"/>
          <w:lang w:eastAsia="zh-CN"/>
        </w:rPr>
        <w:t>。</w:t>
      </w:r>
      <w:r>
        <w:rPr>
          <w:rFonts w:hint="eastAsia" w:ascii="仿宋_GB2312" w:eastAsia="仿宋_GB2312"/>
          <w:color w:val="000000"/>
          <w:sz w:val="32"/>
          <w:szCs w:val="32"/>
        </w:rPr>
        <w:t>组建市扶贫开发投资有限公司，建立市县扶贫投融资平台，加大贫困村建设、易地扶贫搬迁、生态</w:t>
      </w:r>
      <w:r>
        <w:rPr>
          <w:rFonts w:hint="eastAsia" w:ascii="仿宋_GB2312" w:eastAsia="仿宋_GB2312"/>
          <w:color w:val="000000"/>
          <w:sz w:val="32"/>
          <w:szCs w:val="32"/>
          <w:lang w:eastAsia="zh-CN"/>
        </w:rPr>
        <w:t>环境</w:t>
      </w:r>
      <w:r>
        <w:rPr>
          <w:rFonts w:hint="eastAsia" w:ascii="仿宋_GB2312" w:eastAsia="仿宋_GB2312"/>
          <w:color w:val="000000"/>
          <w:sz w:val="32"/>
          <w:szCs w:val="32"/>
        </w:rPr>
        <w:t>保护、特色产业发展、教育、康复、旅游等扶贫投入力度，实现贫困户“5321”政策全覆盖。</w:t>
      </w:r>
    </w:p>
    <w:p>
      <w:pPr>
        <w:tabs>
          <w:tab w:val="left" w:pos="1859"/>
          <w:tab w:val="center" w:pos="4153"/>
        </w:tabs>
        <w:spacing w:line="560" w:lineRule="exact"/>
        <w:ind w:firstLine="640" w:firstLineChars="200"/>
        <w:jc w:val="left"/>
        <w:rPr>
          <w:rFonts w:hint="eastAsia" w:ascii="仿宋_GB2312" w:eastAsia="仿宋_GB2312"/>
          <w:color w:val="000000"/>
          <w:sz w:val="32"/>
          <w:szCs w:val="32"/>
        </w:rPr>
      </w:pPr>
    </w:p>
    <w:p>
      <w:pPr>
        <w:spacing w:line="560" w:lineRule="exact"/>
        <w:jc w:val="center"/>
        <w:rPr>
          <w:rFonts w:hint="eastAsia" w:ascii="黑体" w:eastAsia="黑体"/>
          <w:color w:val="000000"/>
          <w:spacing w:val="6"/>
          <w:kern w:val="0"/>
          <w:sz w:val="32"/>
          <w:szCs w:val="32"/>
        </w:rPr>
      </w:pPr>
      <w:r>
        <w:rPr>
          <w:rFonts w:hint="eastAsia" w:ascii="黑体" w:eastAsia="黑体"/>
          <w:color w:val="000000"/>
          <w:spacing w:val="6"/>
          <w:kern w:val="0"/>
          <w:sz w:val="32"/>
          <w:szCs w:val="32"/>
        </w:rPr>
        <w:t>第十六节</w:t>
      </w:r>
      <w:r>
        <w:rPr>
          <w:rFonts w:hint="eastAsia" w:ascii="黑体" w:eastAsia="黑体"/>
          <w:color w:val="000000"/>
          <w:spacing w:val="6"/>
          <w:kern w:val="0"/>
          <w:sz w:val="32"/>
          <w:szCs w:val="32"/>
          <w:lang w:val="en-US" w:eastAsia="zh-CN"/>
        </w:rPr>
        <w:t xml:space="preserve">  </w:t>
      </w:r>
      <w:r>
        <w:rPr>
          <w:rFonts w:hint="eastAsia" w:ascii="黑体" w:eastAsia="黑体"/>
          <w:color w:val="000000"/>
          <w:spacing w:val="6"/>
          <w:kern w:val="0"/>
          <w:sz w:val="32"/>
          <w:szCs w:val="32"/>
        </w:rPr>
        <w:t>推进避灾扶贫移民搬迁</w:t>
      </w:r>
    </w:p>
    <w:p>
      <w:pPr>
        <w:tabs>
          <w:tab w:val="left" w:pos="1859"/>
          <w:tab w:val="center" w:pos="4153"/>
        </w:tabs>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围绕“搬得出、稳得住、能致富”总体目标，坚持政府主导与群众自愿、政策支持与市场推动相结合，因地制宜选择搬迁安置方式，选好安置点，加快推进住房、基础设施、公共服务配套设施建设，强化“精准搬迁、精细管理、精确施策”规范管理，着力提升基础保障能力，培育优势特色产业，推进基本公共服务均等化。到2020年完成</w:t>
      </w:r>
      <w:r>
        <w:rPr>
          <w:rFonts w:hint="eastAsia" w:ascii="仿宋_GB2312" w:eastAsia="仿宋_GB2312"/>
          <w:color w:val="000000"/>
          <w:sz w:val="32"/>
          <w:szCs w:val="32"/>
          <w:lang w:val="en-US" w:eastAsia="zh-CN"/>
        </w:rPr>
        <w:t>13.4</w:t>
      </w:r>
      <w:r>
        <w:rPr>
          <w:rFonts w:hint="eastAsia" w:ascii="仿宋_GB2312" w:eastAsia="仿宋_GB2312"/>
          <w:color w:val="000000"/>
          <w:sz w:val="32"/>
          <w:szCs w:val="32"/>
        </w:rPr>
        <w:t>万户</w:t>
      </w:r>
      <w:r>
        <w:rPr>
          <w:rFonts w:hint="eastAsia" w:ascii="仿宋_GB2312" w:eastAsia="仿宋_GB2312"/>
          <w:color w:val="000000"/>
          <w:sz w:val="32"/>
          <w:szCs w:val="32"/>
          <w:lang w:val="en-US" w:eastAsia="zh-CN"/>
        </w:rPr>
        <w:t>41.84</w:t>
      </w:r>
      <w:r>
        <w:rPr>
          <w:rFonts w:hint="eastAsia" w:ascii="仿宋_GB2312" w:eastAsia="仿宋_GB2312"/>
          <w:color w:val="000000"/>
          <w:sz w:val="32"/>
          <w:szCs w:val="32"/>
        </w:rPr>
        <w:t>万人搬迁安置任务，从根本上摆脱山洪地质灾害威胁。努力把搬迁安置区建成现代化的新城镇和社会主义新农村，确保搬迁群众收入和生活水平显著提高。</w:t>
      </w:r>
    </w:p>
    <w:p>
      <w:pPr>
        <w:spacing w:line="560" w:lineRule="exact"/>
        <w:jc w:val="center"/>
        <w:rPr>
          <w:rFonts w:hint="eastAsia" w:ascii="黑体" w:hAnsi="黑体" w:eastAsia="黑体" w:cs="黑体"/>
          <w:snapToGrid w:val="0"/>
          <w:color w:val="000000"/>
          <w:kern w:val="0"/>
          <w:sz w:val="28"/>
          <w:szCs w:val="28"/>
          <w:lang w:val="en-US" w:eastAsia="zh-CN"/>
        </w:rPr>
      </w:pPr>
    </w:p>
    <w:p>
      <w:pPr>
        <w:spacing w:line="560" w:lineRule="exact"/>
        <w:jc w:val="center"/>
        <w:rPr>
          <w:rFonts w:hint="eastAsia" w:ascii="黑体" w:hAnsi="黑体" w:eastAsia="黑体" w:cs="黑体"/>
          <w:snapToGrid w:val="0"/>
          <w:color w:val="000000"/>
          <w:kern w:val="0"/>
          <w:sz w:val="28"/>
          <w:szCs w:val="28"/>
          <w:lang w:val="en-US" w:eastAsia="zh-CN"/>
        </w:rPr>
      </w:pPr>
      <w:r>
        <w:rPr>
          <w:rFonts w:hint="eastAsia" w:ascii="黑体" w:hAnsi="黑体" w:eastAsia="黑体" w:cs="黑体"/>
          <w:snapToGrid w:val="0"/>
          <w:color w:val="000000"/>
          <w:kern w:val="0"/>
          <w:sz w:val="28"/>
          <w:szCs w:val="28"/>
          <w:lang w:val="en-US" w:eastAsia="zh-CN"/>
        </w:rPr>
        <w:t>专栏9  脱贫攻坚“七个一批”工程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73" w:hRule="atLeast"/>
        </w:trPr>
        <w:tc>
          <w:tcPr>
            <w:tcW w:w="8911"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2" w:firstLineChars="200"/>
              <w:jc w:val="both"/>
              <w:textAlignment w:val="auto"/>
              <w:outlineLvl w:val="9"/>
              <w:rPr>
                <w:rFonts w:hint="eastAsia" w:ascii="宋体" w:hAnsi="宋体" w:cs="宋体"/>
                <w:bCs/>
                <w:snapToGrid w:val="0"/>
                <w:color w:val="000000"/>
                <w:sz w:val="24"/>
                <w:szCs w:val="21"/>
              </w:rPr>
            </w:pPr>
            <w:r>
              <w:rPr>
                <w:rFonts w:hint="eastAsia" w:ascii="宋体" w:hAnsi="宋体" w:cs="宋体"/>
                <w:b/>
                <w:bCs/>
                <w:snapToGrid w:val="0"/>
                <w:color w:val="000000"/>
                <w:sz w:val="24"/>
                <w:szCs w:val="21"/>
              </w:rPr>
              <w:t>易地搬迁工程：</w:t>
            </w:r>
            <w:r>
              <w:rPr>
                <w:rFonts w:hint="eastAsia" w:ascii="宋体" w:hAnsi="宋体" w:cs="宋体"/>
                <w:bCs/>
                <w:snapToGrid w:val="0"/>
                <w:color w:val="000000"/>
                <w:sz w:val="24"/>
                <w:szCs w:val="21"/>
              </w:rPr>
              <w:t>以增加贫困人口收入和改善基本生产生活条件为目标，对生存环境恶劣地区的农村贫困人口进行搬迁，五年完成建档立卡贫困户31.8万人搬迁任务。</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2" w:firstLineChars="200"/>
              <w:jc w:val="both"/>
              <w:textAlignment w:val="auto"/>
              <w:outlineLvl w:val="9"/>
              <w:rPr>
                <w:rFonts w:hint="eastAsia" w:ascii="宋体" w:hAnsi="宋体" w:cs="宋体"/>
                <w:bCs/>
                <w:snapToGrid w:val="0"/>
                <w:color w:val="000000"/>
                <w:sz w:val="24"/>
                <w:szCs w:val="21"/>
              </w:rPr>
            </w:pPr>
            <w:r>
              <w:rPr>
                <w:rFonts w:hint="eastAsia" w:ascii="宋体" w:hAnsi="宋体" w:cs="宋体"/>
                <w:b/>
                <w:bCs/>
                <w:snapToGrid w:val="0"/>
                <w:color w:val="000000"/>
                <w:sz w:val="24"/>
                <w:szCs w:val="21"/>
              </w:rPr>
              <w:t>产业扶贫工程：</w:t>
            </w:r>
            <w:r>
              <w:rPr>
                <w:rFonts w:hint="eastAsia" w:ascii="宋体" w:hAnsi="宋体" w:cs="宋体"/>
                <w:bCs/>
                <w:snapToGrid w:val="0"/>
                <w:color w:val="000000"/>
                <w:sz w:val="24"/>
                <w:szCs w:val="21"/>
              </w:rPr>
              <w:t>大力扶持贫困户和贫困地区发展特色优势产业，</w:t>
            </w:r>
            <w:r>
              <w:rPr>
                <w:rFonts w:hint="eastAsia" w:ascii="宋体" w:hAnsi="宋体" w:cs="宋体"/>
                <w:bCs/>
                <w:snapToGrid w:val="0"/>
                <w:color w:val="000000"/>
                <w:sz w:val="24"/>
                <w:szCs w:val="21"/>
                <w:lang w:eastAsia="zh-CN"/>
              </w:rPr>
              <w:t>推进“富硒</w:t>
            </w:r>
            <w:r>
              <w:rPr>
                <w:rFonts w:hint="eastAsia" w:ascii="宋体" w:hAnsi="宋体" w:cs="宋体"/>
                <w:bCs/>
                <w:snapToGrid w:val="0"/>
                <w:color w:val="000000"/>
                <w:sz w:val="24"/>
                <w:szCs w:val="21"/>
                <w:lang w:val="en-US" w:eastAsia="zh-CN"/>
              </w:rPr>
              <w:t>+</w:t>
            </w:r>
            <w:r>
              <w:rPr>
                <w:rFonts w:hint="eastAsia" w:ascii="宋体" w:hAnsi="宋体" w:cs="宋体"/>
                <w:bCs/>
                <w:snapToGrid w:val="0"/>
                <w:color w:val="000000"/>
                <w:sz w:val="24"/>
                <w:szCs w:val="21"/>
                <w:lang w:eastAsia="zh-CN"/>
              </w:rPr>
              <w:t>”特色现代产业模式，</w:t>
            </w:r>
            <w:r>
              <w:rPr>
                <w:rFonts w:hint="eastAsia" w:ascii="宋体" w:hAnsi="宋体" w:cs="宋体"/>
                <w:bCs/>
                <w:snapToGrid w:val="0"/>
                <w:color w:val="000000"/>
                <w:sz w:val="24"/>
                <w:szCs w:val="21"/>
              </w:rPr>
              <w:t>多途径增加贫困人口收入，覆盖和带动贫困村</w:t>
            </w:r>
            <w:r>
              <w:rPr>
                <w:rFonts w:hint="eastAsia" w:ascii="宋体" w:hAnsi="宋体" w:cs="宋体"/>
                <w:bCs/>
                <w:snapToGrid w:val="0"/>
                <w:color w:val="000000"/>
                <w:sz w:val="24"/>
                <w:szCs w:val="21"/>
                <w:lang w:val="en-US" w:eastAsia="zh-CN"/>
              </w:rPr>
              <w:t>1003</w:t>
            </w:r>
            <w:r>
              <w:rPr>
                <w:rFonts w:hint="eastAsia" w:ascii="宋体" w:hAnsi="宋体" w:cs="宋体"/>
                <w:bCs/>
                <w:snapToGrid w:val="0"/>
                <w:color w:val="000000"/>
                <w:sz w:val="24"/>
                <w:szCs w:val="21"/>
              </w:rPr>
              <w:t>个，扶持带动39.6万贫困人口，投放小额信贷资金25亿元，互助资金项目村发展到300个。</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2" w:firstLineChars="200"/>
              <w:jc w:val="both"/>
              <w:textAlignment w:val="auto"/>
              <w:outlineLvl w:val="9"/>
              <w:rPr>
                <w:rFonts w:hint="eastAsia" w:ascii="宋体" w:hAnsi="宋体" w:eastAsia="宋体" w:cs="宋体"/>
                <w:bCs/>
                <w:snapToGrid w:val="0"/>
                <w:color w:val="000000"/>
                <w:sz w:val="24"/>
                <w:szCs w:val="21"/>
                <w:lang w:eastAsia="zh-CN"/>
              </w:rPr>
            </w:pPr>
            <w:r>
              <w:rPr>
                <w:rFonts w:hint="eastAsia" w:ascii="宋体" w:hAnsi="宋体" w:cs="宋体"/>
                <w:b/>
                <w:bCs/>
                <w:snapToGrid w:val="0"/>
                <w:color w:val="000000"/>
                <w:sz w:val="24"/>
                <w:szCs w:val="21"/>
                <w:lang w:eastAsia="zh-CN"/>
              </w:rPr>
              <w:t>劳务创业工程：</w:t>
            </w:r>
            <w:r>
              <w:rPr>
                <w:rFonts w:hint="eastAsia" w:ascii="宋体" w:hAnsi="宋体" w:cs="宋体"/>
                <w:bCs/>
                <w:snapToGrid w:val="0"/>
                <w:color w:val="000000"/>
                <w:sz w:val="24"/>
                <w:szCs w:val="21"/>
                <w:lang w:eastAsia="zh-CN"/>
              </w:rPr>
              <w:t>建立就业和社保服务平台，提高劳务输出组织化程度。</w:t>
            </w:r>
            <w:r>
              <w:rPr>
                <w:rFonts w:hint="eastAsia" w:ascii="宋体" w:hAnsi="宋体" w:cs="宋体"/>
                <w:bCs/>
                <w:snapToGrid w:val="0"/>
                <w:color w:val="000000"/>
                <w:sz w:val="24"/>
                <w:szCs w:val="21"/>
              </w:rPr>
              <w:t>组织实施贫困户子女职业技术技能培训，健全完善就业培训体系，转移输出就业率达到80%以上</w:t>
            </w:r>
            <w:r>
              <w:rPr>
                <w:rFonts w:hint="eastAsia" w:ascii="宋体" w:hAnsi="宋体" w:cs="宋体"/>
                <w:bCs/>
                <w:snapToGrid w:val="0"/>
                <w:color w:val="000000"/>
                <w:sz w:val="24"/>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2" w:firstLineChars="200"/>
              <w:jc w:val="both"/>
              <w:textAlignment w:val="auto"/>
              <w:outlineLvl w:val="9"/>
              <w:rPr>
                <w:rFonts w:hint="eastAsia" w:ascii="宋体" w:hAnsi="宋体" w:cs="宋体"/>
                <w:bCs/>
                <w:snapToGrid w:val="0"/>
                <w:color w:val="000000"/>
                <w:sz w:val="24"/>
                <w:szCs w:val="21"/>
              </w:rPr>
            </w:pPr>
            <w:r>
              <w:rPr>
                <w:rFonts w:hint="eastAsia" w:ascii="宋体" w:hAnsi="宋体" w:cs="宋体"/>
                <w:b/>
                <w:bCs/>
                <w:snapToGrid w:val="0"/>
                <w:color w:val="000000"/>
                <w:sz w:val="24"/>
                <w:szCs w:val="21"/>
              </w:rPr>
              <w:t>生态补偿工程：</w:t>
            </w:r>
            <w:r>
              <w:rPr>
                <w:rFonts w:hint="eastAsia" w:ascii="宋体" w:hAnsi="宋体" w:cs="宋体"/>
                <w:bCs/>
                <w:snapToGrid w:val="0"/>
                <w:color w:val="000000"/>
                <w:sz w:val="24"/>
                <w:szCs w:val="21"/>
              </w:rPr>
              <w:t>抢抓中省加大对重点生态功能区转移支付机遇，争取退耕还林、公益林以及当地劳动力护林补偿，实现生态补偿脱贫。</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2" w:firstLineChars="200"/>
              <w:jc w:val="both"/>
              <w:textAlignment w:val="auto"/>
              <w:outlineLvl w:val="9"/>
              <w:rPr>
                <w:rFonts w:hint="eastAsia" w:ascii="宋体" w:hAnsi="宋体" w:cs="宋体"/>
                <w:bCs/>
                <w:snapToGrid w:val="0"/>
                <w:color w:val="000000"/>
                <w:sz w:val="24"/>
                <w:szCs w:val="21"/>
                <w:lang w:val="en-US" w:eastAsia="zh-CN"/>
              </w:rPr>
            </w:pPr>
            <w:r>
              <w:rPr>
                <w:rFonts w:hint="eastAsia" w:ascii="宋体" w:hAnsi="宋体" w:cs="宋体"/>
                <w:b/>
                <w:bCs/>
                <w:snapToGrid w:val="0"/>
                <w:color w:val="000000"/>
                <w:sz w:val="24"/>
                <w:szCs w:val="21"/>
              </w:rPr>
              <w:t>教育扶贫工程：</w:t>
            </w:r>
            <w:r>
              <w:rPr>
                <w:rFonts w:hint="eastAsia" w:ascii="宋体" w:hAnsi="宋体" w:cs="宋体"/>
                <w:bCs/>
                <w:snapToGrid w:val="0"/>
                <w:color w:val="000000"/>
                <w:sz w:val="24"/>
                <w:szCs w:val="21"/>
              </w:rPr>
              <w:t>加大对贫困家庭劳动力接受高等教育、职业教育、高中教育以及农村义务阶段贫困家庭寄宿生的补助标准。</w:t>
            </w:r>
            <w:r>
              <w:rPr>
                <w:rFonts w:hint="eastAsia" w:ascii="宋体" w:hAnsi="宋体" w:cs="宋体"/>
                <w:bCs/>
                <w:snapToGrid w:val="0"/>
                <w:color w:val="000000"/>
                <w:sz w:val="24"/>
                <w:szCs w:val="21"/>
                <w:lang w:eastAsia="zh-CN"/>
              </w:rPr>
              <w:t>免除贫困家庭学生十三年教育学杂费，解决</w:t>
            </w:r>
            <w:r>
              <w:rPr>
                <w:rFonts w:hint="eastAsia" w:ascii="宋体" w:hAnsi="宋体" w:cs="宋体"/>
                <w:bCs/>
                <w:snapToGrid w:val="0"/>
                <w:color w:val="000000"/>
                <w:sz w:val="24"/>
                <w:szCs w:val="21"/>
                <w:lang w:val="en-US" w:eastAsia="zh-CN"/>
              </w:rPr>
              <w:t>9.8万人脱贫。</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2" w:firstLineChars="200"/>
              <w:jc w:val="left"/>
              <w:textAlignment w:val="auto"/>
              <w:outlineLvl w:val="9"/>
              <w:rPr>
                <w:rFonts w:hint="eastAsia" w:ascii="宋体" w:hAnsi="宋体" w:cs="宋体"/>
                <w:bCs/>
                <w:snapToGrid w:val="0"/>
                <w:color w:val="000000"/>
                <w:sz w:val="24"/>
                <w:szCs w:val="21"/>
                <w:lang w:val="en-US" w:eastAsia="zh-CN"/>
              </w:rPr>
            </w:pPr>
            <w:r>
              <w:rPr>
                <w:rFonts w:hint="eastAsia" w:ascii="宋体" w:hAnsi="宋体" w:cs="宋体"/>
                <w:b/>
                <w:bCs/>
                <w:snapToGrid w:val="0"/>
                <w:color w:val="000000"/>
                <w:sz w:val="24"/>
                <w:szCs w:val="21"/>
                <w:lang w:val="en-US" w:eastAsia="zh-CN"/>
              </w:rPr>
              <w:t>健康扶贫工程：</w:t>
            </w:r>
            <w:r>
              <w:rPr>
                <w:rFonts w:hint="eastAsia" w:ascii="宋体" w:hAnsi="宋体" w:cs="宋体"/>
                <w:bCs/>
                <w:snapToGrid w:val="0"/>
                <w:color w:val="000000"/>
                <w:sz w:val="24"/>
                <w:szCs w:val="21"/>
                <w:lang w:val="en-US" w:eastAsia="zh-CN"/>
              </w:rPr>
              <w:t>完善医疗救助机制，落实救助政策，扩大救助范围，保障贫困人口享有基本医疗卫生服务，防止因病致贫、因病返贫，解决10.9万人脱贫。</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left"/>
              <w:textAlignment w:val="auto"/>
              <w:outlineLvl w:val="9"/>
              <w:rPr>
                <w:rFonts w:hint="eastAsia" w:ascii="黑体" w:hAnsi="黑体" w:eastAsia="黑体" w:cs="黑体"/>
                <w:snapToGrid w:val="0"/>
                <w:color w:val="000000"/>
                <w:kern w:val="0"/>
                <w:sz w:val="28"/>
                <w:szCs w:val="28"/>
                <w:vertAlign w:val="baseline"/>
                <w:lang w:val="en-US" w:eastAsia="zh-CN"/>
              </w:rPr>
            </w:pPr>
            <w:r>
              <w:rPr>
                <w:rFonts w:hint="eastAsia" w:ascii="宋体" w:hAnsi="宋体" w:cs="宋体"/>
                <w:b/>
                <w:bCs/>
                <w:snapToGrid w:val="0"/>
                <w:color w:val="000000"/>
                <w:sz w:val="24"/>
                <w:szCs w:val="21"/>
                <w:lang w:val="en-US" w:eastAsia="zh-CN"/>
              </w:rPr>
              <w:t xml:space="preserve">    </w:t>
            </w:r>
            <w:r>
              <w:rPr>
                <w:rFonts w:hint="eastAsia" w:ascii="宋体" w:hAnsi="宋体" w:cs="宋体"/>
                <w:b/>
                <w:bCs/>
                <w:snapToGrid w:val="0"/>
                <w:color w:val="000000"/>
                <w:sz w:val="24"/>
                <w:szCs w:val="21"/>
                <w:lang w:eastAsia="zh-CN"/>
              </w:rPr>
              <w:t>政策</w:t>
            </w:r>
            <w:r>
              <w:rPr>
                <w:rFonts w:hint="eastAsia" w:ascii="宋体" w:hAnsi="宋体" w:cs="宋体"/>
                <w:b/>
                <w:bCs/>
                <w:snapToGrid w:val="0"/>
                <w:color w:val="000000"/>
                <w:sz w:val="24"/>
                <w:szCs w:val="21"/>
              </w:rPr>
              <w:t>兜底工程：</w:t>
            </w:r>
            <w:r>
              <w:rPr>
                <w:rFonts w:hint="eastAsia" w:ascii="宋体" w:hAnsi="宋体" w:cs="宋体"/>
                <w:bCs/>
                <w:snapToGrid w:val="0"/>
                <w:color w:val="000000"/>
                <w:sz w:val="24"/>
                <w:szCs w:val="21"/>
              </w:rPr>
              <w:t>对贫困人口中完全或部分丧失劳动能力的人，制定个性化扶持措施，提高补助标准，实行低保、五保、残疾、医疗补助标准与扶贫标准并轨，解决34.6万人脱贫。</w:t>
            </w:r>
          </w:p>
        </w:tc>
      </w:tr>
    </w:tbl>
    <w:p>
      <w:pPr>
        <w:spacing w:line="560" w:lineRule="exact"/>
        <w:jc w:val="center"/>
        <w:rPr>
          <w:rFonts w:hint="eastAsia" w:ascii="黑体" w:hAnsi="黑体" w:eastAsia="黑体" w:cs="黑体"/>
          <w:snapToGrid w:val="0"/>
          <w:color w:val="000000"/>
          <w:kern w:val="0"/>
          <w:sz w:val="28"/>
          <w:szCs w:val="28"/>
          <w:lang w:val="en-US" w:eastAsia="zh-CN"/>
        </w:rPr>
      </w:pPr>
    </w:p>
    <w:p>
      <w:pPr>
        <w:tabs>
          <w:tab w:val="left" w:pos="1620"/>
        </w:tabs>
        <w:spacing w:line="580" w:lineRule="exact"/>
        <w:jc w:val="center"/>
        <w:rPr>
          <w:rFonts w:eastAsia="黑体"/>
          <w:bCs/>
          <w:snapToGrid w:val="0"/>
          <w:color w:val="000000"/>
          <w:spacing w:val="6"/>
          <w:kern w:val="0"/>
          <w:sz w:val="32"/>
          <w:szCs w:val="32"/>
        </w:rPr>
      </w:pPr>
      <w:bookmarkStart w:id="25" w:name="_Toc10766"/>
      <w:r>
        <w:rPr>
          <w:rFonts w:hint="eastAsia" w:eastAsia="黑体"/>
          <w:bCs/>
          <w:snapToGrid w:val="0"/>
          <w:color w:val="000000"/>
          <w:spacing w:val="6"/>
          <w:kern w:val="0"/>
          <w:sz w:val="32"/>
          <w:szCs w:val="32"/>
        </w:rPr>
        <w:t>第十七节</w:t>
      </w:r>
      <w:r>
        <w:rPr>
          <w:rFonts w:hint="eastAsia" w:eastAsia="黑体"/>
          <w:bCs/>
          <w:snapToGrid w:val="0"/>
          <w:color w:val="000000"/>
          <w:spacing w:val="6"/>
          <w:kern w:val="0"/>
          <w:sz w:val="32"/>
          <w:szCs w:val="32"/>
          <w:lang w:val="en-US" w:eastAsia="zh-CN"/>
        </w:rPr>
        <w:t xml:space="preserve">  </w:t>
      </w:r>
      <w:r>
        <w:rPr>
          <w:rFonts w:hint="eastAsia" w:eastAsia="黑体"/>
          <w:bCs/>
          <w:snapToGrid w:val="0"/>
          <w:color w:val="000000"/>
          <w:spacing w:val="6"/>
          <w:kern w:val="0"/>
          <w:sz w:val="32"/>
          <w:szCs w:val="32"/>
        </w:rPr>
        <w:t>建设“美丽乡村·文明家园”</w:t>
      </w:r>
      <w:bookmarkEnd w:id="25"/>
    </w:p>
    <w:p>
      <w:pPr>
        <w:spacing w:line="580" w:lineRule="exact"/>
        <w:ind w:firstLine="640" w:firstLineChars="200"/>
        <w:rPr>
          <w:rFonts w:hint="eastAsia" w:ascii="仿宋_GB2312" w:hAnsi="仿宋_GB2312" w:eastAsia="仿宋_GB2312" w:cs="仿宋_GB2312"/>
          <w:snapToGrid w:val="0"/>
          <w:color w:val="000000"/>
          <w:kern w:val="0"/>
          <w:sz w:val="32"/>
          <w:szCs w:val="32"/>
        </w:rPr>
      </w:pPr>
      <w:r>
        <w:rPr>
          <w:rFonts w:hint="eastAsia" w:eastAsia="仿宋_GB2312"/>
          <w:snapToGrid w:val="0"/>
          <w:color w:val="000000"/>
          <w:kern w:val="0"/>
          <w:sz w:val="32"/>
          <w:szCs w:val="32"/>
        </w:rPr>
        <w:t>结合避灾扶贫移民搬迁安置和新型农村社区建设，科学推进村庄整合和集中居住。围绕“宜居、宜业、宜游”总体要求，加强</w:t>
      </w:r>
      <w:r>
        <w:rPr>
          <w:rFonts w:hint="eastAsia" w:eastAsia="仿宋_GB2312"/>
          <w:snapToGrid w:val="0"/>
          <w:color w:val="000000"/>
          <w:kern w:val="0"/>
          <w:sz w:val="32"/>
          <w:szCs w:val="32"/>
          <w:lang w:eastAsia="zh-CN"/>
        </w:rPr>
        <w:t>农村公路、宽带、饮水、照明、环卫等</w:t>
      </w:r>
      <w:r>
        <w:rPr>
          <w:rFonts w:hint="eastAsia" w:eastAsia="仿宋_GB2312"/>
          <w:snapToGrid w:val="0"/>
          <w:color w:val="000000"/>
          <w:kern w:val="0"/>
          <w:sz w:val="32"/>
          <w:szCs w:val="32"/>
        </w:rPr>
        <w:t>基础设施建设和公共服务配套，开展</w:t>
      </w:r>
      <w:r>
        <w:rPr>
          <w:rFonts w:hint="eastAsia" w:eastAsia="仿宋_GB2312"/>
          <w:snapToGrid w:val="0"/>
          <w:color w:val="000000"/>
          <w:kern w:val="0"/>
          <w:sz w:val="32"/>
          <w:szCs w:val="32"/>
          <w:lang w:eastAsia="zh-CN"/>
        </w:rPr>
        <w:t>生态文明村镇建设和</w:t>
      </w:r>
      <w:r>
        <w:rPr>
          <w:rFonts w:hint="eastAsia" w:eastAsia="仿宋_GB2312"/>
          <w:snapToGrid w:val="0"/>
          <w:color w:val="000000"/>
          <w:kern w:val="0"/>
          <w:sz w:val="32"/>
          <w:szCs w:val="32"/>
        </w:rPr>
        <w:t>农村人居环境</w:t>
      </w:r>
      <w:r>
        <w:rPr>
          <w:rFonts w:hint="eastAsia" w:eastAsia="仿宋_GB2312"/>
          <w:snapToGrid w:val="0"/>
          <w:color w:val="000000"/>
          <w:kern w:val="0"/>
          <w:sz w:val="32"/>
          <w:szCs w:val="32"/>
          <w:lang w:eastAsia="zh-CN"/>
        </w:rPr>
        <w:t>综合</w:t>
      </w:r>
      <w:r>
        <w:rPr>
          <w:rFonts w:hint="eastAsia" w:eastAsia="仿宋_GB2312"/>
          <w:snapToGrid w:val="0"/>
          <w:color w:val="000000"/>
          <w:kern w:val="0"/>
          <w:sz w:val="32"/>
          <w:szCs w:val="32"/>
        </w:rPr>
        <w:t>整治，实现广大农村生态美、村容美、庭院美、生活美、乡风美。</w:t>
      </w:r>
      <w:r>
        <w:rPr>
          <w:rFonts w:hint="eastAsia" w:ascii="仿宋_GB2312" w:hAnsi="仿宋" w:eastAsia="仿宋_GB2312"/>
          <w:sz w:val="32"/>
          <w:szCs w:val="32"/>
        </w:rPr>
        <w:t>推广</w:t>
      </w:r>
      <w:r>
        <w:rPr>
          <w:rFonts w:hint="eastAsia" w:ascii="仿宋_GB2312" w:hAnsi="仿宋" w:eastAsia="仿宋_GB2312"/>
          <w:sz w:val="32"/>
          <w:szCs w:val="32"/>
          <w:lang w:eastAsia="zh-CN"/>
        </w:rPr>
        <w:t>平利“</w:t>
      </w:r>
      <w:r>
        <w:rPr>
          <w:rFonts w:hint="eastAsia" w:ascii="仿宋_GB2312" w:hAnsi="仿宋" w:eastAsia="仿宋_GB2312"/>
          <w:sz w:val="32"/>
          <w:szCs w:val="32"/>
        </w:rPr>
        <w:t>美丽乡村标准化示范点</w:t>
      </w:r>
      <w:r>
        <w:rPr>
          <w:rFonts w:hint="eastAsia" w:ascii="仿宋_GB2312" w:hAnsi="仿宋" w:eastAsia="仿宋_GB2312"/>
          <w:sz w:val="32"/>
          <w:szCs w:val="32"/>
          <w:lang w:eastAsia="zh-CN"/>
        </w:rPr>
        <w:t>”</w:t>
      </w:r>
      <w:r>
        <w:rPr>
          <w:rFonts w:hint="eastAsia" w:ascii="仿宋_GB2312" w:hAnsi="仿宋" w:eastAsia="仿宋_GB2312"/>
          <w:sz w:val="32"/>
          <w:szCs w:val="32"/>
        </w:rPr>
        <w:t>建设经验</w:t>
      </w:r>
      <w:r>
        <w:rPr>
          <w:rFonts w:hint="eastAsia" w:ascii="仿宋_GB2312" w:hAnsi="仿宋_GB2312" w:eastAsia="仿宋_GB2312" w:cs="仿宋_GB2312"/>
          <w:snapToGrid w:val="0"/>
          <w:color w:val="000000"/>
          <w:kern w:val="0"/>
          <w:sz w:val="32"/>
          <w:szCs w:val="32"/>
        </w:rPr>
        <w:t>，打造1个示范县（平利）、20个示范镇、</w:t>
      </w:r>
      <w:r>
        <w:rPr>
          <w:rFonts w:ascii="仿宋_GB2312" w:hAnsi="仿宋_GB2312" w:eastAsia="仿宋_GB2312" w:cs="仿宋_GB2312"/>
          <w:snapToGrid w:val="0"/>
          <w:color w:val="000000"/>
          <w:kern w:val="0"/>
          <w:sz w:val="32"/>
          <w:szCs w:val="32"/>
        </w:rPr>
        <w:t>100</w:t>
      </w:r>
      <w:r>
        <w:rPr>
          <w:rFonts w:hint="eastAsia" w:ascii="仿宋_GB2312" w:hAnsi="仿宋_GB2312" w:eastAsia="仿宋_GB2312" w:cs="仿宋_GB2312"/>
          <w:snapToGrid w:val="0"/>
          <w:color w:val="000000"/>
          <w:kern w:val="0"/>
          <w:sz w:val="32"/>
          <w:szCs w:val="32"/>
        </w:rPr>
        <w:t>个示范村。大力开展“十个一”民风建设活动。加强历史文化名村、传统村落、旅游名村、美丽宜居示范村的保护和发展，体现乡土风情，保留田园风貌。</w:t>
      </w:r>
    </w:p>
    <w:p>
      <w:pPr>
        <w:spacing w:line="580" w:lineRule="exact"/>
        <w:jc w:val="center"/>
        <w:outlineLvl w:val="0"/>
        <w:rPr>
          <w:rFonts w:hint="eastAsia" w:ascii="方正小标宋简体" w:hAnsi="黑体" w:eastAsia="方正小标宋简体" w:cs="黑体"/>
          <w:color w:val="000000"/>
          <w:sz w:val="36"/>
          <w:szCs w:val="36"/>
        </w:rPr>
      </w:pPr>
      <w:bookmarkStart w:id="26" w:name="_Toc436739624"/>
      <w:bookmarkStart w:id="27" w:name="_Toc11189"/>
      <w:bookmarkStart w:id="28" w:name="_Toc436739619"/>
    </w:p>
    <w:p>
      <w:pPr>
        <w:spacing w:line="580" w:lineRule="exact"/>
        <w:jc w:val="center"/>
        <w:outlineLvl w:val="0"/>
        <w:rPr>
          <w:rFonts w:hint="eastAsia" w:ascii="方正小标宋简体" w:hAnsi="黑体" w:eastAsia="方正小标宋简体" w:cs="黑体"/>
          <w:color w:val="000000"/>
          <w:sz w:val="36"/>
          <w:szCs w:val="36"/>
        </w:rPr>
      </w:pPr>
      <w:r>
        <w:rPr>
          <w:rFonts w:hint="eastAsia" w:ascii="方正小标宋简体" w:hAnsi="黑体" w:eastAsia="方正小标宋简体" w:cs="黑体"/>
          <w:color w:val="000000"/>
          <w:sz w:val="36"/>
          <w:szCs w:val="36"/>
        </w:rPr>
        <w:t>第五章</w:t>
      </w:r>
      <w:r>
        <w:rPr>
          <w:rFonts w:hint="eastAsia" w:ascii="方正小标宋简体" w:hAnsi="黑体" w:eastAsia="方正小标宋简体" w:cs="黑体"/>
          <w:color w:val="000000"/>
          <w:sz w:val="36"/>
          <w:szCs w:val="36"/>
          <w:lang w:val="en-US" w:eastAsia="zh-CN"/>
        </w:rPr>
        <w:t xml:space="preserve">  </w:t>
      </w:r>
      <w:r>
        <w:rPr>
          <w:rFonts w:hint="eastAsia" w:ascii="方正小标宋简体" w:hAnsi="黑体" w:eastAsia="方正小标宋简体" w:cs="黑体"/>
          <w:color w:val="000000"/>
          <w:sz w:val="36"/>
          <w:szCs w:val="36"/>
        </w:rPr>
        <w:t>互联互通　打造基础设施升级版</w:t>
      </w:r>
      <w:bookmarkEnd w:id="26"/>
      <w:bookmarkEnd w:id="27"/>
    </w:p>
    <w:p>
      <w:pPr>
        <w:spacing w:line="580" w:lineRule="exact"/>
        <w:ind w:firstLine="640" w:firstLineChars="200"/>
        <w:rPr>
          <w:rFonts w:hint="eastAsia" w:eastAsia="仿宋_GB2312"/>
          <w:snapToGrid w:val="0"/>
          <w:color w:val="000000"/>
          <w:kern w:val="0"/>
          <w:sz w:val="32"/>
          <w:szCs w:val="32"/>
        </w:rPr>
      </w:pPr>
    </w:p>
    <w:p>
      <w:pPr>
        <w:spacing w:line="580" w:lineRule="exact"/>
        <w:ind w:firstLine="640" w:firstLineChars="200"/>
        <w:rPr>
          <w:rFonts w:hint="eastAsia" w:eastAsia="仿宋_GB2312"/>
          <w:snapToGrid w:val="0"/>
          <w:color w:val="000000"/>
          <w:kern w:val="0"/>
          <w:sz w:val="32"/>
          <w:szCs w:val="32"/>
        </w:rPr>
      </w:pPr>
      <w:r>
        <w:rPr>
          <w:rFonts w:hint="eastAsia" w:eastAsia="仿宋_GB2312"/>
          <w:snapToGrid w:val="0"/>
          <w:color w:val="000000"/>
          <w:kern w:val="0"/>
          <w:sz w:val="32"/>
          <w:szCs w:val="32"/>
        </w:rPr>
        <w:t>统筹推进以交通为重点的基础设施建设，积极构建安全、高效、智慧、绿色的现代基础设施体系，全面提升支撑保障和引领发展能力。</w:t>
      </w:r>
    </w:p>
    <w:p>
      <w:pPr>
        <w:spacing w:line="580" w:lineRule="exact"/>
        <w:ind w:firstLine="640" w:firstLineChars="200"/>
        <w:rPr>
          <w:rFonts w:eastAsia="仿宋_GB2312"/>
          <w:snapToGrid w:val="0"/>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1"/>
        <w:rPr>
          <w:rFonts w:eastAsia="黑体"/>
          <w:bCs/>
          <w:snapToGrid w:val="0"/>
          <w:color w:val="000000"/>
          <w:spacing w:val="6"/>
          <w:kern w:val="0"/>
          <w:sz w:val="32"/>
          <w:szCs w:val="32"/>
        </w:rPr>
      </w:pPr>
      <w:bookmarkStart w:id="29" w:name="_Toc436739625"/>
      <w:bookmarkStart w:id="30" w:name="_Toc309"/>
      <w:r>
        <w:rPr>
          <w:rFonts w:hint="eastAsia" w:eastAsia="黑体"/>
          <w:bCs/>
          <w:snapToGrid w:val="0"/>
          <w:color w:val="000000"/>
          <w:spacing w:val="6"/>
          <w:kern w:val="0"/>
          <w:sz w:val="32"/>
          <w:szCs w:val="32"/>
        </w:rPr>
        <w:t>第十八节</w:t>
      </w:r>
      <w:r>
        <w:rPr>
          <w:rFonts w:hint="eastAsia" w:eastAsia="黑体"/>
          <w:bCs/>
          <w:snapToGrid w:val="0"/>
          <w:color w:val="000000"/>
          <w:spacing w:val="6"/>
          <w:kern w:val="0"/>
          <w:sz w:val="32"/>
          <w:szCs w:val="32"/>
          <w:lang w:val="en-US" w:eastAsia="zh-CN"/>
        </w:rPr>
        <w:t xml:space="preserve">  </w:t>
      </w:r>
      <w:r>
        <w:rPr>
          <w:rFonts w:hint="eastAsia" w:eastAsia="黑体"/>
          <w:bCs/>
          <w:snapToGrid w:val="0"/>
          <w:color w:val="000000"/>
          <w:spacing w:val="6"/>
          <w:kern w:val="0"/>
          <w:sz w:val="32"/>
          <w:szCs w:val="32"/>
          <w:lang w:eastAsia="zh-CN"/>
        </w:rPr>
        <w:t>构建</w:t>
      </w:r>
      <w:r>
        <w:rPr>
          <w:rFonts w:hint="eastAsia" w:eastAsia="黑体"/>
          <w:bCs/>
          <w:snapToGrid w:val="0"/>
          <w:color w:val="000000"/>
          <w:spacing w:val="6"/>
          <w:kern w:val="0"/>
          <w:sz w:val="32"/>
          <w:szCs w:val="32"/>
        </w:rPr>
        <w:t>综合交通枢纽</w:t>
      </w:r>
      <w:bookmarkEnd w:id="29"/>
      <w:bookmarkEnd w:id="3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napToGrid w:val="0"/>
          <w:color w:val="000000"/>
          <w:kern w:val="0"/>
          <w:sz w:val="32"/>
          <w:szCs w:val="32"/>
        </w:rPr>
      </w:pPr>
      <w:r>
        <w:rPr>
          <w:rFonts w:hint="eastAsia" w:ascii="仿宋_GB2312" w:eastAsia="仿宋_GB2312"/>
          <w:snapToGrid w:val="0"/>
          <w:color w:val="000000"/>
          <w:kern w:val="0"/>
          <w:sz w:val="32"/>
          <w:szCs w:val="32"/>
        </w:rPr>
        <w:t>围绕建设秦巴综合交通枢纽和</w:t>
      </w:r>
      <w:r>
        <w:rPr>
          <w:rFonts w:hint="eastAsia" w:ascii="仿宋_GB2312" w:eastAsia="仿宋_GB2312"/>
          <w:snapToGrid w:val="0"/>
          <w:color w:val="000000"/>
          <w:kern w:val="0"/>
          <w:sz w:val="32"/>
          <w:szCs w:val="32"/>
          <w:lang w:eastAsia="zh-CN"/>
        </w:rPr>
        <w:t>区域</w:t>
      </w:r>
      <w:r>
        <w:rPr>
          <w:rFonts w:hint="eastAsia" w:ascii="仿宋_GB2312" w:eastAsia="仿宋_GB2312"/>
          <w:snapToGrid w:val="0"/>
          <w:color w:val="000000"/>
          <w:kern w:val="0"/>
          <w:sz w:val="32"/>
          <w:szCs w:val="32"/>
        </w:rPr>
        <w:t>物流中心，构建大交通，完善大路网，加快铁路、公路、航空、航运、运输站场和物流园区建设，着力构建以高铁和高速公路为重点，普通铁路和公路、航空、水运为补充，城际间快速直达、城乡间便捷通畅的网络化、标准化、智能化和绿色生态交通</w:t>
      </w:r>
      <w:r>
        <w:rPr>
          <w:rFonts w:hint="eastAsia" w:ascii="仿宋_GB2312" w:eastAsia="仿宋_GB2312"/>
          <w:snapToGrid w:val="0"/>
          <w:color w:val="000000"/>
          <w:kern w:val="0"/>
          <w:sz w:val="32"/>
          <w:szCs w:val="32"/>
          <w:lang w:eastAsia="zh-CN"/>
        </w:rPr>
        <w:t>网</w:t>
      </w:r>
      <w:r>
        <w:rPr>
          <w:rFonts w:hint="eastAsia" w:ascii="仿宋_GB2312" w:eastAsia="仿宋_GB2312"/>
          <w:snapToGrid w:val="0"/>
          <w:color w:val="000000"/>
          <w:kern w:val="0"/>
          <w:sz w:val="32"/>
          <w:szCs w:val="32"/>
        </w:rPr>
        <w:t>，实现市域内各种交通方式的有机衔接，加快与周边区域的互联互通</w:t>
      </w:r>
      <w:r>
        <w:rPr>
          <w:rFonts w:hint="eastAsia" w:ascii="仿宋_GB2312" w:eastAsia="仿宋_GB2312"/>
          <w:snapToGrid w:val="0"/>
          <w:color w:val="000000"/>
          <w:kern w:val="0"/>
          <w:sz w:val="32"/>
          <w:szCs w:val="32"/>
          <w:lang w:eastAsia="zh-CN"/>
        </w:rPr>
        <w:t>，</w:t>
      </w:r>
      <w:r>
        <w:rPr>
          <w:rFonts w:hint="eastAsia" w:ascii="仿宋_GB2312" w:eastAsia="仿宋_GB2312"/>
          <w:snapToGrid w:val="0"/>
          <w:color w:val="000000"/>
          <w:kern w:val="0"/>
          <w:sz w:val="32"/>
          <w:szCs w:val="32"/>
        </w:rPr>
        <w:t>积极打造现代交通运输体系。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公路建设</w:t>
      </w: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b/>
          <w:bCs/>
          <w:color w:val="000000"/>
          <w:sz w:val="32"/>
          <w:szCs w:val="32"/>
        </w:rPr>
        <w:t>高速公路：</w:t>
      </w:r>
      <w:r>
        <w:rPr>
          <w:rFonts w:hint="eastAsia" w:ascii="仿宋_GB2312" w:hAnsi="仿宋_GB2312" w:eastAsia="仿宋_GB2312" w:cs="仿宋_GB2312"/>
          <w:color w:val="000000"/>
          <w:sz w:val="32"/>
          <w:szCs w:val="32"/>
        </w:rPr>
        <w:t>建成平利</w:t>
      </w:r>
      <w:r>
        <w:rPr>
          <w:rFonts w:hint="eastAsia" w:ascii="仿宋_GB2312" w:hAnsi="仿宋_GB2312" w:eastAsia="仿宋_GB2312" w:cs="仿宋_GB2312"/>
          <w:color w:val="000000"/>
          <w:sz w:val="32"/>
          <w:szCs w:val="32"/>
          <w:lang w:eastAsia="zh-CN"/>
        </w:rPr>
        <w:t>至</w:t>
      </w:r>
      <w:r>
        <w:rPr>
          <w:rFonts w:hint="eastAsia" w:ascii="仿宋_GB2312" w:hAnsi="仿宋_GB2312" w:eastAsia="仿宋_GB2312" w:cs="仿宋_GB2312"/>
          <w:color w:val="000000"/>
          <w:sz w:val="32"/>
          <w:szCs w:val="32"/>
        </w:rPr>
        <w:t>镇坪、安康</w:t>
      </w:r>
      <w:r>
        <w:rPr>
          <w:rFonts w:hint="eastAsia" w:ascii="仿宋_GB2312" w:hAnsi="仿宋_GB2312" w:eastAsia="仿宋_GB2312" w:cs="仿宋_GB2312"/>
          <w:color w:val="000000"/>
          <w:sz w:val="32"/>
          <w:szCs w:val="32"/>
          <w:lang w:eastAsia="zh-CN"/>
        </w:rPr>
        <w:t>至</w:t>
      </w:r>
      <w:r>
        <w:rPr>
          <w:rFonts w:hint="eastAsia" w:ascii="仿宋_GB2312" w:hAnsi="仿宋_GB2312" w:eastAsia="仿宋_GB2312" w:cs="仿宋_GB2312"/>
          <w:color w:val="000000"/>
          <w:sz w:val="32"/>
          <w:szCs w:val="32"/>
        </w:rPr>
        <w:t>岚皋高速公路。积极推进石泉</w:t>
      </w:r>
      <w:r>
        <w:rPr>
          <w:rFonts w:hint="eastAsia" w:ascii="仿宋_GB2312" w:hAnsi="仿宋_GB2312" w:eastAsia="仿宋_GB2312" w:cs="仿宋_GB2312"/>
          <w:color w:val="000000"/>
          <w:sz w:val="32"/>
          <w:szCs w:val="32"/>
          <w:lang w:eastAsia="zh-CN"/>
        </w:rPr>
        <w:t>至</w:t>
      </w:r>
      <w:r>
        <w:rPr>
          <w:rFonts w:hint="eastAsia" w:ascii="仿宋_GB2312" w:hAnsi="仿宋_GB2312" w:eastAsia="仿宋_GB2312" w:cs="仿宋_GB2312"/>
          <w:color w:val="000000"/>
          <w:sz w:val="32"/>
          <w:szCs w:val="32"/>
        </w:rPr>
        <w:t>大河坝、筒车湾</w:t>
      </w:r>
      <w:r>
        <w:rPr>
          <w:rFonts w:hint="eastAsia" w:ascii="仿宋_GB2312" w:hAnsi="仿宋_GB2312" w:eastAsia="仿宋_GB2312" w:cs="仿宋_GB2312"/>
          <w:color w:val="000000"/>
          <w:sz w:val="32"/>
          <w:szCs w:val="32"/>
          <w:lang w:eastAsia="zh-CN"/>
        </w:rPr>
        <w:t>至</w:t>
      </w:r>
      <w:r>
        <w:rPr>
          <w:rFonts w:hint="eastAsia" w:ascii="仿宋_GB2312" w:hAnsi="仿宋_GB2312" w:eastAsia="仿宋_GB2312" w:cs="仿宋_GB2312"/>
          <w:color w:val="000000"/>
          <w:sz w:val="32"/>
          <w:szCs w:val="32"/>
        </w:rPr>
        <w:t>镇安、桐木</w:t>
      </w:r>
      <w:r>
        <w:rPr>
          <w:rFonts w:hint="eastAsia" w:ascii="仿宋_GB2312" w:hAnsi="仿宋_GB2312" w:eastAsia="仿宋_GB2312" w:cs="仿宋_GB2312"/>
          <w:color w:val="000000"/>
          <w:sz w:val="32"/>
          <w:szCs w:val="32"/>
          <w:lang w:eastAsia="zh-CN"/>
        </w:rPr>
        <w:t>至</w:t>
      </w:r>
      <w:r>
        <w:rPr>
          <w:rFonts w:hint="eastAsia" w:ascii="仿宋_GB2312" w:hAnsi="仿宋_GB2312" w:eastAsia="仿宋_GB2312" w:cs="仿宋_GB2312"/>
          <w:color w:val="000000"/>
          <w:sz w:val="32"/>
          <w:szCs w:val="32"/>
        </w:rPr>
        <w:t>旬阳省级高速公路联络线前期工作</w:t>
      </w:r>
      <w:r>
        <w:rPr>
          <w:rFonts w:hint="eastAsia" w:ascii="仿宋_GB2312" w:hAnsi="仿宋_GB2312" w:eastAsia="仿宋_GB2312" w:cs="仿宋_GB2312"/>
          <w:color w:val="000000"/>
          <w:sz w:val="32"/>
          <w:szCs w:val="32"/>
          <w:lang w:eastAsia="zh-CN"/>
        </w:rPr>
        <w:t>并争取开工建设</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bCs/>
          <w:color w:val="000000"/>
          <w:sz w:val="32"/>
          <w:szCs w:val="32"/>
        </w:rPr>
        <w:t>国省干线：</w:t>
      </w:r>
      <w:r>
        <w:rPr>
          <w:rFonts w:hint="eastAsia" w:ascii="仿宋_GB2312" w:hAnsi="仿宋_GB2312" w:eastAsia="仿宋_GB2312" w:cs="仿宋_GB2312"/>
          <w:color w:val="000000"/>
          <w:sz w:val="32"/>
          <w:szCs w:val="32"/>
        </w:rPr>
        <w:t>实施石泉</w:t>
      </w:r>
      <w:r>
        <w:rPr>
          <w:rFonts w:hint="eastAsia" w:ascii="仿宋_GB2312" w:hAnsi="仿宋_GB2312" w:eastAsia="仿宋_GB2312" w:cs="仿宋_GB2312"/>
          <w:color w:val="000000"/>
          <w:sz w:val="32"/>
          <w:szCs w:val="32"/>
          <w:lang w:eastAsia="zh-CN"/>
        </w:rPr>
        <w:t>至</w:t>
      </w:r>
      <w:r>
        <w:rPr>
          <w:rFonts w:hint="eastAsia" w:ascii="仿宋_GB2312" w:hAnsi="仿宋_GB2312" w:eastAsia="仿宋_GB2312" w:cs="仿宋_GB2312"/>
          <w:color w:val="000000"/>
          <w:sz w:val="32"/>
          <w:szCs w:val="32"/>
        </w:rPr>
        <w:t>紫阳</w:t>
      </w:r>
      <w:r>
        <w:rPr>
          <w:rFonts w:hint="eastAsia" w:ascii="仿宋_GB2312" w:hAnsi="仿宋_GB2312" w:eastAsia="仿宋_GB2312" w:cs="仿宋_GB2312"/>
          <w:color w:val="000000"/>
          <w:sz w:val="32"/>
          <w:szCs w:val="32"/>
          <w:lang w:eastAsia="zh-CN"/>
        </w:rPr>
        <w:t>至</w:t>
      </w:r>
      <w:r>
        <w:rPr>
          <w:rFonts w:hint="eastAsia" w:ascii="仿宋_GB2312" w:hAnsi="仿宋_GB2312" w:eastAsia="仿宋_GB2312" w:cs="仿宋_GB2312"/>
          <w:color w:val="000000"/>
          <w:sz w:val="32"/>
          <w:szCs w:val="32"/>
        </w:rPr>
        <w:t>岚皋、平利</w:t>
      </w:r>
      <w:r>
        <w:rPr>
          <w:rFonts w:hint="eastAsia" w:ascii="仿宋_GB2312" w:hAnsi="仿宋_GB2312" w:eastAsia="仿宋_GB2312" w:cs="仿宋_GB2312"/>
          <w:color w:val="000000"/>
          <w:sz w:val="32"/>
          <w:szCs w:val="32"/>
          <w:lang w:eastAsia="zh-CN"/>
        </w:rPr>
        <w:t>至</w:t>
      </w:r>
      <w:r>
        <w:rPr>
          <w:rFonts w:hint="eastAsia" w:ascii="仿宋_GB2312" w:hAnsi="仿宋_GB2312" w:eastAsia="仿宋_GB2312" w:cs="仿宋_GB2312"/>
          <w:color w:val="000000"/>
          <w:sz w:val="32"/>
          <w:szCs w:val="32"/>
        </w:rPr>
        <w:t>镇坪、平梁</w:t>
      </w:r>
      <w:r>
        <w:rPr>
          <w:rFonts w:hint="eastAsia" w:ascii="仿宋_GB2312" w:hAnsi="仿宋_GB2312" w:eastAsia="仿宋_GB2312" w:cs="仿宋_GB2312"/>
          <w:color w:val="000000"/>
          <w:sz w:val="32"/>
          <w:szCs w:val="32"/>
          <w:lang w:eastAsia="zh-CN"/>
        </w:rPr>
        <w:t>至</w:t>
      </w:r>
      <w:r>
        <w:rPr>
          <w:rFonts w:hint="eastAsia" w:ascii="仿宋_GB2312" w:hAnsi="仿宋_GB2312" w:eastAsia="仿宋_GB2312" w:cs="仿宋_GB2312"/>
          <w:color w:val="000000"/>
          <w:sz w:val="32"/>
          <w:szCs w:val="32"/>
        </w:rPr>
        <w:t>涧池、宁陕</w:t>
      </w:r>
      <w:r>
        <w:rPr>
          <w:rFonts w:hint="eastAsia" w:ascii="仿宋_GB2312" w:hAnsi="仿宋_GB2312" w:eastAsia="仿宋_GB2312" w:cs="仿宋_GB2312"/>
          <w:color w:val="000000"/>
          <w:sz w:val="32"/>
          <w:szCs w:val="32"/>
          <w:lang w:eastAsia="zh-CN"/>
        </w:rPr>
        <w:t>至</w:t>
      </w:r>
      <w:r>
        <w:rPr>
          <w:rFonts w:hint="eastAsia" w:ascii="仿宋_GB2312" w:hAnsi="仿宋_GB2312" w:eastAsia="仿宋_GB2312" w:cs="仿宋_GB2312"/>
          <w:color w:val="000000"/>
          <w:sz w:val="32"/>
          <w:szCs w:val="32"/>
        </w:rPr>
        <w:t>两河、宁陕</w:t>
      </w:r>
      <w:r>
        <w:rPr>
          <w:rFonts w:hint="eastAsia" w:ascii="仿宋_GB2312" w:hAnsi="仿宋_GB2312" w:eastAsia="仿宋_GB2312" w:cs="仿宋_GB2312"/>
          <w:color w:val="000000"/>
          <w:sz w:val="32"/>
          <w:szCs w:val="32"/>
          <w:lang w:eastAsia="zh-CN"/>
        </w:rPr>
        <w:t>至</w:t>
      </w:r>
      <w:r>
        <w:rPr>
          <w:rFonts w:hint="eastAsia" w:ascii="仿宋_GB2312" w:hAnsi="仿宋_GB2312" w:eastAsia="仿宋_GB2312" w:cs="仿宋_GB2312"/>
          <w:color w:val="000000"/>
          <w:sz w:val="32"/>
          <w:szCs w:val="32"/>
        </w:rPr>
        <w:t>镇安界、安康</w:t>
      </w:r>
      <w:r>
        <w:rPr>
          <w:rFonts w:hint="eastAsia" w:ascii="仿宋_GB2312" w:hAnsi="仿宋_GB2312" w:eastAsia="仿宋_GB2312" w:cs="仿宋_GB2312"/>
          <w:color w:val="000000"/>
          <w:sz w:val="32"/>
          <w:szCs w:val="32"/>
          <w:lang w:eastAsia="zh-CN"/>
        </w:rPr>
        <w:t>至</w:t>
      </w:r>
      <w:r>
        <w:rPr>
          <w:rFonts w:hint="eastAsia" w:ascii="仿宋_GB2312" w:hAnsi="仿宋_GB2312" w:eastAsia="仿宋_GB2312" w:cs="仿宋_GB2312"/>
          <w:color w:val="000000"/>
          <w:sz w:val="32"/>
          <w:szCs w:val="32"/>
        </w:rPr>
        <w:t>旬阳</w:t>
      </w:r>
      <w:r>
        <w:rPr>
          <w:rFonts w:hint="eastAsia" w:ascii="仿宋_GB2312" w:hAnsi="仿宋_GB2312" w:eastAsia="仿宋_GB2312" w:cs="仿宋_GB2312"/>
          <w:color w:val="000000"/>
          <w:sz w:val="32"/>
          <w:szCs w:val="32"/>
          <w:lang w:eastAsia="zh-CN"/>
        </w:rPr>
        <w:t>至</w:t>
      </w:r>
      <w:r>
        <w:rPr>
          <w:rFonts w:hint="eastAsia" w:ascii="仿宋_GB2312" w:hAnsi="仿宋_GB2312" w:eastAsia="仿宋_GB2312" w:cs="仿宋_GB2312"/>
          <w:color w:val="000000"/>
          <w:sz w:val="32"/>
          <w:szCs w:val="32"/>
        </w:rPr>
        <w:t>白河、小河</w:t>
      </w:r>
      <w:r>
        <w:rPr>
          <w:rFonts w:hint="eastAsia" w:ascii="仿宋_GB2312" w:hAnsi="仿宋_GB2312" w:eastAsia="仿宋_GB2312" w:cs="仿宋_GB2312"/>
          <w:color w:val="000000"/>
          <w:sz w:val="32"/>
          <w:szCs w:val="32"/>
          <w:lang w:eastAsia="zh-CN"/>
        </w:rPr>
        <w:t>至</w:t>
      </w:r>
      <w:r>
        <w:rPr>
          <w:rFonts w:hint="eastAsia" w:ascii="仿宋_GB2312" w:hAnsi="仿宋_GB2312" w:eastAsia="仿宋_GB2312" w:cs="仿宋_GB2312"/>
          <w:color w:val="000000"/>
          <w:sz w:val="32"/>
          <w:szCs w:val="32"/>
        </w:rPr>
        <w:t>旬阳、瀛湖</w:t>
      </w:r>
      <w:r>
        <w:rPr>
          <w:rFonts w:hint="eastAsia" w:ascii="仿宋_GB2312" w:hAnsi="仿宋_GB2312" w:eastAsia="仿宋_GB2312" w:cs="仿宋_GB2312"/>
          <w:color w:val="000000"/>
          <w:sz w:val="32"/>
          <w:szCs w:val="32"/>
          <w:lang w:eastAsia="zh-CN"/>
        </w:rPr>
        <w:t>至</w:t>
      </w:r>
      <w:r>
        <w:rPr>
          <w:rFonts w:hint="eastAsia" w:ascii="仿宋_GB2312" w:hAnsi="仿宋_GB2312" w:eastAsia="仿宋_GB2312" w:cs="仿宋_GB2312"/>
          <w:color w:val="000000"/>
          <w:sz w:val="32"/>
          <w:szCs w:val="32"/>
        </w:rPr>
        <w:t>清凉关、龙垭</w:t>
      </w:r>
      <w:r>
        <w:rPr>
          <w:rFonts w:hint="eastAsia" w:ascii="仿宋_GB2312" w:hAnsi="仿宋_GB2312" w:eastAsia="仿宋_GB2312" w:cs="仿宋_GB2312"/>
          <w:color w:val="000000"/>
          <w:sz w:val="32"/>
          <w:szCs w:val="32"/>
          <w:lang w:eastAsia="zh-CN"/>
        </w:rPr>
        <w:t>至</w:t>
      </w:r>
      <w:r>
        <w:rPr>
          <w:rFonts w:hint="eastAsia" w:ascii="仿宋_GB2312" w:hAnsi="仿宋_GB2312" w:eastAsia="仿宋_GB2312" w:cs="仿宋_GB2312"/>
          <w:color w:val="000000"/>
          <w:sz w:val="32"/>
          <w:szCs w:val="32"/>
        </w:rPr>
        <w:t>双河口、月河快速干道、中心城市北环线等600公里普通国省道升等改造工程。</w:t>
      </w:r>
      <w:r>
        <w:rPr>
          <w:rFonts w:hint="eastAsia" w:ascii="仿宋_GB2312" w:hAnsi="仿宋_GB2312" w:eastAsia="仿宋_GB2312" w:cs="仿宋_GB2312"/>
          <w:b/>
          <w:bCs/>
          <w:color w:val="000000"/>
          <w:sz w:val="32"/>
          <w:szCs w:val="32"/>
        </w:rPr>
        <w:t>农村公路：</w:t>
      </w:r>
      <w:r>
        <w:rPr>
          <w:rFonts w:hint="eastAsia" w:ascii="仿宋_GB2312" w:hAnsi="仿宋_GB2312" w:eastAsia="仿宋_GB2312" w:cs="仿宋_GB2312"/>
          <w:color w:val="000000"/>
          <w:sz w:val="32"/>
          <w:szCs w:val="32"/>
        </w:rPr>
        <w:t>实施重点县乡三级公路升等改造600公里、一般县乡公路800公里以及100座渡改桥和危桥改造。</w:t>
      </w:r>
      <w:r>
        <w:rPr>
          <w:rFonts w:hint="eastAsia" w:ascii="仿宋_GB2312" w:hAnsi="仿宋_GB2312" w:eastAsia="仿宋_GB2312" w:cs="仿宋_GB2312"/>
          <w:color w:val="000000"/>
          <w:sz w:val="32"/>
          <w:szCs w:val="32"/>
          <w:lang w:eastAsia="zh-CN"/>
        </w:rPr>
        <w:t>推进</w:t>
      </w:r>
      <w:r>
        <w:rPr>
          <w:rFonts w:hint="eastAsia" w:ascii="仿宋_GB2312" w:hAnsi="仿宋_GB2312" w:eastAsia="仿宋_GB2312" w:cs="仿宋_GB2312"/>
          <w:sz w:val="32"/>
          <w:szCs w:val="32"/>
        </w:rPr>
        <w:t>工业</w:t>
      </w:r>
      <w:r>
        <w:rPr>
          <w:rFonts w:hint="eastAsia" w:ascii="仿宋_GB2312" w:hAnsi="仿宋_GB2312" w:eastAsia="仿宋_GB2312" w:cs="仿宋_GB2312"/>
          <w:sz w:val="32"/>
          <w:szCs w:val="32"/>
          <w:lang w:eastAsia="zh-CN"/>
        </w:rPr>
        <w:t>集中</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现代</w:t>
      </w:r>
      <w:r>
        <w:rPr>
          <w:rFonts w:hint="eastAsia" w:ascii="仿宋_GB2312" w:hAnsi="仿宋_GB2312" w:eastAsia="仿宋_GB2312" w:cs="仿宋_GB2312"/>
          <w:sz w:val="32"/>
          <w:szCs w:val="32"/>
        </w:rPr>
        <w:t>农业园区、</w:t>
      </w:r>
      <w:r>
        <w:rPr>
          <w:rFonts w:hint="eastAsia" w:ascii="仿宋_GB2312" w:hAnsi="仿宋_GB2312" w:eastAsia="仿宋_GB2312" w:cs="仿宋_GB2312"/>
          <w:sz w:val="32"/>
          <w:szCs w:val="32"/>
          <w:lang w:eastAsia="zh-CN"/>
        </w:rPr>
        <w:t>重点</w:t>
      </w:r>
      <w:r>
        <w:rPr>
          <w:rFonts w:hint="eastAsia" w:ascii="仿宋_GB2312" w:hAnsi="仿宋_GB2312" w:eastAsia="仿宋_GB2312" w:cs="仿宋_GB2312"/>
          <w:sz w:val="32"/>
          <w:szCs w:val="32"/>
        </w:rPr>
        <w:t>旅游景区道路提等升级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color w:val="000000"/>
          <w:sz w:val="32"/>
          <w:szCs w:val="32"/>
        </w:rPr>
        <w:t>站场建设：</w:t>
      </w:r>
      <w:r>
        <w:rPr>
          <w:rFonts w:hint="eastAsia" w:ascii="仿宋_GB2312" w:hAnsi="仿宋_GB2312" w:eastAsia="仿宋_GB2312" w:cs="仿宋_GB2312"/>
          <w:color w:val="000000"/>
          <w:sz w:val="32"/>
          <w:szCs w:val="32"/>
        </w:rPr>
        <w:t>建成安康城东一级客运汽车站和石泉、岚皋、恒口、镇坪4个二级客运站，建设汉阴城北、</w:t>
      </w:r>
      <w:r>
        <w:rPr>
          <w:rFonts w:hint="eastAsia" w:ascii="仿宋_GB2312" w:hAnsi="仿宋_GB2312" w:eastAsia="仿宋_GB2312" w:cs="仿宋_GB2312"/>
          <w:color w:val="000000"/>
          <w:sz w:val="32"/>
          <w:szCs w:val="32"/>
          <w:lang w:eastAsia="zh-CN"/>
        </w:rPr>
        <w:t>石泉</w:t>
      </w:r>
      <w:r>
        <w:rPr>
          <w:rFonts w:hint="eastAsia" w:ascii="仿宋_GB2312" w:hAnsi="仿宋_GB2312" w:eastAsia="仿宋_GB2312" w:cs="仿宋_GB2312"/>
          <w:color w:val="000000"/>
          <w:sz w:val="32"/>
          <w:szCs w:val="32"/>
        </w:rPr>
        <w:t>池河、</w:t>
      </w:r>
      <w:r>
        <w:rPr>
          <w:rFonts w:hint="eastAsia" w:ascii="仿宋_GB2312" w:hAnsi="仿宋_GB2312" w:eastAsia="仿宋_GB2312" w:cs="仿宋_GB2312"/>
          <w:color w:val="000000"/>
          <w:sz w:val="32"/>
          <w:szCs w:val="32"/>
          <w:lang w:eastAsia="zh-CN"/>
        </w:rPr>
        <w:t>紫阳</w:t>
      </w:r>
      <w:r>
        <w:rPr>
          <w:rFonts w:hint="eastAsia" w:ascii="仿宋_GB2312" w:hAnsi="仿宋_GB2312" w:eastAsia="仿宋_GB2312" w:cs="仿宋_GB2312"/>
          <w:color w:val="000000"/>
          <w:sz w:val="32"/>
          <w:szCs w:val="32"/>
        </w:rPr>
        <w:t>蒿坪、瀛湖4个三级客运站，建成一批村镇农村招呼站。建成安康江南物流园区、安康江北一级货运站，新建旬阳、平利二级货运站。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eastAsia="仿宋_GB2312"/>
          <w:snapToGrid w:val="0"/>
          <w:color w:val="000000"/>
          <w:kern w:val="0"/>
          <w:sz w:val="32"/>
          <w:szCs w:val="32"/>
        </w:rPr>
      </w:pPr>
      <w:r>
        <w:rPr>
          <w:rFonts w:hint="eastAsia" w:eastAsia="仿宋_GB2312"/>
          <w:b/>
          <w:snapToGrid w:val="0"/>
          <w:color w:val="000000"/>
          <w:kern w:val="0"/>
          <w:sz w:val="32"/>
          <w:szCs w:val="32"/>
        </w:rPr>
        <w:t>铁路建设。</w:t>
      </w:r>
      <w:r>
        <w:rPr>
          <w:rFonts w:hint="eastAsia" w:eastAsia="仿宋_GB2312"/>
          <w:snapToGrid w:val="0"/>
          <w:color w:val="000000"/>
          <w:kern w:val="0"/>
          <w:sz w:val="32"/>
          <w:szCs w:val="32"/>
        </w:rPr>
        <w:t>完成安康铁路客运枢纽扩建、安康东编组站扩能和恒口综合货场建设。争取</w:t>
      </w:r>
      <w:r>
        <w:rPr>
          <w:rFonts w:hint="eastAsia" w:ascii="仿宋_GB2312" w:hAnsi="仿宋_GB2312" w:eastAsia="仿宋_GB2312" w:cs="仿宋_GB2312"/>
          <w:snapToGrid w:val="0"/>
          <w:color w:val="000000"/>
          <w:kern w:val="0"/>
          <w:sz w:val="32"/>
          <w:szCs w:val="32"/>
        </w:rPr>
        <w:t>2018</w:t>
      </w:r>
      <w:r>
        <w:rPr>
          <w:rFonts w:hint="eastAsia" w:eastAsia="仿宋_GB2312"/>
          <w:snapToGrid w:val="0"/>
          <w:color w:val="000000"/>
          <w:kern w:val="0"/>
          <w:sz w:val="32"/>
          <w:szCs w:val="32"/>
        </w:rPr>
        <w:t>年阳平关至安康铁路二线建成通车。集中力量推进西安至安康至重庆高铁（西安至安康城际铁路）</w:t>
      </w:r>
      <w:r>
        <w:rPr>
          <w:rFonts w:hint="eastAsia" w:eastAsia="仿宋_GB2312"/>
          <w:snapToGrid w:val="0"/>
          <w:color w:val="000000"/>
          <w:kern w:val="0"/>
          <w:sz w:val="32"/>
          <w:szCs w:val="32"/>
          <w:lang w:eastAsia="zh-CN"/>
        </w:rPr>
        <w:t>和</w:t>
      </w:r>
      <w:r>
        <w:rPr>
          <w:rFonts w:hint="eastAsia" w:eastAsia="仿宋_GB2312"/>
          <w:snapToGrid w:val="0"/>
          <w:color w:val="000000"/>
          <w:kern w:val="0"/>
          <w:sz w:val="32"/>
          <w:szCs w:val="32"/>
        </w:rPr>
        <w:t>新安康火车站</w:t>
      </w:r>
      <w:r>
        <w:rPr>
          <w:rFonts w:hint="eastAsia" w:eastAsia="仿宋_GB2312"/>
          <w:snapToGrid w:val="0"/>
          <w:color w:val="000000"/>
          <w:kern w:val="0"/>
          <w:sz w:val="32"/>
          <w:szCs w:val="32"/>
          <w:lang w:eastAsia="zh-CN"/>
        </w:rPr>
        <w:t>开工建设。</w:t>
      </w:r>
      <w:r>
        <w:rPr>
          <w:rFonts w:hint="eastAsia" w:eastAsia="仿宋_GB2312"/>
          <w:snapToGrid w:val="0"/>
          <w:color w:val="000000"/>
          <w:kern w:val="0"/>
          <w:sz w:val="32"/>
          <w:szCs w:val="32"/>
        </w:rPr>
        <w:t>联合</w:t>
      </w:r>
      <w:r>
        <w:rPr>
          <w:rFonts w:hint="eastAsia" w:eastAsia="仿宋_GB2312"/>
          <w:snapToGrid w:val="0"/>
          <w:color w:val="000000"/>
          <w:kern w:val="0"/>
          <w:sz w:val="32"/>
          <w:szCs w:val="32"/>
          <w:lang w:eastAsia="zh-CN"/>
        </w:rPr>
        <w:t>相关</w:t>
      </w:r>
      <w:r>
        <w:rPr>
          <w:rFonts w:hint="eastAsia" w:eastAsia="仿宋_GB2312"/>
          <w:snapToGrid w:val="0"/>
          <w:color w:val="000000"/>
          <w:kern w:val="0"/>
          <w:sz w:val="32"/>
          <w:szCs w:val="32"/>
        </w:rPr>
        <w:t>省市，争取早日开工建设安康至张家界铁路。</w:t>
      </w:r>
      <w:r>
        <w:rPr>
          <w:rFonts w:hint="eastAsia" w:ascii="仿宋_GB2312" w:hAnsi="仿宋_GB2312" w:eastAsia="仿宋_GB2312" w:cs="仿宋_GB2312"/>
          <w:snapToGrid w:val="0"/>
          <w:color w:val="000000"/>
          <w:kern w:val="0"/>
          <w:sz w:val="32"/>
          <w:szCs w:val="32"/>
        </w:rPr>
        <w:t>到2020年，安康铁路里程达到900公</w:t>
      </w:r>
      <w:r>
        <w:rPr>
          <w:rFonts w:hint="eastAsia" w:eastAsia="仿宋_GB2312"/>
          <w:snapToGrid w:val="0"/>
          <w:color w:val="000000"/>
          <w:kern w:val="0"/>
          <w:sz w:val="32"/>
          <w:szCs w:val="32"/>
        </w:rPr>
        <w:t>里，形成“一中心两网五通道”铁路网格局。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eastAsia="仿宋_GB2312"/>
          <w:snapToGrid w:val="0"/>
          <w:color w:val="000000"/>
          <w:kern w:val="0"/>
          <w:sz w:val="32"/>
          <w:szCs w:val="32"/>
        </w:rPr>
      </w:pPr>
      <w:r>
        <w:rPr>
          <w:rFonts w:hint="eastAsia" w:eastAsia="仿宋_GB2312"/>
          <w:b/>
          <w:snapToGrid w:val="0"/>
          <w:color w:val="000000"/>
          <w:kern w:val="0"/>
          <w:sz w:val="32"/>
          <w:szCs w:val="32"/>
        </w:rPr>
        <w:t>机场建设。</w:t>
      </w:r>
      <w:r>
        <w:rPr>
          <w:rFonts w:hint="eastAsia" w:eastAsia="仿宋_GB2312"/>
          <w:snapToGrid w:val="0"/>
          <w:color w:val="000000"/>
          <w:kern w:val="0"/>
          <w:sz w:val="32"/>
          <w:szCs w:val="32"/>
        </w:rPr>
        <w:t>建成安康富强机场，争取开通安康至国内大中城市的航线。</w:t>
      </w:r>
      <w:r>
        <w:rPr>
          <w:rFonts w:hint="eastAsia" w:ascii="仿宋_GB2312" w:hAnsi="仿宋_GB2312" w:eastAsia="仿宋_GB2312" w:cs="仿宋_GB2312"/>
          <w:color w:val="333333"/>
          <w:sz w:val="32"/>
          <w:szCs w:val="32"/>
          <w:lang w:eastAsia="zh-CN"/>
        </w:rPr>
        <w:t>科学</w:t>
      </w:r>
      <w:r>
        <w:rPr>
          <w:rFonts w:hint="eastAsia" w:ascii="仿宋_GB2312" w:hAnsi="仿宋_GB2312" w:eastAsia="仿宋_GB2312" w:cs="仿宋_GB2312"/>
          <w:color w:val="333333"/>
          <w:sz w:val="32"/>
          <w:szCs w:val="32"/>
        </w:rPr>
        <w:t>布局一批通用机场，</w:t>
      </w:r>
      <w:r>
        <w:rPr>
          <w:rFonts w:hint="eastAsia" w:eastAsia="仿宋_GB2312"/>
          <w:snapToGrid w:val="0"/>
          <w:color w:val="000000"/>
          <w:kern w:val="0"/>
          <w:sz w:val="32"/>
          <w:szCs w:val="32"/>
        </w:rPr>
        <w:t>谋划建设石泉、平利、旬阳通用机场和紫阳、岚皋、镇坪直升机起降场地，满足农林航空、应急救援、抢险救灾、旅游观光等需要。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color w:val="000000"/>
          <w:sz w:val="32"/>
          <w:szCs w:val="32"/>
        </w:rPr>
      </w:pPr>
      <w:r>
        <w:rPr>
          <w:rFonts w:hint="eastAsia" w:eastAsia="仿宋_GB2312"/>
          <w:b/>
          <w:snapToGrid w:val="0"/>
          <w:color w:val="000000"/>
          <w:kern w:val="0"/>
          <w:sz w:val="32"/>
          <w:szCs w:val="32"/>
        </w:rPr>
        <w:t>航运建设。</w:t>
      </w:r>
      <w:r>
        <w:rPr>
          <w:rFonts w:hint="eastAsia" w:ascii="仿宋_GB2312" w:hAnsi="仿宋_GB2312" w:eastAsia="仿宋_GB2312" w:cs="仿宋_GB2312"/>
          <w:color w:val="000000"/>
          <w:sz w:val="32"/>
          <w:szCs w:val="32"/>
        </w:rPr>
        <w:t>全面实施汉江安康段主航道整治和过坝设施工程，完成白河、蜀河、旬阳枢纽通航建筑物建设；启动石泉、喜河枢纽复航建设和安康枢纽通航建筑物维护改造建设；实施安康枢纽坝下航道整治工程，推进汉中至安康段航道建设，实现汉江至长江间的干支直达运输。</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eastAsia="仿宋_GB2312"/>
          <w:snapToGrid w:val="0"/>
          <w:color w:val="000000"/>
          <w:kern w:val="0"/>
          <w:sz w:val="32"/>
          <w:szCs w:val="32"/>
        </w:rPr>
      </w:pPr>
      <w:r>
        <w:rPr>
          <w:rFonts w:hint="eastAsia" w:eastAsia="仿宋_GB2312"/>
          <w:b/>
          <w:snapToGrid w:val="0"/>
          <w:color w:val="000000"/>
          <w:kern w:val="0"/>
          <w:sz w:val="32"/>
          <w:szCs w:val="32"/>
        </w:rPr>
        <w:t>轻轨高架。</w:t>
      </w:r>
      <w:r>
        <w:rPr>
          <w:rFonts w:hint="eastAsia" w:eastAsia="仿宋_GB2312"/>
          <w:snapToGrid w:val="0"/>
          <w:color w:val="000000"/>
          <w:kern w:val="0"/>
          <w:sz w:val="32"/>
          <w:szCs w:val="32"/>
        </w:rPr>
        <w:t>围绕互联互通、打造枢纽，积极谋划新安康火车站</w:t>
      </w:r>
      <w:r>
        <w:rPr>
          <w:rFonts w:hint="eastAsia" w:eastAsia="仿宋_GB2312"/>
          <w:snapToGrid w:val="0"/>
          <w:color w:val="000000"/>
          <w:kern w:val="0"/>
          <w:sz w:val="32"/>
          <w:szCs w:val="32"/>
          <w:lang w:eastAsia="zh-CN"/>
        </w:rPr>
        <w:t>至</w:t>
      </w:r>
      <w:r>
        <w:rPr>
          <w:rFonts w:hint="eastAsia" w:eastAsia="仿宋_GB2312"/>
          <w:snapToGrid w:val="0"/>
          <w:color w:val="000000"/>
          <w:kern w:val="0"/>
          <w:sz w:val="32"/>
          <w:szCs w:val="32"/>
        </w:rPr>
        <w:t>江南城区的轻轨（高架）。</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center"/>
        <w:textAlignment w:val="auto"/>
        <w:rPr>
          <w:rFonts w:hint="eastAsia" w:eastAsia="仿宋_GB2312"/>
          <w:snapToGrid w:val="0"/>
          <w:color w:val="000000"/>
          <w:kern w:val="0"/>
          <w:sz w:val="32"/>
          <w:szCs w:val="32"/>
        </w:rPr>
      </w:pPr>
      <w:r>
        <w:rPr>
          <w:rFonts w:hint="eastAsia" w:ascii="黑体" w:hAnsi="黑体" w:eastAsia="黑体" w:cs="黑体"/>
          <w:bCs/>
          <w:color w:val="000000"/>
          <w:sz w:val="28"/>
          <w:szCs w:val="56"/>
        </w:rPr>
        <w:t>专栏10</w:t>
      </w:r>
      <w:r>
        <w:rPr>
          <w:rFonts w:hint="eastAsia" w:ascii="黑体" w:hAnsi="黑体" w:eastAsia="黑体" w:cs="黑体"/>
          <w:bCs/>
          <w:color w:val="000000"/>
          <w:sz w:val="28"/>
          <w:szCs w:val="56"/>
          <w:lang w:val="en-US" w:eastAsia="zh-CN"/>
        </w:rPr>
        <w:t xml:space="preserve">  </w:t>
      </w:r>
      <w:r>
        <w:rPr>
          <w:rFonts w:hint="eastAsia" w:ascii="黑体" w:hAnsi="黑体" w:eastAsia="黑体" w:cs="黑体"/>
          <w:bCs/>
          <w:color w:val="000000"/>
          <w:sz w:val="28"/>
          <w:szCs w:val="56"/>
        </w:rPr>
        <w:t>综合交通枢纽建设工程</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941" w:hRule="atLeast"/>
          <w:jc w:val="center"/>
        </w:trPr>
        <w:tc>
          <w:tcPr>
            <w:tcW w:w="87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cs="宋体"/>
                <w:color w:val="000000"/>
                <w:sz w:val="24"/>
              </w:rPr>
            </w:pPr>
            <w:r>
              <w:rPr>
                <w:rFonts w:hint="eastAsia" w:ascii="宋体" w:hAnsi="宋体" w:cs="宋体"/>
                <w:b/>
                <w:snapToGrid w:val="0"/>
                <w:color w:val="000000"/>
                <w:sz w:val="24"/>
                <w:szCs w:val="21"/>
                <w:lang w:val="en-US" w:eastAsia="zh-CN"/>
              </w:rPr>
              <w:t xml:space="preserve">    </w:t>
            </w:r>
            <w:r>
              <w:rPr>
                <w:rFonts w:hint="eastAsia" w:ascii="宋体" w:hAnsi="宋体" w:cs="宋体"/>
                <w:b/>
                <w:snapToGrid w:val="0"/>
                <w:color w:val="000000"/>
                <w:sz w:val="24"/>
                <w:szCs w:val="21"/>
              </w:rPr>
              <w:t>公路建设工程：</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2" w:firstLineChars="200"/>
              <w:jc w:val="both"/>
              <w:textAlignment w:val="auto"/>
              <w:outlineLvl w:val="9"/>
              <w:rPr>
                <w:rFonts w:hint="eastAsia" w:ascii="宋体" w:hAnsi="宋体" w:cs="宋体"/>
                <w:color w:val="000000"/>
                <w:sz w:val="24"/>
              </w:rPr>
            </w:pPr>
            <w:r>
              <w:rPr>
                <w:rFonts w:hint="eastAsia" w:ascii="楷体_GB2312" w:hAnsi="楷体_GB2312" w:eastAsia="楷体_GB2312" w:cs="楷体_GB2312"/>
                <w:b/>
                <w:snapToGrid w:val="0"/>
                <w:color w:val="000000"/>
                <w:sz w:val="24"/>
                <w:lang w:val="en-US" w:eastAsia="zh-CN"/>
              </w:rPr>
              <w:t>1、</w:t>
            </w:r>
            <w:r>
              <w:rPr>
                <w:rFonts w:hint="eastAsia" w:ascii="楷体_GB2312" w:hAnsi="楷体_GB2312" w:eastAsia="楷体_GB2312" w:cs="楷体_GB2312"/>
                <w:b/>
                <w:snapToGrid w:val="0"/>
                <w:color w:val="000000"/>
                <w:sz w:val="24"/>
              </w:rPr>
              <w:t>高速公路：</w:t>
            </w:r>
            <w:r>
              <w:rPr>
                <w:rFonts w:hint="eastAsia" w:ascii="宋体" w:hAnsi="宋体" w:cs="宋体"/>
                <w:color w:val="000000"/>
                <w:sz w:val="24"/>
              </w:rPr>
              <w:t>建成平利</w:t>
            </w:r>
            <w:r>
              <w:rPr>
                <w:rFonts w:hint="eastAsia" w:ascii="宋体" w:hAnsi="宋体" w:cs="宋体"/>
                <w:color w:val="000000"/>
                <w:sz w:val="24"/>
                <w:lang w:eastAsia="zh-CN"/>
              </w:rPr>
              <w:t>至</w:t>
            </w:r>
            <w:r>
              <w:rPr>
                <w:rFonts w:hint="eastAsia" w:ascii="宋体" w:hAnsi="宋体" w:cs="宋体"/>
                <w:color w:val="000000"/>
                <w:sz w:val="24"/>
              </w:rPr>
              <w:t>镇坪、安康</w:t>
            </w:r>
            <w:r>
              <w:rPr>
                <w:rFonts w:hint="eastAsia" w:ascii="宋体" w:hAnsi="宋体" w:cs="宋体"/>
                <w:color w:val="000000"/>
                <w:sz w:val="24"/>
                <w:lang w:eastAsia="zh-CN"/>
              </w:rPr>
              <w:t>至</w:t>
            </w:r>
            <w:r>
              <w:rPr>
                <w:rFonts w:hint="eastAsia" w:ascii="宋体" w:hAnsi="宋体" w:cs="宋体"/>
                <w:color w:val="000000"/>
                <w:sz w:val="24"/>
              </w:rPr>
              <w:t>岚皋高速公路。积极推进石泉</w:t>
            </w:r>
            <w:r>
              <w:rPr>
                <w:rFonts w:hint="eastAsia" w:ascii="宋体" w:hAnsi="宋体" w:cs="宋体"/>
                <w:color w:val="000000"/>
                <w:sz w:val="24"/>
                <w:lang w:eastAsia="zh-CN"/>
              </w:rPr>
              <w:t>至</w:t>
            </w:r>
            <w:r>
              <w:rPr>
                <w:rFonts w:hint="eastAsia" w:ascii="宋体" w:hAnsi="宋体" w:cs="宋体"/>
                <w:color w:val="000000"/>
                <w:sz w:val="24"/>
              </w:rPr>
              <w:t>大河坝、筒车湾至镇安、桐木至旬阳省级高速公路联络线前期工作</w:t>
            </w:r>
            <w:r>
              <w:rPr>
                <w:rFonts w:hint="eastAsia" w:ascii="宋体" w:hAnsi="宋体" w:cs="宋体"/>
                <w:color w:val="000000"/>
                <w:sz w:val="24"/>
                <w:lang w:eastAsia="zh-CN"/>
              </w:rPr>
              <w:t>并争取开工建设</w:t>
            </w:r>
            <w:r>
              <w:rPr>
                <w:rFonts w:hint="eastAsia" w:ascii="宋体" w:hAnsi="宋体" w:cs="宋体"/>
                <w:color w:val="000000"/>
                <w:sz w:val="24"/>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2" w:firstLineChars="200"/>
              <w:jc w:val="both"/>
              <w:textAlignment w:val="auto"/>
              <w:outlineLvl w:val="9"/>
              <w:rPr>
                <w:rFonts w:hint="eastAsia" w:ascii="宋体" w:hAnsi="宋体" w:cs="宋体"/>
                <w:color w:val="000000"/>
                <w:sz w:val="24"/>
              </w:rPr>
            </w:pPr>
            <w:r>
              <w:rPr>
                <w:rFonts w:hint="eastAsia" w:ascii="楷体_GB2312" w:hAnsi="楷体_GB2312" w:eastAsia="楷体_GB2312" w:cs="楷体_GB2312"/>
                <w:b/>
                <w:snapToGrid w:val="0"/>
                <w:color w:val="000000"/>
                <w:sz w:val="24"/>
                <w:lang w:val="en-US" w:eastAsia="zh-CN"/>
              </w:rPr>
              <w:t>2、</w:t>
            </w:r>
            <w:r>
              <w:rPr>
                <w:rFonts w:hint="eastAsia" w:ascii="楷体_GB2312" w:hAnsi="楷体_GB2312" w:eastAsia="楷体_GB2312" w:cs="楷体_GB2312"/>
                <w:b/>
                <w:snapToGrid w:val="0"/>
                <w:color w:val="000000"/>
                <w:sz w:val="24"/>
              </w:rPr>
              <w:t>国省干线：</w:t>
            </w:r>
            <w:r>
              <w:rPr>
                <w:rFonts w:hint="eastAsia" w:ascii="宋体" w:hAnsi="宋体" w:cs="宋体"/>
                <w:color w:val="000000"/>
                <w:sz w:val="24"/>
              </w:rPr>
              <w:t>实施石泉至紫阳至岚皋、平利至镇坪、平梁至涧池、宁陕至两河、宁陕至镇安界、安康至旬阳至白河、小河至旬阳、瀛湖至清凉关、龙垭至双河口、月河快速干道、中心城市北环线等600公里普通国省道的升等改造工程。</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2" w:firstLineChars="200"/>
              <w:jc w:val="both"/>
              <w:textAlignment w:val="auto"/>
              <w:outlineLvl w:val="9"/>
              <w:rPr>
                <w:rFonts w:hint="eastAsia" w:ascii="宋体" w:hAnsi="宋体" w:cs="宋体"/>
                <w:bCs/>
                <w:snapToGrid w:val="0"/>
                <w:color w:val="000000"/>
                <w:sz w:val="24"/>
              </w:rPr>
            </w:pPr>
            <w:r>
              <w:rPr>
                <w:rFonts w:hint="eastAsia" w:ascii="楷体_GB2312" w:hAnsi="楷体_GB2312" w:eastAsia="楷体_GB2312" w:cs="楷体_GB2312"/>
                <w:b/>
                <w:snapToGrid w:val="0"/>
                <w:color w:val="000000"/>
                <w:sz w:val="24"/>
                <w:lang w:val="en-US" w:eastAsia="zh-CN"/>
              </w:rPr>
              <w:t>3、</w:t>
            </w:r>
            <w:r>
              <w:rPr>
                <w:rFonts w:hint="eastAsia" w:ascii="楷体_GB2312" w:hAnsi="楷体_GB2312" w:eastAsia="楷体_GB2312" w:cs="楷体_GB2312"/>
                <w:b/>
                <w:snapToGrid w:val="0"/>
                <w:color w:val="000000"/>
                <w:sz w:val="24"/>
              </w:rPr>
              <w:t>农村</w:t>
            </w:r>
            <w:r>
              <w:rPr>
                <w:rFonts w:hint="eastAsia" w:ascii="宋体" w:hAnsi="宋体" w:cs="宋体"/>
                <w:b/>
                <w:snapToGrid w:val="0"/>
                <w:color w:val="000000"/>
                <w:sz w:val="24"/>
              </w:rPr>
              <w:t>公</w:t>
            </w:r>
            <w:r>
              <w:rPr>
                <w:rFonts w:hint="eastAsia" w:ascii="楷体_GB2312" w:hAnsi="楷体_GB2312" w:eastAsia="楷体_GB2312" w:cs="楷体_GB2312"/>
                <w:b/>
                <w:snapToGrid w:val="0"/>
                <w:color w:val="000000"/>
                <w:sz w:val="24"/>
              </w:rPr>
              <w:t>路：</w:t>
            </w:r>
            <w:r>
              <w:rPr>
                <w:rFonts w:hint="eastAsia" w:ascii="宋体" w:hAnsi="宋体" w:cs="宋体"/>
                <w:color w:val="000000"/>
                <w:sz w:val="24"/>
              </w:rPr>
              <w:t>实施重点县乡三级公路升等改造600公里、一般县乡公路800公里以及100座渡改桥和危桥改造</w:t>
            </w:r>
            <w:r>
              <w:rPr>
                <w:rFonts w:hint="eastAsia" w:ascii="宋体" w:hAnsi="宋体" w:cs="宋体"/>
                <w:color w:val="000000"/>
                <w:sz w:val="24"/>
                <w:lang w:eastAsia="zh-CN"/>
              </w:rPr>
              <w:t>，完成通村公路完善工程、移民搬迁安置点连接道路、农村公路生命防护等工程</w:t>
            </w:r>
            <w:r>
              <w:rPr>
                <w:rFonts w:hint="eastAsia" w:ascii="宋体" w:hAnsi="宋体" w:cs="宋体"/>
                <w:color w:val="000000"/>
                <w:sz w:val="24"/>
                <w:lang w:val="en-US" w:eastAsia="zh-CN"/>
              </w:rPr>
              <w:t>3000公里。</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2" w:firstLineChars="200"/>
              <w:jc w:val="both"/>
              <w:textAlignment w:val="auto"/>
              <w:outlineLvl w:val="9"/>
              <w:rPr>
                <w:rFonts w:hint="eastAsia" w:ascii="宋体" w:hAnsi="宋体" w:cs="宋体"/>
                <w:bCs/>
                <w:snapToGrid w:val="0"/>
                <w:color w:val="000000"/>
                <w:sz w:val="24"/>
                <w:szCs w:val="21"/>
              </w:rPr>
            </w:pPr>
            <w:r>
              <w:rPr>
                <w:rFonts w:hint="eastAsia" w:ascii="宋体" w:hAnsi="宋体" w:cs="宋体"/>
                <w:b/>
                <w:snapToGrid w:val="0"/>
                <w:color w:val="000000"/>
                <w:sz w:val="24"/>
                <w:szCs w:val="21"/>
              </w:rPr>
              <w:t>铁路建设工程：</w:t>
            </w:r>
            <w:r>
              <w:rPr>
                <w:rFonts w:hint="eastAsia" w:ascii="宋体" w:hAnsi="宋体" w:cs="宋体"/>
                <w:bCs/>
                <w:snapToGrid w:val="0"/>
                <w:color w:val="000000"/>
                <w:sz w:val="24"/>
                <w:szCs w:val="21"/>
              </w:rPr>
              <w:t>建成阳平关</w:t>
            </w:r>
            <w:r>
              <w:rPr>
                <w:rFonts w:hint="eastAsia" w:ascii="宋体" w:cs="宋体"/>
                <w:bCs/>
                <w:snapToGrid w:val="0"/>
                <w:color w:val="000000"/>
                <w:sz w:val="24"/>
                <w:szCs w:val="21"/>
                <w:lang w:eastAsia="zh-CN"/>
              </w:rPr>
              <w:t>至</w:t>
            </w:r>
            <w:r>
              <w:rPr>
                <w:rFonts w:hint="eastAsia" w:ascii="宋体" w:hAnsi="宋体" w:cs="宋体"/>
                <w:bCs/>
                <w:snapToGrid w:val="0"/>
                <w:color w:val="000000"/>
                <w:sz w:val="24"/>
                <w:szCs w:val="21"/>
              </w:rPr>
              <w:t>安康铁路二线，开工建设西安至重庆高铁（西安</w:t>
            </w:r>
            <w:r>
              <w:rPr>
                <w:rFonts w:hint="eastAsia" w:ascii="宋体" w:hAnsi="宋体" w:cs="宋体"/>
                <w:bCs/>
                <w:snapToGrid w:val="0"/>
                <w:color w:val="000000"/>
                <w:sz w:val="24"/>
                <w:szCs w:val="21"/>
                <w:lang w:eastAsia="zh-CN"/>
              </w:rPr>
              <w:t>至</w:t>
            </w:r>
            <w:r>
              <w:rPr>
                <w:rFonts w:hint="eastAsia" w:ascii="宋体" w:hAnsi="宋体" w:cs="宋体"/>
                <w:bCs/>
                <w:snapToGrid w:val="0"/>
                <w:color w:val="000000"/>
                <w:sz w:val="24"/>
                <w:szCs w:val="21"/>
              </w:rPr>
              <w:t>安康城际铁路），争取开工建设安康</w:t>
            </w:r>
            <w:r>
              <w:rPr>
                <w:rFonts w:hint="eastAsia" w:ascii="宋体" w:hAnsi="宋体" w:cs="宋体"/>
                <w:bCs/>
                <w:snapToGrid w:val="0"/>
                <w:color w:val="000000"/>
                <w:sz w:val="24"/>
                <w:szCs w:val="21"/>
                <w:lang w:eastAsia="zh-CN"/>
              </w:rPr>
              <w:t>至</w:t>
            </w:r>
            <w:r>
              <w:rPr>
                <w:rFonts w:hint="eastAsia" w:ascii="宋体" w:hAnsi="宋体" w:cs="宋体"/>
                <w:bCs/>
                <w:snapToGrid w:val="0"/>
                <w:color w:val="000000"/>
                <w:sz w:val="24"/>
                <w:szCs w:val="21"/>
              </w:rPr>
              <w:t>张家界</w:t>
            </w:r>
            <w:r>
              <w:rPr>
                <w:rFonts w:hint="eastAsia" w:ascii="宋体" w:hAnsi="宋体" w:cs="宋体"/>
                <w:bCs/>
                <w:snapToGrid w:val="0"/>
                <w:color w:val="000000"/>
                <w:sz w:val="24"/>
                <w:szCs w:val="21"/>
                <w:lang w:eastAsia="zh-CN"/>
              </w:rPr>
              <w:t>至</w:t>
            </w:r>
            <w:r>
              <w:rPr>
                <w:rFonts w:hint="eastAsia" w:ascii="宋体" w:hAnsi="宋体" w:cs="宋体"/>
                <w:bCs/>
                <w:snapToGrid w:val="0"/>
                <w:color w:val="000000"/>
                <w:sz w:val="24"/>
                <w:szCs w:val="21"/>
              </w:rPr>
              <w:t>衡阳铁路。</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2" w:firstLineChars="200"/>
              <w:jc w:val="both"/>
              <w:textAlignment w:val="auto"/>
              <w:outlineLvl w:val="9"/>
              <w:rPr>
                <w:rFonts w:ascii="宋体" w:cs="宋体"/>
                <w:bCs/>
                <w:snapToGrid w:val="0"/>
                <w:color w:val="000000"/>
                <w:sz w:val="24"/>
                <w:szCs w:val="21"/>
              </w:rPr>
            </w:pPr>
            <w:r>
              <w:rPr>
                <w:rFonts w:hint="eastAsia" w:ascii="宋体" w:hAnsi="宋体" w:cs="宋体"/>
                <w:b/>
                <w:snapToGrid w:val="0"/>
                <w:color w:val="000000"/>
                <w:sz w:val="24"/>
                <w:szCs w:val="21"/>
              </w:rPr>
              <w:t>机场建设工程：</w:t>
            </w:r>
            <w:r>
              <w:rPr>
                <w:rFonts w:hint="eastAsia" w:ascii="宋体" w:hAnsi="宋体" w:cs="宋体"/>
                <w:bCs/>
                <w:snapToGrid w:val="0"/>
                <w:color w:val="000000"/>
                <w:sz w:val="24"/>
                <w:szCs w:val="21"/>
              </w:rPr>
              <w:t>建成安康富强新机场，新建航站楼</w:t>
            </w:r>
            <w:r>
              <w:rPr>
                <w:rFonts w:ascii="宋体" w:hAnsi="宋体" w:cs="宋体"/>
                <w:bCs/>
                <w:snapToGrid w:val="0"/>
                <w:color w:val="000000"/>
                <w:sz w:val="24"/>
                <w:szCs w:val="21"/>
              </w:rPr>
              <w:t>6000</w:t>
            </w:r>
            <w:r>
              <w:rPr>
                <w:rFonts w:hint="eastAsia" w:ascii="宋体" w:hAnsi="宋体" w:cs="宋体"/>
                <w:bCs/>
                <w:snapToGrid w:val="0"/>
                <w:color w:val="000000"/>
                <w:sz w:val="24"/>
                <w:szCs w:val="21"/>
              </w:rPr>
              <w:t>平方米，跑</w:t>
            </w:r>
            <w:r>
              <w:rPr>
                <w:rFonts w:hint="eastAsia" w:ascii="宋体" w:hAnsi="宋体" w:cs="宋体"/>
                <w:bCs/>
                <w:snapToGrid w:val="0"/>
                <w:color w:val="000000"/>
                <w:sz w:val="24"/>
                <w:szCs w:val="21"/>
                <w:lang w:eastAsia="zh-CN"/>
              </w:rPr>
              <w:t>道</w:t>
            </w:r>
            <w:r>
              <w:rPr>
                <w:rFonts w:ascii="宋体" w:hAnsi="宋体" w:cs="宋体"/>
                <w:bCs/>
                <w:snapToGrid w:val="0"/>
                <w:color w:val="000000"/>
                <w:sz w:val="24"/>
                <w:szCs w:val="21"/>
              </w:rPr>
              <w:t>2800</w:t>
            </w:r>
            <w:r>
              <w:rPr>
                <w:rFonts w:hint="eastAsia" w:ascii="宋体" w:cs="宋体"/>
                <w:bCs/>
                <w:snapToGrid w:val="0"/>
                <w:color w:val="000000"/>
                <w:sz w:val="24"/>
                <w:szCs w:val="21"/>
              </w:rPr>
              <w:t>×</w:t>
            </w:r>
            <w:r>
              <w:rPr>
                <w:rFonts w:ascii="宋体" w:hAnsi="宋体" w:cs="宋体"/>
                <w:bCs/>
                <w:snapToGrid w:val="0"/>
                <w:color w:val="000000"/>
                <w:sz w:val="24"/>
                <w:szCs w:val="21"/>
              </w:rPr>
              <w:t>45</w:t>
            </w:r>
            <w:r>
              <w:rPr>
                <w:rFonts w:hint="eastAsia" w:ascii="宋体" w:hAnsi="宋体" w:cs="宋体"/>
                <w:bCs/>
                <w:snapToGrid w:val="0"/>
                <w:color w:val="000000"/>
                <w:sz w:val="24"/>
                <w:szCs w:val="21"/>
              </w:rPr>
              <w:t>米及配套设施；</w:t>
            </w:r>
            <w:r>
              <w:rPr>
                <w:rFonts w:hint="eastAsia" w:ascii="宋体" w:hAnsi="宋体" w:cs="宋体"/>
                <w:bCs/>
                <w:snapToGrid w:val="0"/>
                <w:color w:val="000000"/>
                <w:sz w:val="24"/>
                <w:szCs w:val="21"/>
                <w:lang w:eastAsia="zh-CN"/>
              </w:rPr>
              <w:t>谋划</w:t>
            </w:r>
            <w:r>
              <w:rPr>
                <w:rFonts w:hint="eastAsia" w:ascii="宋体" w:hAnsi="宋体" w:cs="宋体"/>
                <w:bCs/>
                <w:snapToGrid w:val="0"/>
                <w:color w:val="000000"/>
                <w:sz w:val="24"/>
                <w:szCs w:val="21"/>
              </w:rPr>
              <w:t>建设石泉、平利、旬阳通用机场和紫阳、岚皋</w:t>
            </w:r>
            <w:r>
              <w:rPr>
                <w:rFonts w:hint="eastAsia" w:ascii="宋体" w:hAnsi="宋体" w:cs="宋体"/>
                <w:bCs/>
                <w:snapToGrid w:val="0"/>
                <w:color w:val="000000"/>
                <w:sz w:val="24"/>
                <w:szCs w:val="21"/>
                <w:lang w:eastAsia="zh-CN"/>
              </w:rPr>
              <w:t>、</w:t>
            </w:r>
            <w:r>
              <w:rPr>
                <w:rFonts w:hint="eastAsia" w:ascii="宋体" w:hAnsi="宋体" w:cs="宋体"/>
                <w:bCs/>
                <w:snapToGrid w:val="0"/>
                <w:color w:val="000000"/>
                <w:sz w:val="24"/>
                <w:szCs w:val="21"/>
              </w:rPr>
              <w:t>镇坪等直升机起降场地。</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2" w:firstLineChars="200"/>
              <w:jc w:val="both"/>
              <w:textAlignment w:val="auto"/>
              <w:outlineLvl w:val="9"/>
              <w:rPr>
                <w:rFonts w:hint="eastAsia" w:ascii="宋体" w:hAnsi="宋体" w:cs="宋体"/>
                <w:color w:val="000000"/>
                <w:sz w:val="24"/>
              </w:rPr>
            </w:pPr>
            <w:r>
              <w:rPr>
                <w:rFonts w:hint="eastAsia" w:ascii="宋体" w:hAnsi="宋体" w:cs="宋体"/>
                <w:b/>
                <w:snapToGrid w:val="0"/>
                <w:color w:val="000000"/>
                <w:sz w:val="24"/>
                <w:szCs w:val="21"/>
              </w:rPr>
              <w:t>航运建设工程：</w:t>
            </w:r>
            <w:r>
              <w:rPr>
                <w:rFonts w:hint="eastAsia" w:ascii="宋体" w:hAnsi="宋体" w:cs="宋体"/>
                <w:color w:val="000000"/>
                <w:sz w:val="24"/>
              </w:rPr>
              <w:t>完成白河、蜀河、旬阳枢纽通航建筑物建设，启动石泉、喜河枢纽复航建设和安康枢纽通航建筑物维护改造，实施安康枢纽坝下航道整治工程。</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2" w:firstLineChars="200"/>
              <w:jc w:val="both"/>
              <w:textAlignment w:val="auto"/>
              <w:outlineLvl w:val="9"/>
              <w:rPr>
                <w:rFonts w:ascii="宋体" w:cs="宋体"/>
                <w:bCs/>
                <w:snapToGrid w:val="0"/>
                <w:color w:val="000000"/>
                <w:sz w:val="24"/>
                <w:szCs w:val="21"/>
              </w:rPr>
            </w:pPr>
            <w:r>
              <w:rPr>
                <w:rFonts w:hint="eastAsia" w:ascii="宋体" w:hAnsi="宋体" w:cs="宋体"/>
                <w:b/>
                <w:snapToGrid w:val="0"/>
                <w:color w:val="000000"/>
                <w:sz w:val="24"/>
                <w:szCs w:val="21"/>
              </w:rPr>
              <w:t>站场建设工程：</w:t>
            </w:r>
            <w:r>
              <w:rPr>
                <w:rFonts w:hint="eastAsia" w:ascii="宋体" w:hAnsi="宋体" w:cs="宋体"/>
                <w:color w:val="000000"/>
                <w:sz w:val="24"/>
              </w:rPr>
              <w:t>建成安康城东一级客运汽车站和石泉、岚皋、恒口、镇坪4个二级客运站，建设池河、汉阴城北、瀛湖、蒿坪4个三级客运站，建成安康江南物流园区、安康江北一级货运站，新建旬阳、平利二级货运站。</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outlineLvl w:val="9"/>
              <w:rPr>
                <w:rFonts w:eastAsia="仿宋_GB2312"/>
                <w:snapToGrid w:val="0"/>
                <w:color w:val="000000"/>
                <w:sz w:val="24"/>
                <w:szCs w:val="21"/>
              </w:rPr>
            </w:pPr>
            <w:r>
              <w:rPr>
                <w:rFonts w:hint="eastAsia" w:ascii="宋体" w:hAnsi="宋体" w:cs="宋体"/>
                <w:b/>
                <w:snapToGrid w:val="0"/>
                <w:color w:val="000000"/>
                <w:sz w:val="24"/>
                <w:szCs w:val="21"/>
                <w:lang w:val="en-US" w:eastAsia="zh-CN"/>
              </w:rPr>
              <w:t xml:space="preserve">    </w:t>
            </w:r>
            <w:r>
              <w:rPr>
                <w:rFonts w:hint="eastAsia" w:ascii="宋体" w:hAnsi="宋体" w:cs="宋体"/>
                <w:b/>
                <w:snapToGrid w:val="0"/>
                <w:color w:val="000000"/>
                <w:sz w:val="24"/>
                <w:szCs w:val="21"/>
              </w:rPr>
              <w:t>轻轨</w:t>
            </w:r>
            <w:r>
              <w:rPr>
                <w:rFonts w:ascii="宋体" w:hAnsi="宋体" w:cs="宋体"/>
                <w:b/>
                <w:snapToGrid w:val="0"/>
                <w:color w:val="000000"/>
                <w:sz w:val="24"/>
                <w:szCs w:val="21"/>
              </w:rPr>
              <w:t>/</w:t>
            </w:r>
            <w:r>
              <w:rPr>
                <w:rFonts w:hint="eastAsia" w:ascii="宋体" w:hAnsi="宋体" w:cs="宋体"/>
                <w:b/>
                <w:snapToGrid w:val="0"/>
                <w:color w:val="000000"/>
                <w:sz w:val="24"/>
                <w:szCs w:val="21"/>
              </w:rPr>
              <w:t>高架建设工程：</w:t>
            </w:r>
            <w:r>
              <w:rPr>
                <w:rFonts w:hint="eastAsia" w:ascii="宋体" w:hAnsi="宋体" w:cs="宋体"/>
                <w:bCs/>
                <w:snapToGrid w:val="0"/>
                <w:color w:val="000000"/>
                <w:sz w:val="24"/>
                <w:szCs w:val="21"/>
              </w:rPr>
              <w:t>积极谋划新安康火车站</w:t>
            </w:r>
            <w:r>
              <w:rPr>
                <w:rFonts w:hint="eastAsia" w:ascii="宋体" w:cs="宋体"/>
                <w:bCs/>
                <w:snapToGrid w:val="0"/>
                <w:color w:val="000000"/>
                <w:sz w:val="24"/>
                <w:szCs w:val="21"/>
                <w:lang w:eastAsia="zh-CN"/>
              </w:rPr>
              <w:t>至</w:t>
            </w:r>
            <w:r>
              <w:rPr>
                <w:rFonts w:hint="eastAsia" w:ascii="宋体" w:hAnsi="宋体" w:cs="宋体"/>
                <w:bCs/>
                <w:snapToGrid w:val="0"/>
                <w:color w:val="000000"/>
                <w:sz w:val="24"/>
                <w:szCs w:val="21"/>
              </w:rPr>
              <w:t>江南城区</w:t>
            </w:r>
            <w:r>
              <w:rPr>
                <w:rFonts w:hint="eastAsia" w:ascii="宋体" w:hAnsi="宋体" w:cs="宋体"/>
                <w:bCs/>
                <w:snapToGrid w:val="0"/>
                <w:color w:val="000000"/>
                <w:sz w:val="24"/>
                <w:szCs w:val="21"/>
                <w:lang w:eastAsia="zh-CN"/>
              </w:rPr>
              <w:t>以及</w:t>
            </w:r>
            <w:r>
              <w:rPr>
                <w:rFonts w:hint="eastAsia" w:ascii="宋体" w:cs="宋体"/>
                <w:bCs/>
                <w:snapToGrid w:val="0"/>
                <w:color w:val="000000"/>
                <w:sz w:val="24"/>
                <w:szCs w:val="21"/>
                <w:lang w:eastAsia="zh-CN"/>
              </w:rPr>
              <w:t>至</w:t>
            </w:r>
            <w:r>
              <w:rPr>
                <w:rFonts w:hint="eastAsia" w:ascii="宋体" w:hAnsi="宋体" w:cs="宋体"/>
                <w:bCs/>
                <w:snapToGrid w:val="0"/>
                <w:color w:val="000000"/>
                <w:sz w:val="24"/>
                <w:szCs w:val="21"/>
                <w:lang w:eastAsia="zh-CN"/>
              </w:rPr>
              <w:t>汉阴</w:t>
            </w:r>
            <w:r>
              <w:rPr>
                <w:rFonts w:hint="eastAsia" w:ascii="宋体" w:cs="宋体"/>
                <w:bCs/>
                <w:snapToGrid w:val="0"/>
                <w:color w:val="000000"/>
                <w:sz w:val="24"/>
                <w:szCs w:val="21"/>
                <w:lang w:eastAsia="zh-CN"/>
              </w:rPr>
              <w:t>、</w:t>
            </w:r>
            <w:r>
              <w:rPr>
                <w:rFonts w:hint="eastAsia" w:ascii="宋体" w:hAnsi="宋体" w:cs="宋体"/>
                <w:bCs/>
                <w:snapToGrid w:val="0"/>
                <w:color w:val="000000"/>
                <w:sz w:val="24"/>
                <w:szCs w:val="21"/>
              </w:rPr>
              <w:t>瀛湖的轻轨（高架）。</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1"/>
        <w:rPr>
          <w:rFonts w:hint="eastAsia" w:eastAsia="黑体"/>
          <w:bCs/>
          <w:snapToGrid w:val="0"/>
          <w:color w:val="000000"/>
          <w:spacing w:val="6"/>
          <w:kern w:val="0"/>
          <w:sz w:val="32"/>
          <w:szCs w:val="32"/>
        </w:rPr>
      </w:pPr>
      <w:bookmarkStart w:id="31" w:name="_Toc4039"/>
      <w:bookmarkStart w:id="32" w:name="_Toc436739626"/>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1"/>
        <w:rPr>
          <w:rFonts w:hint="eastAsia" w:eastAsia="黑体"/>
          <w:bCs/>
          <w:snapToGrid w:val="0"/>
          <w:color w:val="000000"/>
          <w:spacing w:val="6"/>
          <w:kern w:val="0"/>
          <w:sz w:val="32"/>
          <w:szCs w:val="32"/>
        </w:rPr>
      </w:pPr>
      <w:r>
        <w:rPr>
          <w:rFonts w:hint="eastAsia" w:eastAsia="黑体"/>
          <w:bCs/>
          <w:snapToGrid w:val="0"/>
          <w:color w:val="000000"/>
          <w:spacing w:val="6"/>
          <w:kern w:val="0"/>
          <w:sz w:val="32"/>
          <w:szCs w:val="32"/>
        </w:rPr>
        <w:t>第十九节</w:t>
      </w:r>
      <w:r>
        <w:rPr>
          <w:rFonts w:hint="eastAsia" w:eastAsia="黑体"/>
          <w:bCs/>
          <w:snapToGrid w:val="0"/>
          <w:color w:val="000000"/>
          <w:spacing w:val="6"/>
          <w:kern w:val="0"/>
          <w:sz w:val="32"/>
          <w:szCs w:val="32"/>
          <w:lang w:val="en-US" w:eastAsia="zh-CN"/>
        </w:rPr>
        <w:t xml:space="preserve">  </w:t>
      </w:r>
      <w:r>
        <w:rPr>
          <w:rFonts w:hint="eastAsia" w:eastAsia="黑体"/>
          <w:bCs/>
          <w:snapToGrid w:val="0"/>
          <w:color w:val="000000"/>
          <w:spacing w:val="6"/>
          <w:kern w:val="0"/>
          <w:sz w:val="32"/>
          <w:szCs w:val="32"/>
        </w:rPr>
        <w:t>增强水利保障能力</w:t>
      </w:r>
      <w:bookmarkEnd w:id="31"/>
      <w:bookmarkEnd w:id="32"/>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eastAsia="仿宋_GB2312"/>
          <w:snapToGrid w:val="0"/>
          <w:color w:val="000000"/>
          <w:kern w:val="0"/>
          <w:sz w:val="32"/>
          <w:szCs w:val="32"/>
        </w:rPr>
      </w:pPr>
      <w:r>
        <w:rPr>
          <w:rFonts w:hint="eastAsia" w:eastAsia="仿宋_GB2312"/>
          <w:snapToGrid w:val="0"/>
          <w:color w:val="000000"/>
          <w:kern w:val="0"/>
          <w:sz w:val="32"/>
          <w:szCs w:val="32"/>
        </w:rPr>
        <w:t>树立柔性治水理念，坚持治水与兴水并重、开发与保护并举，加强水利基础设施建设，增强水利保障能力，实现水源可靠、水量保证、水质达标、水工程配套、水生态良好目标。</w:t>
      </w:r>
      <w:r>
        <w:rPr>
          <w:rFonts w:hint="eastAsia" w:eastAsia="仿宋_GB2312"/>
          <w:snapToGrid w:val="0"/>
          <w:color w:val="000000"/>
          <w:kern w:val="0"/>
          <w:sz w:val="32"/>
          <w:szCs w:val="32"/>
          <w:lang w:eastAsia="zh-CN"/>
        </w:rPr>
        <w:t>加快</w:t>
      </w:r>
      <w:r>
        <w:rPr>
          <w:rFonts w:hint="eastAsia" w:eastAsia="仿宋_GB2312"/>
          <w:snapToGrid w:val="0"/>
          <w:color w:val="000000"/>
          <w:kern w:val="0"/>
          <w:sz w:val="32"/>
          <w:szCs w:val="32"/>
        </w:rPr>
        <w:t>重大水利工程、</w:t>
      </w:r>
      <w:r>
        <w:rPr>
          <w:rFonts w:hint="eastAsia" w:eastAsia="仿宋_GB2312"/>
          <w:snapToGrid w:val="0"/>
          <w:color w:val="000000"/>
          <w:kern w:val="0"/>
          <w:sz w:val="32"/>
          <w:szCs w:val="32"/>
          <w:lang w:eastAsia="zh-CN"/>
        </w:rPr>
        <w:t>小</w:t>
      </w:r>
      <w:r>
        <w:rPr>
          <w:rFonts w:hint="eastAsia" w:eastAsia="仿宋_GB2312"/>
          <w:snapToGrid w:val="0"/>
          <w:color w:val="000000"/>
          <w:kern w:val="0"/>
          <w:sz w:val="32"/>
          <w:szCs w:val="32"/>
        </w:rPr>
        <w:t>型水库、病险水库除险加固、灌区续建配套等项目建设</w:t>
      </w:r>
      <w:r>
        <w:rPr>
          <w:rFonts w:hint="eastAsia" w:eastAsia="仿宋_GB2312"/>
          <w:snapToGrid w:val="0"/>
          <w:color w:val="000000"/>
          <w:kern w:val="0"/>
          <w:sz w:val="32"/>
          <w:szCs w:val="32"/>
          <w:lang w:eastAsia="zh-CN"/>
        </w:rPr>
        <w:t>，</w:t>
      </w:r>
      <w:r>
        <w:rPr>
          <w:rFonts w:hint="eastAsia" w:eastAsia="仿宋_GB2312"/>
          <w:snapToGrid w:val="0"/>
          <w:color w:val="000000"/>
          <w:kern w:val="0"/>
          <w:sz w:val="32"/>
          <w:szCs w:val="32"/>
        </w:rPr>
        <w:t>建成引汉济渭、洞河水库等重大水利工程，开工建设“月河补水</w:t>
      </w:r>
      <w:r>
        <w:rPr>
          <w:rFonts w:hint="eastAsia" w:eastAsia="仿宋_GB2312"/>
          <w:snapToGrid w:val="0"/>
          <w:color w:val="000000"/>
          <w:kern w:val="0"/>
          <w:sz w:val="32"/>
          <w:szCs w:val="32"/>
          <w:lang w:eastAsia="zh-CN"/>
        </w:rPr>
        <w:t>”</w:t>
      </w:r>
      <w:r>
        <w:rPr>
          <w:rFonts w:hint="eastAsia" w:eastAsia="仿宋_GB2312"/>
          <w:snapToGrid w:val="0"/>
          <w:color w:val="000000"/>
          <w:kern w:val="0"/>
          <w:sz w:val="32"/>
          <w:szCs w:val="32"/>
        </w:rPr>
        <w:t>工程，实施“五小水利”和农村安全饮水工程。加强汉江干流及主要支流堤防工程建设，推进汉江干流县域及重点镇防洪保安工程建设，构建完善的防洪安保体系。积极推进气象现代化建设，提高预测预报</w:t>
      </w:r>
      <w:r>
        <w:rPr>
          <w:rFonts w:hint="eastAsia" w:eastAsia="仿宋_GB2312"/>
          <w:snapToGrid w:val="0"/>
          <w:color w:val="000000"/>
          <w:kern w:val="0"/>
          <w:sz w:val="32"/>
          <w:szCs w:val="32"/>
          <w:lang w:eastAsia="zh-CN"/>
        </w:rPr>
        <w:t>和</w:t>
      </w:r>
      <w:r>
        <w:rPr>
          <w:rFonts w:hint="eastAsia" w:eastAsia="仿宋_GB2312"/>
          <w:snapToGrid w:val="0"/>
          <w:color w:val="000000"/>
          <w:kern w:val="0"/>
          <w:sz w:val="32"/>
          <w:szCs w:val="32"/>
        </w:rPr>
        <w:t>防灾减灾能力。加强防洪抗旱减灾指挥调度系统建设，显著减少灾害损失程度。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黑体" w:hAnsi="黑体" w:eastAsia="黑体" w:cs="黑体"/>
          <w:bCs/>
          <w:color w:val="000000"/>
          <w:sz w:val="28"/>
          <w:szCs w:val="56"/>
        </w:rPr>
      </w:pPr>
      <w:r>
        <w:rPr>
          <w:rFonts w:hint="eastAsia" w:ascii="黑体" w:hAnsi="黑体" w:eastAsia="黑体" w:cs="黑体"/>
          <w:bCs/>
          <w:color w:val="000000"/>
          <w:sz w:val="28"/>
          <w:szCs w:val="56"/>
        </w:rPr>
        <w:t>专栏11</w:t>
      </w:r>
      <w:r>
        <w:rPr>
          <w:rFonts w:hint="eastAsia" w:ascii="黑体" w:hAnsi="黑体" w:eastAsia="黑体" w:cs="黑体"/>
          <w:bCs/>
          <w:color w:val="000000"/>
          <w:sz w:val="28"/>
          <w:szCs w:val="56"/>
          <w:lang w:val="en-US" w:eastAsia="zh-CN"/>
        </w:rPr>
        <w:t xml:space="preserve">  </w:t>
      </w:r>
      <w:r>
        <w:rPr>
          <w:rFonts w:hint="eastAsia" w:ascii="黑体" w:hAnsi="黑体" w:eastAsia="黑体" w:cs="黑体"/>
          <w:bCs/>
          <w:color w:val="000000"/>
          <w:sz w:val="28"/>
          <w:szCs w:val="56"/>
        </w:rPr>
        <w:t>重大水利建设工程</w:t>
      </w:r>
    </w:p>
    <w:tbl>
      <w:tblPr>
        <w:tblStyle w:val="21"/>
        <w:tblW w:w="0" w:type="auto"/>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454" w:hRule="atLeast"/>
        </w:trPr>
        <w:tc>
          <w:tcPr>
            <w:tcW w:w="8768"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2" w:firstLineChars="175"/>
              <w:jc w:val="both"/>
              <w:textAlignment w:val="auto"/>
              <w:outlineLvl w:val="9"/>
              <w:rPr>
                <w:rFonts w:hint="eastAsia" w:ascii="宋体" w:hAnsi="宋体" w:eastAsia="宋体" w:cs="宋体"/>
                <w:bCs/>
                <w:snapToGrid w:val="0"/>
                <w:color w:val="000000"/>
                <w:sz w:val="24"/>
                <w:szCs w:val="21"/>
              </w:rPr>
            </w:pPr>
            <w:r>
              <w:rPr>
                <w:rFonts w:hint="eastAsia" w:ascii="宋体" w:hAnsi="宋体" w:eastAsia="宋体" w:cs="宋体"/>
                <w:b/>
                <w:snapToGrid w:val="0"/>
                <w:color w:val="000000"/>
                <w:sz w:val="24"/>
                <w:szCs w:val="21"/>
              </w:rPr>
              <w:t>重点水源工程：</w:t>
            </w:r>
            <w:r>
              <w:rPr>
                <w:rFonts w:hint="eastAsia" w:ascii="宋体" w:hAnsi="宋体" w:eastAsia="宋体" w:cs="宋体"/>
                <w:bCs/>
                <w:snapToGrid w:val="0"/>
                <w:color w:val="000000"/>
                <w:sz w:val="24"/>
                <w:szCs w:val="21"/>
              </w:rPr>
              <w:t>建成</w:t>
            </w:r>
            <w:r>
              <w:rPr>
                <w:rFonts w:hint="eastAsia" w:ascii="宋体" w:hAnsi="宋体" w:eastAsia="宋体" w:cs="宋体"/>
                <w:bCs/>
                <w:snapToGrid w:val="0"/>
                <w:color w:val="000000"/>
                <w:sz w:val="24"/>
                <w:szCs w:val="21"/>
                <w:lang w:eastAsia="zh-CN"/>
              </w:rPr>
              <w:t>汉阴</w:t>
            </w:r>
            <w:r>
              <w:rPr>
                <w:rFonts w:hint="eastAsia" w:ascii="宋体" w:hAnsi="宋体" w:eastAsia="宋体" w:cs="宋体"/>
                <w:bCs/>
                <w:snapToGrid w:val="0"/>
                <w:color w:val="000000"/>
                <w:sz w:val="24"/>
                <w:szCs w:val="21"/>
              </w:rPr>
              <w:t>洞河水库，实施汉滨青木沟、汉阴黎袁河、白河天宝等20座小型水库工程</w:t>
            </w:r>
            <w:r>
              <w:rPr>
                <w:rFonts w:hint="eastAsia" w:ascii="宋体" w:hAnsi="宋体" w:eastAsia="宋体" w:cs="宋体"/>
                <w:bCs/>
                <w:snapToGrid w:val="0"/>
                <w:color w:val="000000"/>
                <w:sz w:val="24"/>
                <w:szCs w:val="21"/>
                <w:lang w:eastAsia="zh-CN"/>
              </w:rPr>
              <w:t>；</w:t>
            </w:r>
            <w:r>
              <w:rPr>
                <w:rFonts w:hint="eastAsia" w:ascii="宋体" w:hAnsi="宋体" w:eastAsia="宋体" w:cs="宋体"/>
                <w:bCs/>
                <w:snapToGrid w:val="0"/>
                <w:color w:val="000000"/>
                <w:sz w:val="24"/>
                <w:szCs w:val="21"/>
              </w:rPr>
              <w:t>实施“月河补水”工程，新建石泉双营、汉滨恒河水库，建设输水隧洞12.2公里，年补水量8200万立方米、供水7000万立方米。</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361" w:firstLineChars="150"/>
              <w:jc w:val="both"/>
              <w:textAlignment w:val="auto"/>
              <w:outlineLvl w:val="9"/>
              <w:rPr>
                <w:rFonts w:hint="eastAsia" w:ascii="宋体" w:hAnsi="宋体" w:eastAsia="宋体" w:cs="宋体"/>
                <w:bCs/>
                <w:snapToGrid w:val="0"/>
                <w:color w:val="000000"/>
                <w:sz w:val="24"/>
                <w:szCs w:val="21"/>
              </w:rPr>
            </w:pPr>
            <w:r>
              <w:rPr>
                <w:rFonts w:hint="eastAsia" w:ascii="宋体" w:hAnsi="宋体" w:eastAsia="宋体" w:cs="宋体"/>
                <w:b/>
                <w:snapToGrid w:val="0"/>
                <w:color w:val="000000"/>
                <w:sz w:val="24"/>
                <w:szCs w:val="21"/>
              </w:rPr>
              <w:t>江河治理工程：</w:t>
            </w:r>
            <w:r>
              <w:rPr>
                <w:rFonts w:hint="eastAsia" w:ascii="宋体" w:hAnsi="宋体" w:eastAsia="宋体" w:cs="宋体"/>
                <w:bCs/>
                <w:snapToGrid w:val="0"/>
                <w:color w:val="000000"/>
                <w:sz w:val="24"/>
                <w:szCs w:val="21"/>
              </w:rPr>
              <w:t>新修加固</w:t>
            </w:r>
            <w:r>
              <w:rPr>
                <w:rFonts w:hint="eastAsia" w:ascii="宋体" w:hAnsi="宋体" w:eastAsia="宋体" w:cs="宋体"/>
                <w:bCs/>
                <w:snapToGrid w:val="0"/>
                <w:color w:val="000000"/>
                <w:sz w:val="24"/>
                <w:szCs w:val="21"/>
                <w:lang w:eastAsia="zh-CN"/>
              </w:rPr>
              <w:t>堤防</w:t>
            </w:r>
            <w:r>
              <w:rPr>
                <w:rFonts w:hint="eastAsia" w:ascii="宋体" w:hAnsi="宋体" w:eastAsia="宋体" w:cs="宋体"/>
                <w:bCs/>
                <w:snapToGrid w:val="0"/>
                <w:color w:val="000000"/>
                <w:sz w:val="24"/>
                <w:szCs w:val="21"/>
              </w:rPr>
              <w:t>或护岸250公里，其中汉江整治工程15公里；月河整治工程75公里；中小河流40条，建设堤防工程50处、130公里；完成旬河和子午河10公里重点段治理任务；治理山洪沟10条。</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left"/>
              <w:textAlignment w:val="auto"/>
              <w:outlineLvl w:val="9"/>
              <w:rPr>
                <w:spacing w:val="0"/>
              </w:rPr>
            </w:pPr>
            <w:r>
              <w:rPr>
                <w:rFonts w:hint="eastAsia" w:ascii="宋体" w:hAnsi="宋体" w:eastAsia="宋体" w:cs="宋体"/>
                <w:b/>
                <w:snapToGrid w:val="0"/>
                <w:color w:val="000000"/>
                <w:sz w:val="24"/>
                <w:szCs w:val="21"/>
                <w:lang w:val="en-US" w:eastAsia="zh-CN"/>
              </w:rPr>
              <w:t xml:space="preserve">    </w:t>
            </w:r>
            <w:r>
              <w:rPr>
                <w:rFonts w:hint="eastAsia" w:ascii="宋体" w:hAnsi="宋体" w:eastAsia="宋体" w:cs="宋体"/>
                <w:b/>
                <w:snapToGrid w:val="0"/>
                <w:color w:val="000000"/>
                <w:sz w:val="24"/>
                <w:szCs w:val="21"/>
              </w:rPr>
              <w:t>防汛抗旱工程：</w:t>
            </w:r>
            <w:r>
              <w:rPr>
                <w:rFonts w:hint="eastAsia" w:ascii="宋体" w:hAnsi="宋体" w:eastAsia="宋体" w:cs="宋体"/>
                <w:bCs/>
                <w:snapToGrid w:val="0"/>
                <w:color w:val="000000"/>
                <w:spacing w:val="0"/>
                <w:sz w:val="24"/>
              </w:rPr>
              <w:t>实施30座病险水库除险加固工程；实施乡镇抗旱应急备用水源工程22处。</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2" w:firstLineChars="175"/>
              <w:jc w:val="left"/>
              <w:textAlignment w:val="auto"/>
              <w:outlineLvl w:val="9"/>
              <w:rPr>
                <w:rFonts w:hint="eastAsia" w:ascii="宋体" w:hAnsi="宋体" w:eastAsia="宋体" w:cs="宋体"/>
                <w:bCs/>
                <w:snapToGrid w:val="0"/>
                <w:color w:val="000000"/>
                <w:sz w:val="24"/>
                <w:szCs w:val="21"/>
              </w:rPr>
            </w:pPr>
            <w:r>
              <w:rPr>
                <w:rFonts w:hint="eastAsia" w:ascii="宋体" w:hAnsi="宋体" w:eastAsia="宋体" w:cs="宋体"/>
                <w:b/>
                <w:snapToGrid w:val="0"/>
                <w:color w:val="000000"/>
                <w:sz w:val="24"/>
                <w:szCs w:val="21"/>
              </w:rPr>
              <w:t>饮水安全工程：</w:t>
            </w:r>
            <w:r>
              <w:rPr>
                <w:rFonts w:hint="eastAsia" w:ascii="宋体" w:hAnsi="宋体" w:eastAsia="宋体" w:cs="宋体"/>
                <w:bCs/>
                <w:snapToGrid w:val="0"/>
                <w:color w:val="000000"/>
                <w:sz w:val="24"/>
                <w:szCs w:val="21"/>
              </w:rPr>
              <w:t>实施9县城供水管网改造、延伸和规范化建设工程，实施农村饮水安全巩固提升工程</w:t>
            </w:r>
            <w:r>
              <w:rPr>
                <w:rFonts w:hint="eastAsia" w:ascii="宋体" w:hAnsi="宋体" w:eastAsia="宋体" w:cs="宋体"/>
                <w:bCs/>
                <w:snapToGrid w:val="0"/>
                <w:color w:val="000000"/>
                <w:sz w:val="24"/>
                <w:szCs w:val="21"/>
                <w:lang w:eastAsia="zh-CN"/>
              </w:rPr>
              <w:t>，</w:t>
            </w:r>
            <w:r>
              <w:rPr>
                <w:rFonts w:hint="eastAsia" w:ascii="宋体" w:hAnsi="宋体" w:eastAsia="宋体" w:cs="宋体"/>
                <w:bCs/>
                <w:snapToGrid w:val="0"/>
                <w:color w:val="000000"/>
                <w:sz w:val="24"/>
                <w:szCs w:val="21"/>
              </w:rPr>
              <w:t>农村集中式供水人口比例85%以上，农村自来水普及率80%以上，农村集中式供水工程供水保证率95%以上。</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2" w:firstLineChars="175"/>
              <w:jc w:val="both"/>
              <w:textAlignment w:val="auto"/>
              <w:outlineLvl w:val="9"/>
              <w:rPr>
                <w:rFonts w:hint="eastAsia" w:ascii="宋体" w:hAnsi="宋体" w:eastAsia="宋体" w:cs="宋体"/>
                <w:bCs/>
                <w:snapToGrid w:val="0"/>
                <w:color w:val="000000"/>
                <w:sz w:val="24"/>
                <w:szCs w:val="21"/>
              </w:rPr>
            </w:pPr>
            <w:r>
              <w:rPr>
                <w:rFonts w:hint="eastAsia" w:ascii="宋体" w:hAnsi="宋体" w:eastAsia="宋体" w:cs="宋体"/>
                <w:b/>
                <w:snapToGrid w:val="0"/>
                <w:color w:val="000000"/>
                <w:sz w:val="24"/>
                <w:szCs w:val="21"/>
              </w:rPr>
              <w:t>农田水利工程：</w:t>
            </w:r>
            <w:r>
              <w:rPr>
                <w:rFonts w:hint="eastAsia" w:ascii="宋体" w:hAnsi="宋体" w:eastAsia="宋体" w:cs="宋体"/>
                <w:bCs/>
                <w:snapToGrid w:val="0"/>
                <w:color w:val="000000"/>
                <w:sz w:val="24"/>
                <w:szCs w:val="21"/>
              </w:rPr>
              <w:t>开展“五小水利”工程建设，新修基本农田25万亩，发展节水灌溉</w:t>
            </w:r>
            <w:r>
              <w:rPr>
                <w:rFonts w:hint="eastAsia" w:ascii="宋体" w:hAnsi="宋体" w:eastAsia="宋体" w:cs="宋体"/>
                <w:bCs/>
                <w:snapToGrid w:val="0"/>
                <w:color w:val="000000"/>
                <w:sz w:val="24"/>
                <w:szCs w:val="21"/>
                <w:lang w:eastAsia="zh-CN"/>
              </w:rPr>
              <w:t>面积</w:t>
            </w:r>
            <w:r>
              <w:rPr>
                <w:rFonts w:hint="eastAsia" w:ascii="宋体" w:hAnsi="宋体" w:eastAsia="宋体" w:cs="宋体"/>
                <w:bCs/>
                <w:snapToGrid w:val="0"/>
                <w:color w:val="000000"/>
                <w:sz w:val="24"/>
                <w:szCs w:val="21"/>
              </w:rPr>
              <w:t>10万亩，发展高效节水灌溉面积6万亩。</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left"/>
              <w:textAlignment w:val="auto"/>
              <w:outlineLvl w:val="9"/>
              <w:rPr>
                <w:rFonts w:hint="eastAsia" w:ascii="黑体" w:hAnsi="黑体" w:eastAsia="黑体" w:cs="黑体"/>
                <w:bCs/>
                <w:color w:val="000000"/>
                <w:sz w:val="28"/>
                <w:szCs w:val="56"/>
                <w:vertAlign w:val="baseline"/>
              </w:rPr>
            </w:pPr>
            <w:r>
              <w:rPr>
                <w:rFonts w:hint="eastAsia" w:ascii="宋体" w:hAnsi="宋体" w:eastAsia="宋体" w:cs="宋体"/>
                <w:b/>
                <w:snapToGrid w:val="0"/>
                <w:color w:val="000000"/>
                <w:sz w:val="24"/>
                <w:szCs w:val="21"/>
                <w:lang w:val="en-US" w:eastAsia="zh-CN"/>
              </w:rPr>
              <w:t xml:space="preserve">    </w:t>
            </w:r>
            <w:r>
              <w:rPr>
                <w:rFonts w:hint="eastAsia" w:ascii="宋体" w:hAnsi="宋体" w:eastAsia="宋体" w:cs="宋体"/>
                <w:b/>
                <w:snapToGrid w:val="0"/>
                <w:color w:val="000000"/>
                <w:sz w:val="24"/>
                <w:szCs w:val="21"/>
              </w:rPr>
              <w:t>水土保持工程：</w:t>
            </w:r>
            <w:r>
              <w:rPr>
                <w:rFonts w:hint="eastAsia" w:ascii="宋体" w:hAnsi="宋体" w:eastAsia="宋体" w:cs="宋体"/>
                <w:bCs/>
                <w:snapToGrid w:val="0"/>
                <w:color w:val="000000"/>
                <w:sz w:val="24"/>
                <w:szCs w:val="21"/>
              </w:rPr>
              <w:t>实施丹江口库区上游水土保持治理三期工程及坡耕地治理工程，治理水土流失面积4000平方公里。</w:t>
            </w:r>
          </w:p>
        </w:tc>
      </w:tr>
    </w:tbl>
    <w:p>
      <w:pPr>
        <w:spacing w:line="560" w:lineRule="exact"/>
        <w:jc w:val="center"/>
        <w:outlineLvl w:val="1"/>
        <w:rPr>
          <w:rFonts w:hint="eastAsia" w:eastAsia="黑体"/>
          <w:bCs/>
          <w:snapToGrid w:val="0"/>
          <w:color w:val="000000"/>
          <w:spacing w:val="6"/>
          <w:kern w:val="0"/>
          <w:sz w:val="32"/>
          <w:szCs w:val="32"/>
        </w:rPr>
      </w:pPr>
      <w:bookmarkStart w:id="33" w:name="_Toc7053"/>
      <w:bookmarkStart w:id="34" w:name="_Toc436739627"/>
    </w:p>
    <w:p>
      <w:pPr>
        <w:spacing w:line="560" w:lineRule="exact"/>
        <w:jc w:val="center"/>
        <w:outlineLvl w:val="1"/>
        <w:rPr>
          <w:rFonts w:eastAsia="黑体"/>
          <w:bCs/>
          <w:snapToGrid w:val="0"/>
          <w:color w:val="000000"/>
          <w:spacing w:val="6"/>
          <w:kern w:val="0"/>
          <w:sz w:val="32"/>
          <w:szCs w:val="32"/>
        </w:rPr>
      </w:pPr>
      <w:r>
        <w:rPr>
          <w:rFonts w:hint="eastAsia" w:eastAsia="黑体"/>
          <w:bCs/>
          <w:snapToGrid w:val="0"/>
          <w:color w:val="000000"/>
          <w:spacing w:val="6"/>
          <w:kern w:val="0"/>
          <w:sz w:val="32"/>
          <w:szCs w:val="32"/>
        </w:rPr>
        <w:t>第二十节</w:t>
      </w:r>
      <w:r>
        <w:rPr>
          <w:rFonts w:hint="eastAsia" w:eastAsia="黑体"/>
          <w:bCs/>
          <w:snapToGrid w:val="0"/>
          <w:color w:val="000000"/>
          <w:spacing w:val="6"/>
          <w:kern w:val="0"/>
          <w:sz w:val="32"/>
          <w:szCs w:val="32"/>
          <w:lang w:val="en-US" w:eastAsia="zh-CN"/>
        </w:rPr>
        <w:t xml:space="preserve">  </w:t>
      </w:r>
      <w:r>
        <w:rPr>
          <w:rFonts w:hint="eastAsia" w:eastAsia="黑体"/>
          <w:bCs/>
          <w:snapToGrid w:val="0"/>
          <w:color w:val="000000"/>
          <w:spacing w:val="6"/>
          <w:kern w:val="0"/>
          <w:sz w:val="32"/>
          <w:szCs w:val="32"/>
          <w:lang w:eastAsia="zh-CN"/>
        </w:rPr>
        <w:t>建设</w:t>
      </w:r>
      <w:r>
        <w:rPr>
          <w:rFonts w:hint="eastAsia" w:eastAsia="黑体"/>
          <w:bCs/>
          <w:snapToGrid w:val="0"/>
          <w:color w:val="000000"/>
          <w:spacing w:val="6"/>
          <w:kern w:val="0"/>
          <w:sz w:val="32"/>
          <w:szCs w:val="32"/>
        </w:rPr>
        <w:t>坚强智能电网</w:t>
      </w:r>
      <w:bookmarkEnd w:id="33"/>
      <w:bookmarkEnd w:id="34"/>
    </w:p>
    <w:p>
      <w:pPr>
        <w:spacing w:line="560" w:lineRule="exact"/>
        <w:ind w:firstLine="640" w:firstLineChars="200"/>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完善骨干电网，建设</w:t>
      </w:r>
      <w:r>
        <w:rPr>
          <w:rFonts w:hint="eastAsia" w:eastAsia="仿宋_GB2312"/>
          <w:snapToGrid w:val="0"/>
          <w:color w:val="000000"/>
          <w:kern w:val="0"/>
          <w:sz w:val="32"/>
          <w:szCs w:val="32"/>
        </w:rPr>
        <w:t>电力输送大通道</w:t>
      </w:r>
      <w:r>
        <w:rPr>
          <w:rFonts w:hint="eastAsia" w:ascii="仿宋_GB2312" w:hAnsi="仿宋_GB2312" w:eastAsia="仿宋_GB2312" w:cs="仿宋_GB2312"/>
          <w:snapToGrid w:val="0"/>
          <w:color w:val="000000"/>
          <w:kern w:val="0"/>
          <w:sz w:val="32"/>
          <w:szCs w:val="32"/>
        </w:rPr>
        <w:t>，加强配电网升级改造，</w:t>
      </w:r>
      <w:r>
        <w:rPr>
          <w:rFonts w:hint="eastAsia" w:eastAsia="仿宋_GB2312"/>
          <w:snapToGrid w:val="0"/>
          <w:color w:val="000000"/>
          <w:kern w:val="0"/>
          <w:sz w:val="32"/>
          <w:szCs w:val="32"/>
        </w:rPr>
        <w:t>形成满足内需、推进外送、方式灵活的坚强网架结构，全面提升电网</w:t>
      </w:r>
      <w:r>
        <w:rPr>
          <w:rFonts w:hint="eastAsia" w:ascii="仿宋_GB2312" w:eastAsia="仿宋_GB2312"/>
          <w:snapToGrid w:val="0"/>
          <w:color w:val="000000"/>
          <w:kern w:val="0"/>
          <w:sz w:val="32"/>
          <w:szCs w:val="32"/>
        </w:rPr>
        <w:t>的安全性、可靠性、灵活性。做好环境保障，配合完成酒泉-湖南800千</w:t>
      </w:r>
      <w:r>
        <w:rPr>
          <w:rFonts w:hint="eastAsia" w:eastAsia="仿宋_GB2312"/>
          <w:snapToGrid w:val="0"/>
          <w:color w:val="000000"/>
          <w:kern w:val="0"/>
          <w:sz w:val="32"/>
          <w:szCs w:val="32"/>
        </w:rPr>
        <w:t>伏特高压直流输电工程。</w:t>
      </w:r>
      <w:r>
        <w:rPr>
          <w:rFonts w:hint="eastAsia" w:ascii="仿宋_GB2312" w:hAnsi="仿宋_GB2312" w:eastAsia="仿宋_GB2312" w:cs="仿宋_GB2312"/>
          <w:snapToGrid w:val="0"/>
          <w:color w:val="000000"/>
          <w:kern w:val="0"/>
          <w:sz w:val="32"/>
          <w:szCs w:val="32"/>
        </w:rPr>
        <w:t>加快推进330千伏主网架建设，增强电力外送能力。</w:t>
      </w:r>
      <w:r>
        <w:rPr>
          <w:rFonts w:hint="eastAsia" w:eastAsia="仿宋_GB2312"/>
          <w:snapToGrid w:val="0"/>
          <w:color w:val="000000"/>
          <w:kern w:val="0"/>
          <w:sz w:val="32"/>
          <w:szCs w:val="32"/>
        </w:rPr>
        <w:t>跟进县城、重点镇和产业园区发展，适时增加变压器容量、变电站布点和线路，解决局部供电能力不足问题。加大配电线路、配电台区和低压进户线改造力度，全面解决户均供电容量低、安全隐患多等问题。</w:t>
      </w:r>
      <w:r>
        <w:rPr>
          <w:rFonts w:hint="eastAsia" w:eastAsia="仿宋_GB2312"/>
          <w:snapToGrid w:val="0"/>
          <w:color w:val="000000"/>
          <w:kern w:val="0"/>
          <w:sz w:val="32"/>
          <w:szCs w:val="32"/>
          <w:lang w:eastAsia="zh-CN"/>
        </w:rPr>
        <w:t>加强</w:t>
      </w:r>
      <w:r>
        <w:rPr>
          <w:rFonts w:hint="eastAsia" w:eastAsia="仿宋_GB2312"/>
          <w:snapToGrid w:val="0"/>
          <w:color w:val="000000"/>
          <w:kern w:val="0"/>
          <w:sz w:val="32"/>
          <w:szCs w:val="32"/>
        </w:rPr>
        <w:t>新一轮农村电网改造升级</w:t>
      </w:r>
      <w:r>
        <w:rPr>
          <w:rFonts w:hint="eastAsia" w:eastAsia="仿宋_GB2312"/>
          <w:snapToGrid w:val="0"/>
          <w:color w:val="000000"/>
          <w:kern w:val="0"/>
          <w:sz w:val="32"/>
          <w:szCs w:val="32"/>
          <w:lang w:eastAsia="zh-CN"/>
        </w:rPr>
        <w:t>，</w:t>
      </w:r>
      <w:r>
        <w:rPr>
          <w:rFonts w:hint="eastAsia" w:eastAsia="仿宋_GB2312"/>
          <w:snapToGrid w:val="0"/>
          <w:color w:val="000000"/>
          <w:kern w:val="0"/>
          <w:sz w:val="32"/>
          <w:szCs w:val="32"/>
        </w:rPr>
        <w:t>大力推进新农村电气化建设，针对季节性负荷和农业生产特点，多措并举保障农村生产生活供电。强化电力需求侧管理，满足新能源、分布式电源并网和电动汽车等多元负荷接入需求。</w:t>
      </w:r>
    </w:p>
    <w:p>
      <w:pPr>
        <w:spacing w:line="560" w:lineRule="exact"/>
        <w:jc w:val="center"/>
        <w:rPr>
          <w:rFonts w:hint="eastAsia" w:ascii="黑体" w:hAnsi="黑体" w:eastAsia="黑体" w:cs="黑体"/>
          <w:bCs/>
          <w:color w:val="000000"/>
          <w:sz w:val="28"/>
          <w:szCs w:val="56"/>
        </w:rPr>
      </w:pPr>
      <w:r>
        <w:rPr>
          <w:rFonts w:hint="eastAsia" w:ascii="黑体" w:hAnsi="黑体" w:eastAsia="黑体" w:cs="黑体"/>
          <w:bCs/>
          <w:color w:val="000000"/>
          <w:sz w:val="28"/>
          <w:szCs w:val="56"/>
        </w:rPr>
        <w:t>专栏12</w:t>
      </w:r>
      <w:r>
        <w:rPr>
          <w:rFonts w:hint="eastAsia" w:ascii="黑体" w:hAnsi="黑体" w:eastAsia="黑体" w:cs="黑体"/>
          <w:bCs/>
          <w:color w:val="000000"/>
          <w:sz w:val="28"/>
          <w:szCs w:val="56"/>
          <w:lang w:val="en-US" w:eastAsia="zh-CN"/>
        </w:rPr>
        <w:t xml:space="preserve">  坚强智能</w:t>
      </w:r>
      <w:r>
        <w:rPr>
          <w:rFonts w:hint="eastAsia" w:ascii="黑体" w:hAnsi="黑体" w:eastAsia="黑体" w:cs="黑体"/>
          <w:bCs/>
          <w:color w:val="000000"/>
          <w:sz w:val="28"/>
          <w:szCs w:val="56"/>
        </w:rPr>
        <w:t>电网建设工程</w:t>
      </w:r>
    </w:p>
    <w:tbl>
      <w:tblPr>
        <w:tblStyle w:val="2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021" w:hRule="atLeast"/>
        </w:trPr>
        <w:tc>
          <w:tcPr>
            <w:tcW w:w="8727"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82" w:firstLineChars="200"/>
              <w:jc w:val="left"/>
              <w:textAlignment w:val="auto"/>
              <w:outlineLvl w:val="9"/>
              <w:rPr>
                <w:rFonts w:hint="eastAsia" w:ascii="宋体" w:hAnsi="宋体" w:eastAsia="宋体" w:cs="宋体"/>
                <w:b/>
                <w:bCs/>
                <w:snapToGrid w:val="0"/>
                <w:color w:val="000000"/>
                <w:spacing w:val="0"/>
                <w:sz w:val="24"/>
              </w:rPr>
            </w:pPr>
            <w:r>
              <w:rPr>
                <w:rFonts w:hint="eastAsia" w:ascii="宋体" w:hAnsi="宋体" w:eastAsia="宋体" w:cs="宋体"/>
                <w:b/>
                <w:bCs/>
                <w:snapToGrid w:val="0"/>
                <w:color w:val="000000"/>
                <w:spacing w:val="0"/>
                <w:sz w:val="24"/>
                <w:szCs w:val="21"/>
              </w:rPr>
              <w:t>800千伏特高压直流输电工程：</w:t>
            </w:r>
            <w:r>
              <w:rPr>
                <w:rFonts w:hint="eastAsia" w:ascii="宋体" w:hAnsi="宋体" w:eastAsia="宋体" w:cs="宋体"/>
                <w:bCs/>
                <w:snapToGrid w:val="0"/>
                <w:color w:val="000000"/>
                <w:spacing w:val="0"/>
                <w:sz w:val="24"/>
              </w:rPr>
              <w:t>酒泉-湖南过境电力输送大通道，途经石泉、汉阴、紫阳、汉滨、平利、镇坪</w:t>
            </w:r>
            <w:r>
              <w:rPr>
                <w:rFonts w:hint="eastAsia" w:ascii="宋体" w:hAnsi="宋体" w:eastAsia="宋体" w:cs="宋体"/>
                <w:bCs/>
                <w:snapToGrid w:val="0"/>
                <w:color w:val="000000"/>
                <w:spacing w:val="0"/>
                <w:sz w:val="24"/>
                <w:lang w:val="en-US" w:eastAsia="zh-CN"/>
              </w:rPr>
              <w:t>6县区</w:t>
            </w:r>
            <w:r>
              <w:rPr>
                <w:rFonts w:hint="eastAsia" w:ascii="宋体" w:hAnsi="宋体" w:eastAsia="宋体" w:cs="宋体"/>
                <w:bCs/>
                <w:snapToGrid w:val="0"/>
                <w:color w:val="000000"/>
                <w:spacing w:val="0"/>
                <w:sz w:val="24"/>
              </w:rPr>
              <w:t>。</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82" w:firstLineChars="200"/>
              <w:jc w:val="left"/>
              <w:textAlignment w:val="auto"/>
              <w:outlineLvl w:val="9"/>
              <w:rPr>
                <w:rFonts w:hint="eastAsia" w:ascii="宋体" w:hAnsi="宋体" w:eastAsia="宋体" w:cs="宋体"/>
                <w:bCs/>
                <w:snapToGrid w:val="0"/>
                <w:color w:val="000000"/>
                <w:spacing w:val="0"/>
                <w:sz w:val="24"/>
              </w:rPr>
            </w:pPr>
            <w:r>
              <w:rPr>
                <w:rFonts w:hint="eastAsia" w:ascii="宋体" w:hAnsi="宋体" w:eastAsia="宋体" w:cs="宋体"/>
                <w:b/>
                <w:bCs/>
                <w:snapToGrid w:val="0"/>
                <w:color w:val="000000"/>
                <w:spacing w:val="0"/>
                <w:sz w:val="24"/>
                <w:szCs w:val="21"/>
              </w:rPr>
              <w:t>330千伏主网架工程：</w:t>
            </w:r>
            <w:r>
              <w:rPr>
                <w:rFonts w:hint="eastAsia" w:ascii="宋体" w:hAnsi="宋体" w:eastAsia="宋体" w:cs="宋体"/>
                <w:bCs/>
                <w:snapToGrid w:val="0"/>
                <w:color w:val="000000"/>
                <w:spacing w:val="0"/>
                <w:sz w:val="24"/>
              </w:rPr>
              <w:t>安康水电送出通道香商线路工程，旬阳水电站、安康火电厂送出线路工程</w:t>
            </w:r>
            <w:r>
              <w:rPr>
                <w:rFonts w:hint="eastAsia" w:ascii="宋体" w:hAnsi="宋体" w:eastAsia="宋体" w:cs="宋体"/>
                <w:bCs/>
                <w:snapToGrid w:val="0"/>
                <w:color w:val="000000"/>
                <w:spacing w:val="0"/>
                <w:sz w:val="24"/>
                <w:lang w:eastAsia="zh-CN"/>
              </w:rPr>
              <w:t>，</w:t>
            </w:r>
            <w:r>
              <w:rPr>
                <w:rFonts w:hint="eastAsia" w:ascii="宋体" w:hAnsi="宋体" w:eastAsia="宋体" w:cs="宋体"/>
                <w:bCs/>
                <w:snapToGrid w:val="0"/>
                <w:color w:val="000000"/>
                <w:spacing w:val="0"/>
                <w:sz w:val="24"/>
              </w:rPr>
              <w:t>西成客专铁路东梁牵供电工程</w:t>
            </w:r>
            <w:r>
              <w:rPr>
                <w:rFonts w:hint="eastAsia" w:ascii="宋体" w:hAnsi="宋体" w:eastAsia="宋体" w:cs="宋体"/>
                <w:bCs/>
                <w:snapToGrid w:val="0"/>
                <w:color w:val="000000"/>
                <w:spacing w:val="0"/>
                <w:sz w:val="24"/>
                <w:lang w:eastAsia="zh-CN"/>
              </w:rPr>
              <w:t>，</w:t>
            </w:r>
            <w:r>
              <w:rPr>
                <w:rFonts w:hint="eastAsia" w:ascii="宋体" w:hAnsi="宋体" w:eastAsia="宋体" w:cs="宋体"/>
                <w:bCs/>
                <w:snapToGrid w:val="0"/>
                <w:color w:val="000000"/>
                <w:spacing w:val="0"/>
                <w:sz w:val="24"/>
              </w:rPr>
              <w:t>平利、月河（安康西）、紫阳（安康南）输变电工程，镇安抽蓄至月河变线路工程。</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82" w:firstLineChars="200"/>
              <w:jc w:val="left"/>
              <w:textAlignment w:val="auto"/>
              <w:outlineLvl w:val="9"/>
              <w:rPr>
                <w:rFonts w:hint="eastAsia" w:ascii="宋体" w:hAnsi="宋体" w:eastAsia="宋体" w:cs="宋体"/>
                <w:bCs/>
                <w:snapToGrid w:val="0"/>
                <w:color w:val="000000"/>
                <w:spacing w:val="0"/>
                <w:sz w:val="24"/>
                <w:szCs w:val="21"/>
              </w:rPr>
            </w:pPr>
            <w:r>
              <w:rPr>
                <w:rFonts w:hint="eastAsia" w:ascii="宋体" w:hAnsi="宋体" w:eastAsia="宋体" w:cs="宋体"/>
                <w:b/>
                <w:bCs/>
                <w:snapToGrid w:val="0"/>
                <w:color w:val="000000"/>
                <w:spacing w:val="0"/>
                <w:sz w:val="24"/>
                <w:szCs w:val="21"/>
              </w:rPr>
              <w:t>110千伏网架工程：</w:t>
            </w:r>
            <w:r>
              <w:rPr>
                <w:rFonts w:hint="eastAsia" w:ascii="宋体" w:hAnsi="宋体" w:eastAsia="宋体" w:cs="宋体"/>
                <w:bCs/>
                <w:snapToGrid w:val="0"/>
                <w:color w:val="000000"/>
                <w:spacing w:val="0"/>
                <w:sz w:val="24"/>
              </w:rPr>
              <w:t>平利、紫阳、关庙变电站增容扩建工程；高新、大同、吕河、滨江、高新2（</w:t>
            </w:r>
            <w:r>
              <w:rPr>
                <w:rFonts w:hint="eastAsia" w:ascii="宋体" w:hAnsi="宋体" w:eastAsia="宋体" w:cs="宋体"/>
                <w:bCs/>
                <w:snapToGrid w:val="0"/>
                <w:color w:val="000000"/>
                <w:spacing w:val="0"/>
                <w:sz w:val="24"/>
                <w:lang w:eastAsia="zh-CN"/>
              </w:rPr>
              <w:t>付</w:t>
            </w:r>
            <w:r>
              <w:rPr>
                <w:rFonts w:hint="eastAsia" w:ascii="宋体" w:hAnsi="宋体" w:eastAsia="宋体" w:cs="宋体"/>
                <w:bCs/>
                <w:snapToGrid w:val="0"/>
                <w:color w:val="000000"/>
                <w:spacing w:val="0"/>
                <w:sz w:val="24"/>
              </w:rPr>
              <w:t>家河）、中心、五里2、凤凰输变电工程；平利330千伏变电站110千伏送出工程、月河330千伏变电站110千伏送出工程，岚皋第二回电源线路工程、平古线改造工程、国心第二回电源线路工程。</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left"/>
              <w:textAlignment w:val="auto"/>
              <w:outlineLvl w:val="9"/>
              <w:rPr>
                <w:rFonts w:hint="eastAsia" w:ascii="黑体" w:hAnsi="黑体" w:eastAsia="黑体" w:cs="黑体"/>
                <w:bCs/>
                <w:color w:val="000000"/>
                <w:sz w:val="28"/>
                <w:szCs w:val="56"/>
                <w:vertAlign w:val="baseline"/>
              </w:rPr>
            </w:pPr>
            <w:r>
              <w:rPr>
                <w:rFonts w:hint="eastAsia" w:ascii="宋体" w:hAnsi="宋体" w:eastAsia="宋体" w:cs="宋体"/>
                <w:b/>
                <w:bCs/>
                <w:snapToGrid w:val="0"/>
                <w:color w:val="000000"/>
                <w:spacing w:val="0"/>
                <w:sz w:val="24"/>
                <w:szCs w:val="21"/>
                <w:lang w:val="en-US" w:eastAsia="zh-CN"/>
              </w:rPr>
              <w:t xml:space="preserve">    </w:t>
            </w:r>
            <w:r>
              <w:rPr>
                <w:rFonts w:hint="eastAsia" w:ascii="宋体" w:hAnsi="宋体" w:eastAsia="宋体" w:cs="宋体"/>
                <w:b/>
                <w:bCs/>
                <w:snapToGrid w:val="0"/>
                <w:color w:val="000000"/>
                <w:spacing w:val="0"/>
                <w:sz w:val="24"/>
                <w:szCs w:val="21"/>
              </w:rPr>
              <w:t>35千伏网架工程：</w:t>
            </w:r>
            <w:r>
              <w:rPr>
                <w:rFonts w:hint="eastAsia" w:ascii="宋体" w:hAnsi="宋体" w:eastAsia="宋体" w:cs="宋体"/>
                <w:bCs/>
                <w:snapToGrid w:val="0"/>
                <w:color w:val="000000"/>
                <w:spacing w:val="0"/>
                <w:sz w:val="24"/>
                <w:szCs w:val="21"/>
              </w:rPr>
              <w:t>西营-冷水线路工程、吕河110千伏变电站35千伏送出工程</w:t>
            </w:r>
            <w:r>
              <w:rPr>
                <w:rFonts w:hint="eastAsia" w:ascii="宋体" w:hAnsi="宋体" w:eastAsia="宋体" w:cs="宋体"/>
                <w:bCs/>
                <w:snapToGrid w:val="0"/>
                <w:color w:val="000000"/>
                <w:spacing w:val="0"/>
                <w:sz w:val="24"/>
                <w:szCs w:val="21"/>
                <w:lang w:eastAsia="zh-CN"/>
              </w:rPr>
              <w:t>，</w:t>
            </w:r>
            <w:r>
              <w:rPr>
                <w:rFonts w:hint="eastAsia" w:ascii="宋体" w:hAnsi="宋体" w:eastAsia="宋体" w:cs="宋体"/>
                <w:bCs/>
                <w:snapToGrid w:val="0"/>
                <w:color w:val="000000"/>
                <w:spacing w:val="0"/>
                <w:sz w:val="24"/>
                <w:szCs w:val="21"/>
              </w:rPr>
              <w:t>双河、茨沟、大河变电站扩建工程</w:t>
            </w:r>
            <w:r>
              <w:rPr>
                <w:rFonts w:hint="eastAsia" w:ascii="宋体" w:hAnsi="宋体" w:eastAsia="宋体" w:cs="宋体"/>
                <w:bCs/>
                <w:snapToGrid w:val="0"/>
                <w:color w:val="000000"/>
                <w:spacing w:val="0"/>
                <w:sz w:val="24"/>
                <w:szCs w:val="21"/>
                <w:lang w:eastAsia="zh-CN"/>
              </w:rPr>
              <w:t>，</w:t>
            </w:r>
            <w:r>
              <w:rPr>
                <w:rFonts w:hint="eastAsia" w:ascii="宋体" w:hAnsi="宋体" w:eastAsia="宋体" w:cs="宋体"/>
                <w:bCs/>
                <w:snapToGrid w:val="0"/>
                <w:color w:val="000000"/>
                <w:spacing w:val="0"/>
                <w:sz w:val="24"/>
                <w:szCs w:val="21"/>
              </w:rPr>
              <w:t>宋家、田坝、迎风输变电工程。</w:t>
            </w:r>
          </w:p>
        </w:tc>
      </w:tr>
    </w:tbl>
    <w:p>
      <w:pPr>
        <w:spacing w:line="560" w:lineRule="exact"/>
        <w:jc w:val="center"/>
        <w:rPr>
          <w:rFonts w:hint="eastAsia" w:ascii="黑体" w:hAnsi="黑体" w:eastAsia="黑体" w:cs="黑体"/>
          <w:bCs/>
          <w:color w:val="000000"/>
          <w:sz w:val="28"/>
          <w:szCs w:val="56"/>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1"/>
        <w:rPr>
          <w:rFonts w:hint="eastAsia" w:eastAsia="黑体"/>
          <w:bCs/>
          <w:snapToGrid w:val="0"/>
          <w:color w:val="000000"/>
          <w:spacing w:val="6"/>
          <w:kern w:val="0"/>
          <w:sz w:val="32"/>
          <w:szCs w:val="32"/>
        </w:rPr>
      </w:pPr>
      <w:bookmarkStart w:id="35" w:name="_Toc25527"/>
      <w:bookmarkStart w:id="36" w:name="_Toc436739628"/>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1"/>
        <w:rPr>
          <w:rFonts w:eastAsia="黑体"/>
          <w:bCs/>
          <w:snapToGrid w:val="0"/>
          <w:color w:val="000000"/>
          <w:spacing w:val="6"/>
          <w:kern w:val="0"/>
          <w:sz w:val="32"/>
          <w:szCs w:val="32"/>
        </w:rPr>
      </w:pPr>
      <w:r>
        <w:rPr>
          <w:rFonts w:hint="eastAsia" w:eastAsia="黑体"/>
          <w:bCs/>
          <w:snapToGrid w:val="0"/>
          <w:color w:val="000000"/>
          <w:spacing w:val="6"/>
          <w:kern w:val="0"/>
          <w:sz w:val="32"/>
          <w:szCs w:val="32"/>
        </w:rPr>
        <w:t>第二十一节</w:t>
      </w:r>
      <w:bookmarkEnd w:id="35"/>
      <w:bookmarkEnd w:id="36"/>
      <w:r>
        <w:rPr>
          <w:rFonts w:hint="eastAsia" w:eastAsia="黑体"/>
          <w:bCs/>
          <w:snapToGrid w:val="0"/>
          <w:color w:val="000000"/>
          <w:spacing w:val="6"/>
          <w:kern w:val="0"/>
          <w:sz w:val="32"/>
          <w:szCs w:val="32"/>
          <w:lang w:val="en-US" w:eastAsia="zh-CN"/>
        </w:rPr>
        <w:t xml:space="preserve">  </w:t>
      </w:r>
      <w:r>
        <w:rPr>
          <w:rFonts w:hint="eastAsia" w:eastAsia="黑体"/>
          <w:bCs/>
          <w:snapToGrid w:val="0"/>
          <w:color w:val="000000"/>
          <w:spacing w:val="6"/>
          <w:kern w:val="0"/>
          <w:sz w:val="32"/>
          <w:szCs w:val="32"/>
        </w:rPr>
        <w:t>完善信息基础设施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eastAsia="仿宋_GB2312"/>
          <w:color w:val="000000"/>
          <w:sz w:val="32"/>
          <w:szCs w:val="32"/>
        </w:rPr>
      </w:pPr>
      <w:r>
        <w:rPr>
          <w:rFonts w:hint="eastAsia" w:eastAsia="仿宋_GB2312"/>
          <w:color w:val="000000"/>
          <w:sz w:val="32"/>
          <w:szCs w:val="32"/>
          <w:lang w:eastAsia="zh-CN"/>
        </w:rPr>
        <w:t>加快信息基础设施建设。</w:t>
      </w:r>
      <w:r>
        <w:rPr>
          <w:rFonts w:hint="eastAsia" w:eastAsia="仿宋_GB2312"/>
          <w:color w:val="000000"/>
          <w:sz w:val="32"/>
          <w:szCs w:val="32"/>
        </w:rPr>
        <w:t>顺应信息化趋势，加快建设宽带、融合、安全、泛在的新一代信息基础设施，提升信息化水平。加强光纤接入和第四代移动通信网络建设，积极推进“光进铜退”“宽带提速”、行政村通宽带工程，加快实施城域网扁平化改造和光纤入户工程。全面推广电信网、计算机网和有线电视网“三网融合”，继续推进下一代互联网和广播电视网建设。加大景区、公园、车站、广场等重点区域无线网络覆盖。加大物联网技术在产业发展、城市建设</w:t>
      </w:r>
      <w:r>
        <w:rPr>
          <w:rFonts w:hint="eastAsia" w:eastAsia="仿宋_GB2312"/>
          <w:color w:val="000000"/>
          <w:sz w:val="32"/>
          <w:szCs w:val="32"/>
          <w:lang w:eastAsia="zh-CN"/>
        </w:rPr>
        <w:t>、环境保护</w:t>
      </w:r>
      <w:r>
        <w:rPr>
          <w:rFonts w:hint="eastAsia" w:eastAsia="仿宋_GB2312"/>
          <w:color w:val="000000"/>
          <w:sz w:val="32"/>
          <w:szCs w:val="32"/>
        </w:rPr>
        <w:t>、国土资源、江河湖泊等领域应用力度，形成遍布全市的基础设施物联网络。</w:t>
      </w:r>
      <w:r>
        <w:rPr>
          <w:rFonts w:hint="eastAsia" w:ascii="仿宋_GB2312" w:hAnsi="仿宋_GB2312" w:eastAsia="仿宋_GB2312" w:cs="仿宋_GB2312"/>
          <w:color w:val="000000"/>
          <w:sz w:val="32"/>
          <w:szCs w:val="32"/>
        </w:rPr>
        <w:t>到</w:t>
      </w:r>
      <w:r>
        <w:rPr>
          <w:rFonts w:ascii="仿宋_GB2312" w:hAnsi="仿宋_GB2312" w:eastAsia="仿宋_GB2312" w:cs="仿宋_GB2312"/>
          <w:color w:val="000000"/>
          <w:sz w:val="32"/>
          <w:szCs w:val="32"/>
        </w:rPr>
        <w:t>2020</w:t>
      </w:r>
      <w:r>
        <w:rPr>
          <w:rFonts w:hint="eastAsia" w:ascii="仿宋_GB2312" w:hAnsi="仿宋_GB2312" w:eastAsia="仿宋_GB2312" w:cs="仿宋_GB2312"/>
          <w:color w:val="000000"/>
          <w:sz w:val="32"/>
          <w:szCs w:val="32"/>
        </w:rPr>
        <w:t>年底，</w:t>
      </w:r>
      <w:r>
        <w:rPr>
          <w:rFonts w:hint="eastAsia" w:eastAsia="仿宋_GB2312"/>
          <w:color w:val="000000"/>
          <w:sz w:val="32"/>
          <w:szCs w:val="32"/>
        </w:rPr>
        <w:t>基本建成覆盖城乡、服务便捷、高速顺畅、技术先进的宽带信息基础网络。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eastAsia="仿宋_GB2312"/>
          <w:color w:val="000000"/>
          <w:sz w:val="32"/>
          <w:szCs w:val="32"/>
        </w:rPr>
      </w:pPr>
      <w:bookmarkStart w:id="37" w:name="_Toc703"/>
      <w:bookmarkStart w:id="38" w:name="_Toc1829"/>
      <w:r>
        <w:rPr>
          <w:rFonts w:hint="eastAsia" w:eastAsia="仿宋_GB2312"/>
          <w:color w:val="000000"/>
          <w:sz w:val="32"/>
          <w:szCs w:val="32"/>
        </w:rPr>
        <w:t>推进</w:t>
      </w:r>
      <w:r>
        <w:rPr>
          <w:rFonts w:hint="eastAsia" w:eastAsia="仿宋_GB2312"/>
          <w:color w:val="000000"/>
          <w:sz w:val="32"/>
          <w:szCs w:val="32"/>
          <w:lang w:eastAsia="zh-CN"/>
        </w:rPr>
        <w:t>“</w:t>
      </w:r>
      <w:r>
        <w:rPr>
          <w:rFonts w:hint="eastAsia" w:eastAsia="仿宋_GB2312"/>
          <w:color w:val="000000"/>
          <w:sz w:val="32"/>
          <w:szCs w:val="32"/>
        </w:rPr>
        <w:t>智慧</w:t>
      </w:r>
      <w:r>
        <w:rPr>
          <w:rFonts w:hint="eastAsia" w:eastAsia="仿宋_GB2312"/>
          <w:color w:val="000000"/>
          <w:sz w:val="32"/>
          <w:szCs w:val="32"/>
          <w:lang w:eastAsia="zh-CN"/>
        </w:rPr>
        <w:t>安康”</w:t>
      </w:r>
      <w:r>
        <w:rPr>
          <w:rFonts w:hint="eastAsia" w:eastAsia="仿宋_GB2312"/>
          <w:color w:val="000000"/>
          <w:sz w:val="32"/>
          <w:szCs w:val="32"/>
        </w:rPr>
        <w:t>建设</w:t>
      </w:r>
      <w:bookmarkEnd w:id="37"/>
      <w:bookmarkEnd w:id="38"/>
      <w:r>
        <w:rPr>
          <w:rFonts w:hint="eastAsia" w:eastAsia="仿宋_GB2312"/>
          <w:color w:val="000000"/>
          <w:sz w:val="32"/>
          <w:szCs w:val="32"/>
        </w:rPr>
        <w:t>。实施智能电网、交通、物流、医疗、教育等工程，支持公用设备设施智能化升级。建设数字（智慧）城市管理信息系统，应用宽带网络技术、视频技术和空间地理信息系统</w:t>
      </w:r>
      <w:r>
        <w:rPr>
          <w:rFonts w:hint="eastAsia" w:ascii="仿宋_GB2312" w:hAnsi="仿宋_GB2312" w:eastAsia="仿宋_GB2312" w:cs="仿宋_GB2312"/>
          <w:color w:val="000000"/>
          <w:sz w:val="32"/>
          <w:szCs w:val="32"/>
        </w:rPr>
        <w:t>（GIS）</w:t>
      </w:r>
      <w:r>
        <w:rPr>
          <w:rFonts w:hint="eastAsia" w:eastAsia="仿宋_GB2312"/>
          <w:color w:val="000000"/>
          <w:sz w:val="32"/>
          <w:szCs w:val="32"/>
        </w:rPr>
        <w:t>远程监控和调度指挥城市治安、交通管理、城市维修、城市卫生、市场管理、公共场所管理；建设智慧应急防灾系统，进一步增强应对突发及灾害性事件的能力。建设社会管理综合信息系统网络平台、政务服务系统、信用信息系统，推行一网通、一卡通、一点通、一格通、一站通、一号通“六个一”工程，建设“智慧安康”，共享智慧生活。</w:t>
      </w:r>
    </w:p>
    <w:bookmarkEnd w:id="28"/>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简体" w:eastAsia="方正小标宋简体"/>
          <w:color w:val="000000"/>
          <w:sz w:val="36"/>
          <w:szCs w:val="36"/>
        </w:rPr>
      </w:pPr>
      <w:bookmarkStart w:id="39" w:name="_Toc20356"/>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简体" w:eastAsia="方正小标宋简体"/>
          <w:color w:val="000000"/>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简体" w:eastAsia="方正小标宋简体"/>
          <w:color w:val="000000"/>
          <w:sz w:val="36"/>
          <w:szCs w:val="36"/>
        </w:rPr>
      </w:pPr>
      <w:r>
        <w:rPr>
          <w:rFonts w:hint="eastAsia" w:ascii="方正小标宋简体" w:eastAsia="方正小标宋简体"/>
          <w:color w:val="000000"/>
          <w:sz w:val="36"/>
          <w:szCs w:val="36"/>
        </w:rPr>
        <w:t>第六章</w:t>
      </w:r>
      <w:r>
        <w:rPr>
          <w:rFonts w:hint="eastAsia" w:ascii="方正小标宋简体" w:eastAsia="方正小标宋简体"/>
          <w:color w:val="000000"/>
          <w:sz w:val="36"/>
          <w:szCs w:val="36"/>
          <w:lang w:val="en-US" w:eastAsia="zh-CN"/>
        </w:rPr>
        <w:t xml:space="preserve">  </w:t>
      </w:r>
      <w:r>
        <w:rPr>
          <w:rFonts w:hint="eastAsia" w:ascii="方正小标宋简体" w:eastAsia="方正小标宋简体"/>
          <w:color w:val="000000"/>
          <w:sz w:val="36"/>
          <w:szCs w:val="36"/>
        </w:rPr>
        <w:t>产城融合　着力打造“秦巴明珠”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color w:val="000000"/>
          <w:kern w:val="0"/>
          <w:sz w:val="32"/>
          <w:szCs w:val="32"/>
        </w:rPr>
      </w:pPr>
      <w:r>
        <w:rPr>
          <w:rFonts w:hint="eastAsia" w:ascii="仿宋_GB2312" w:eastAsia="仿宋_GB2312"/>
          <w:color w:val="000000"/>
          <w:kern w:val="0"/>
          <w:sz w:val="32"/>
          <w:szCs w:val="32"/>
        </w:rPr>
        <w:t>坚持以人为核心的新型城镇化，把建设“秦巴明珠”作为长期战略，做靓中心城市、做美县城、做优集镇、做好新型社区，走出一条以人为本、产城融合、资源集约、生态优美的安康特色新型城镇化</w:t>
      </w:r>
      <w:r>
        <w:rPr>
          <w:rFonts w:hint="eastAsia" w:ascii="仿宋_GB2312" w:eastAsia="仿宋_GB2312"/>
          <w:color w:val="000000"/>
          <w:kern w:val="0"/>
          <w:sz w:val="32"/>
          <w:szCs w:val="32"/>
          <w:lang w:eastAsia="zh-CN"/>
        </w:rPr>
        <w:t>路子。</w:t>
      </w:r>
      <w:r>
        <w:rPr>
          <w:rFonts w:hint="eastAsia" w:ascii="仿宋_GB2312" w:eastAsia="仿宋_GB2312"/>
          <w:color w:val="000000"/>
          <w:kern w:val="0"/>
          <w:sz w:val="32"/>
          <w:szCs w:val="32"/>
        </w:rPr>
        <w:t>突出中心城市辐射带动作用，推动月河川道城镇带及县城、重点镇协调发展，构建“一心一带、七城多点”的新型城镇化战略格局。以城镇棚户区改造、片区综合开发、完善服务功能为重点提升城市品质内涵，提高城市综合承载能力和可持续发展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ascii="黑体" w:eastAsia="黑体"/>
          <w:color w:val="000000"/>
          <w:spacing w:val="6"/>
          <w:kern w:val="0"/>
          <w:sz w:val="32"/>
          <w:szCs w:val="32"/>
        </w:rPr>
      </w:pPr>
      <w:r>
        <w:rPr>
          <w:rFonts w:hint="eastAsia" w:ascii="黑体" w:eastAsia="黑体"/>
          <w:color w:val="000000"/>
          <w:spacing w:val="6"/>
          <w:kern w:val="0"/>
          <w:sz w:val="32"/>
          <w:szCs w:val="32"/>
        </w:rPr>
        <w:t>第二十二节</w:t>
      </w:r>
      <w:r>
        <w:rPr>
          <w:rFonts w:hint="eastAsia" w:ascii="黑体" w:eastAsia="黑体"/>
          <w:color w:val="000000"/>
          <w:spacing w:val="6"/>
          <w:kern w:val="0"/>
          <w:sz w:val="32"/>
          <w:szCs w:val="32"/>
          <w:lang w:val="en-US" w:eastAsia="zh-CN"/>
        </w:rPr>
        <w:t xml:space="preserve">  </w:t>
      </w:r>
      <w:r>
        <w:rPr>
          <w:rFonts w:hint="eastAsia" w:ascii="黑体" w:eastAsia="黑体"/>
          <w:color w:val="000000"/>
          <w:spacing w:val="6"/>
          <w:kern w:val="0"/>
          <w:sz w:val="32"/>
          <w:szCs w:val="32"/>
        </w:rPr>
        <w:t>建设生态宜居品质</w:t>
      </w:r>
      <w:r>
        <w:rPr>
          <w:rFonts w:hint="eastAsia" w:ascii="黑体" w:eastAsia="黑体"/>
          <w:color w:val="000000"/>
          <w:spacing w:val="6"/>
          <w:kern w:val="0"/>
          <w:sz w:val="32"/>
          <w:szCs w:val="32"/>
          <w:lang w:eastAsia="zh-CN"/>
        </w:rPr>
        <w:t>城市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color w:val="000000"/>
          <w:kern w:val="0"/>
          <w:sz w:val="32"/>
          <w:szCs w:val="32"/>
        </w:rPr>
      </w:pPr>
      <w:r>
        <w:rPr>
          <w:rFonts w:hint="eastAsia" w:ascii="仿宋_GB2312" w:eastAsia="仿宋_GB2312"/>
          <w:color w:val="000000"/>
          <w:kern w:val="0"/>
          <w:sz w:val="32"/>
          <w:szCs w:val="32"/>
        </w:rPr>
        <w:t>以建设区域中心城市和生态宜居品质</w:t>
      </w:r>
      <w:r>
        <w:rPr>
          <w:rFonts w:hint="eastAsia" w:ascii="仿宋_GB2312" w:eastAsia="仿宋_GB2312"/>
          <w:color w:val="000000"/>
          <w:kern w:val="0"/>
          <w:sz w:val="32"/>
          <w:szCs w:val="32"/>
          <w:lang w:eastAsia="zh-CN"/>
        </w:rPr>
        <w:t>城市</w:t>
      </w:r>
      <w:r>
        <w:rPr>
          <w:rFonts w:hint="eastAsia" w:ascii="仿宋_GB2312" w:eastAsia="仿宋_GB2312"/>
          <w:color w:val="000000"/>
          <w:kern w:val="0"/>
          <w:sz w:val="32"/>
          <w:szCs w:val="32"/>
        </w:rPr>
        <w:t>为目标，突出核心、重心北移、提升江南，坚持湖城一体、产城融合，不断优化功能结构、强化产业支撑、美化城市环境、彰显文化魅力，把中心城市建设成为秦巴腹地的</w:t>
      </w:r>
      <w:r>
        <w:rPr>
          <w:rFonts w:hint="eastAsia" w:ascii="仿宋_GB2312" w:eastAsia="仿宋_GB2312"/>
          <w:color w:val="000000"/>
          <w:kern w:val="0"/>
          <w:sz w:val="32"/>
          <w:szCs w:val="32"/>
          <w:lang w:eastAsia="zh-CN"/>
        </w:rPr>
        <w:t>“</w:t>
      </w:r>
      <w:r>
        <w:rPr>
          <w:rFonts w:hint="eastAsia" w:ascii="仿宋_GB2312" w:eastAsia="仿宋_GB2312"/>
          <w:color w:val="000000"/>
          <w:kern w:val="0"/>
          <w:sz w:val="32"/>
          <w:szCs w:val="32"/>
        </w:rPr>
        <w:t>璀璨明珠</w:t>
      </w:r>
      <w:r>
        <w:rPr>
          <w:rFonts w:hint="eastAsia" w:ascii="仿宋_GB2312" w:eastAsia="仿宋_GB2312"/>
          <w:color w:val="000000"/>
          <w:kern w:val="0"/>
          <w:sz w:val="32"/>
          <w:szCs w:val="32"/>
          <w:lang w:eastAsia="zh-CN"/>
        </w:rPr>
        <w:t>”</w:t>
      </w:r>
      <w:r>
        <w:rPr>
          <w:rFonts w:hint="eastAsia" w:ascii="仿宋_GB2312" w:eastAsia="仿宋_GB2312"/>
          <w:color w:val="000000"/>
          <w:kern w:val="0"/>
          <w:sz w:val="32"/>
          <w:szCs w:val="32"/>
        </w:rPr>
        <w:t>。到2020年建成区面积50平方公里，人口规模50万人，人均道路面积14平方米，绿地率45%，人均公园绿地面积12.7平方米，绿化覆盖率53%，</w:t>
      </w:r>
      <w:r>
        <w:rPr>
          <w:rFonts w:hint="eastAsia" w:ascii="仿宋_GB2312" w:eastAsia="仿宋_GB2312"/>
          <w:color w:val="000000"/>
          <w:kern w:val="0"/>
          <w:sz w:val="32"/>
          <w:szCs w:val="32"/>
          <w:lang w:eastAsia="zh-CN"/>
        </w:rPr>
        <w:t>成功</w:t>
      </w:r>
      <w:r>
        <w:rPr>
          <w:rFonts w:hint="eastAsia" w:ascii="仿宋_GB2312" w:eastAsia="仿宋_GB2312"/>
          <w:color w:val="000000"/>
          <w:kern w:val="0"/>
          <w:sz w:val="32"/>
          <w:szCs w:val="32"/>
        </w:rPr>
        <w:t>创建国家森林城市、</w:t>
      </w:r>
      <w:r>
        <w:rPr>
          <w:rFonts w:hint="eastAsia" w:ascii="仿宋_GB2312" w:eastAsia="仿宋_GB2312"/>
          <w:color w:val="000000"/>
          <w:kern w:val="0"/>
          <w:sz w:val="32"/>
          <w:szCs w:val="32"/>
          <w:lang w:eastAsia="zh-CN"/>
        </w:rPr>
        <w:t>国家</w:t>
      </w:r>
      <w:r>
        <w:rPr>
          <w:rFonts w:hint="eastAsia" w:ascii="仿宋_GB2312" w:eastAsia="仿宋_GB2312"/>
          <w:color w:val="000000"/>
          <w:kern w:val="0"/>
          <w:sz w:val="32"/>
          <w:szCs w:val="32"/>
        </w:rPr>
        <w:t>园林城市和省级文明城市、环保模范城市。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按照“一江两岸、一心多区、山水环绕、桥道贯通”的城市空间布局，加快中心城市重大功能板块建设，推动老城新城、主城辅城、江南江北联动发展。突出核心，以汉江为景观轴，实施滨江大道、黄沟片区、月河口、江滩公园、黄洋河公园景观建设以及城市外围山水绿化，城区特色街区、标志性建筑及周边山体亮化工程，配套建设景观照明、道路、观光步道、慢行道等市政设施，打造“一江两岸、环江50里”休闲旅游观光带，建设展示生态旅游、城市魅力和安康地域特色文化的窗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统筹考虑江南环境综合承载能力，严格控制开发强度，疏解老城功能和建筑密度，完善基础设施及公共服务设施，提升江南综合服务功能。加强滨江亲水休闲设施建设，建成高端服务业集聚区、文化体育中心和滨江宜居城区。坚持因地制宜、彰显特色，实施棚户区和危房改造、老旧住宅小区综合整治，加快推进东关、西关、新城等历史街区保护性开发，保护历史风貌和空间格局。高品质推进东坝、西坝、东南、西南片区综合开发，建成城东汉江大桥及滨江大道。以安康高新区为重点，加快路网、照明、绿化、综合管廊等地上地下基础设施和学校、医院、市场等公共服务配套设施建设，增强承载和辐射带动能力</w:t>
      </w:r>
      <w:r>
        <w:rPr>
          <w:rFonts w:hint="eastAsia" w:ascii="仿宋_GB2312" w:hAnsi="仿宋_GB2312" w:eastAsia="仿宋_GB2312" w:cs="仿宋_GB2312"/>
          <w:color w:val="000000"/>
          <w:kern w:val="0"/>
          <w:sz w:val="32"/>
          <w:szCs w:val="32"/>
          <w:lang w:eastAsia="zh-CN"/>
        </w:rPr>
        <w:t>，适时实施启动机关北迁</w:t>
      </w:r>
      <w:r>
        <w:rPr>
          <w:rFonts w:hint="eastAsia" w:ascii="仿宋_GB2312" w:hAnsi="仿宋_GB2312" w:eastAsia="仿宋_GB2312" w:cs="仿宋_GB2312"/>
          <w:color w:val="000000"/>
          <w:kern w:val="0"/>
          <w:sz w:val="32"/>
          <w:szCs w:val="32"/>
        </w:rPr>
        <w:t>，推动城市重心北移。加快月河生态城建设，打造国家级绿色生态新城及“海绵城市</w:t>
      </w:r>
      <w:r>
        <w:rPr>
          <w:rFonts w:hint="eastAsia" w:ascii="仿宋_GB2312" w:hAnsi="仿宋_GB2312" w:eastAsia="仿宋_GB2312" w:cs="仿宋_GB2312"/>
          <w:color w:val="000000"/>
          <w:kern w:val="0"/>
          <w:sz w:val="32"/>
          <w:szCs w:val="32"/>
          <w:lang w:eastAsia="zh-CN"/>
        </w:rPr>
        <w:t>”示</w:t>
      </w:r>
      <w:r>
        <w:rPr>
          <w:rFonts w:hint="eastAsia" w:ascii="仿宋_GB2312" w:hAnsi="仿宋_GB2312" w:eastAsia="仿宋_GB2312" w:cs="仿宋_GB2312"/>
          <w:color w:val="000000"/>
          <w:kern w:val="0"/>
          <w:sz w:val="32"/>
          <w:szCs w:val="32"/>
        </w:rPr>
        <w:t>范区。有机融合瀛湖旅游开发与中心城区建设，构筑“江湖城一体、山城景交融”的景观生态格局，增强山水园林城市魅力。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按照统一规划、政府引导、市场运作、分步实施原则，加快城市棚户区改造，重点实施东坝、西坝、长春、张岭、黄沟、瀛湖路等13个片区棚户区改造。到2020年，城市棚户区改造7.7万户。依托富强机场谋划建设空港新城，积极发展航空运输服务业、航空物流业等现代临空产业聚集区。</w:t>
      </w:r>
    </w:p>
    <w:p>
      <w:pPr>
        <w:spacing w:line="560" w:lineRule="exact"/>
        <w:jc w:val="center"/>
        <w:outlineLvl w:val="0"/>
        <w:rPr>
          <w:rFonts w:hint="eastAsia" w:ascii="黑体" w:hAnsi="黑体" w:eastAsia="黑体" w:cs="黑体"/>
          <w:color w:val="000000"/>
          <w:sz w:val="28"/>
          <w:szCs w:val="52"/>
        </w:rPr>
      </w:pPr>
      <w:r>
        <w:rPr>
          <w:rFonts w:hint="eastAsia" w:ascii="黑体" w:hAnsi="黑体" w:eastAsia="黑体" w:cs="黑体"/>
          <w:color w:val="000000"/>
          <w:sz w:val="28"/>
          <w:szCs w:val="52"/>
        </w:rPr>
        <w:t>专栏13  </w:t>
      </w:r>
      <w:r>
        <w:rPr>
          <w:rFonts w:hint="eastAsia" w:ascii="黑体" w:hAnsi="黑体" w:eastAsia="黑体" w:cs="黑体"/>
          <w:color w:val="000000"/>
          <w:sz w:val="28"/>
          <w:szCs w:val="52"/>
          <w:lang w:val="en-US" w:eastAsia="zh-CN"/>
        </w:rPr>
        <w:t xml:space="preserve">  </w:t>
      </w:r>
      <w:r>
        <w:rPr>
          <w:rFonts w:hint="eastAsia" w:ascii="黑体" w:hAnsi="黑体" w:eastAsia="黑体" w:cs="黑体"/>
          <w:color w:val="000000"/>
          <w:sz w:val="28"/>
          <w:szCs w:val="52"/>
        </w:rPr>
        <w:t>中心城市建设重点工程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004" w:type="dxa"/>
            <w:noWrap w:val="0"/>
            <w:vAlign w:val="top"/>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480" w:firstLineChars="0"/>
              <w:jc w:val="both"/>
              <w:textAlignment w:val="auto"/>
              <w:outlineLvl w:val="9"/>
              <w:rPr>
                <w:rFonts w:hint="eastAsia" w:ascii="宋体" w:hAnsi="宋体" w:cs="宋体"/>
                <w:color w:val="000000"/>
                <w:kern w:val="0"/>
                <w:sz w:val="24"/>
              </w:rPr>
            </w:pPr>
            <w:r>
              <w:rPr>
                <w:rFonts w:hint="eastAsia" w:ascii="宋体" w:hAnsi="宋体" w:cs="宋体"/>
                <w:b/>
                <w:bCs/>
                <w:color w:val="000000"/>
                <w:kern w:val="0"/>
                <w:sz w:val="24"/>
              </w:rPr>
              <w:t>棚户区改造工程：</w:t>
            </w:r>
            <w:r>
              <w:rPr>
                <w:rFonts w:hint="eastAsia" w:ascii="宋体" w:hAnsi="宋体" w:cs="宋体"/>
                <w:color w:val="000000"/>
                <w:kern w:val="0"/>
                <w:sz w:val="24"/>
                <w:lang w:eastAsia="zh-CN"/>
              </w:rPr>
              <w:t>包括</w:t>
            </w:r>
            <w:r>
              <w:rPr>
                <w:rFonts w:hint="eastAsia" w:ascii="宋体" w:hAnsi="宋体" w:cs="宋体"/>
                <w:color w:val="000000"/>
                <w:kern w:val="0"/>
                <w:sz w:val="24"/>
              </w:rPr>
              <w:t>东坝、西坝、东南、西南、董家沟、长春、张岭、高新区等13个片区棚户区改造项目。</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480" w:firstLineChars="0"/>
              <w:jc w:val="both"/>
              <w:textAlignment w:val="auto"/>
              <w:outlineLvl w:val="9"/>
              <w:rPr>
                <w:rFonts w:hint="eastAsia" w:ascii="宋体" w:hAnsi="宋体" w:cs="宋体"/>
                <w:color w:val="000000"/>
                <w:kern w:val="0"/>
                <w:sz w:val="24"/>
              </w:rPr>
            </w:pPr>
            <w:r>
              <w:rPr>
                <w:rFonts w:hint="eastAsia" w:ascii="宋体" w:hAnsi="宋体" w:cs="宋体"/>
                <w:b/>
                <w:bCs/>
                <w:color w:val="000000"/>
                <w:kern w:val="0"/>
                <w:sz w:val="24"/>
              </w:rPr>
              <w:t>市政路网建设工程：</w:t>
            </w:r>
            <w:r>
              <w:rPr>
                <w:rFonts w:hint="eastAsia" w:ascii="宋体" w:hAnsi="宋体" w:cs="宋体"/>
                <w:color w:val="000000"/>
                <w:kern w:val="0"/>
                <w:sz w:val="24"/>
              </w:rPr>
              <w:t>新建环城干道江北段、长春片区、高新飞地园区、东南片区、东坝片区等90公里路网，改造世纪大道、瀛湖路、育才路等29公里路网。</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480" w:firstLineChars="0"/>
              <w:jc w:val="both"/>
              <w:textAlignment w:val="auto"/>
              <w:outlineLvl w:val="9"/>
              <w:rPr>
                <w:rFonts w:hint="eastAsia" w:ascii="宋体" w:hAnsi="宋体" w:cs="宋体"/>
                <w:color w:val="000000"/>
                <w:kern w:val="0"/>
                <w:sz w:val="24"/>
              </w:rPr>
            </w:pPr>
            <w:r>
              <w:rPr>
                <w:rFonts w:hint="eastAsia" w:ascii="宋体" w:hAnsi="宋体" w:cs="宋体"/>
                <w:b/>
                <w:bCs/>
                <w:color w:val="000000"/>
                <w:kern w:val="0"/>
                <w:sz w:val="24"/>
              </w:rPr>
              <w:t>地下综合管廊工程：</w:t>
            </w:r>
            <w:r>
              <w:rPr>
                <w:rFonts w:hint="eastAsia" w:ascii="宋体" w:hAnsi="宋体" w:cs="宋体"/>
                <w:color w:val="000000"/>
                <w:kern w:val="0"/>
                <w:sz w:val="24"/>
              </w:rPr>
              <w:t>长春路、北环线、东坝市政道路等7条道路地下综合管廊工程；7个县城地下综合管廊试点示范工程8个</w:t>
            </w:r>
            <w:r>
              <w:rPr>
                <w:rFonts w:hint="eastAsia" w:ascii="宋体" w:hAnsi="宋体" w:cs="宋体"/>
                <w:color w:val="000000"/>
                <w:kern w:val="0"/>
                <w:sz w:val="24"/>
                <w:lang w:eastAsia="zh-CN"/>
              </w:rPr>
              <w:t>、</w:t>
            </w:r>
            <w:r>
              <w:rPr>
                <w:rFonts w:hint="eastAsia" w:ascii="宋体" w:hAnsi="宋体" w:cs="宋体"/>
                <w:color w:val="000000"/>
                <w:kern w:val="0"/>
                <w:sz w:val="24"/>
              </w:rPr>
              <w:t>57公里。</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480"/>
              <w:jc w:val="both"/>
              <w:textAlignment w:val="auto"/>
              <w:outlineLvl w:val="9"/>
              <w:rPr>
                <w:rFonts w:hint="eastAsia" w:ascii="宋体" w:hAnsi="宋体" w:cs="宋体"/>
                <w:color w:val="000000"/>
                <w:kern w:val="0"/>
                <w:sz w:val="24"/>
              </w:rPr>
            </w:pPr>
            <w:r>
              <w:rPr>
                <w:rFonts w:hint="eastAsia" w:ascii="宋体" w:hAnsi="宋体" w:cs="宋体"/>
                <w:b/>
                <w:bCs/>
                <w:color w:val="000000"/>
                <w:kern w:val="0"/>
                <w:sz w:val="24"/>
              </w:rPr>
              <w:t>江南城区交通改善工程：</w:t>
            </w:r>
            <w:r>
              <w:rPr>
                <w:rFonts w:hint="eastAsia" w:ascii="宋体" w:hAnsi="宋体" w:cs="宋体"/>
                <w:color w:val="000000"/>
                <w:kern w:val="0"/>
                <w:sz w:val="24"/>
              </w:rPr>
              <w:t>金州路、兴安路、解放路、巴山路等18条道路综合改造，32处公交停车场</w:t>
            </w:r>
            <w:r>
              <w:rPr>
                <w:rFonts w:hint="eastAsia" w:ascii="宋体" w:hAnsi="宋体" w:cs="宋体"/>
                <w:color w:val="000000"/>
                <w:kern w:val="0"/>
                <w:sz w:val="24"/>
                <w:lang w:eastAsia="zh-CN"/>
              </w:rPr>
              <w:t>、</w:t>
            </w:r>
            <w:r>
              <w:rPr>
                <w:rFonts w:hint="eastAsia" w:ascii="宋体" w:hAnsi="宋体" w:cs="宋体"/>
                <w:color w:val="000000"/>
                <w:kern w:val="0"/>
                <w:sz w:val="24"/>
              </w:rPr>
              <w:t>52组公交港湾</w:t>
            </w:r>
            <w:r>
              <w:rPr>
                <w:rFonts w:hint="eastAsia" w:ascii="宋体" w:hAnsi="宋体" w:cs="宋体"/>
                <w:color w:val="000000"/>
                <w:kern w:val="0"/>
                <w:sz w:val="24"/>
                <w:lang w:eastAsia="zh-CN"/>
              </w:rPr>
              <w:t>、</w:t>
            </w:r>
            <w:r>
              <w:rPr>
                <w:rFonts w:hint="eastAsia" w:ascii="宋体" w:hAnsi="宋体" w:cs="宋体"/>
                <w:color w:val="000000"/>
                <w:kern w:val="0"/>
                <w:sz w:val="24"/>
              </w:rPr>
              <w:t>6处过街人行通道设施</w:t>
            </w:r>
            <w:r>
              <w:rPr>
                <w:rFonts w:hint="eastAsia" w:ascii="宋体" w:hAnsi="宋体" w:cs="宋体"/>
                <w:color w:val="000000"/>
                <w:kern w:val="0"/>
                <w:sz w:val="24"/>
                <w:lang w:eastAsia="zh-CN"/>
              </w:rPr>
              <w:t>建设</w:t>
            </w:r>
            <w:r>
              <w:rPr>
                <w:rFonts w:hint="eastAsia" w:ascii="宋体" w:hAnsi="宋体" w:cs="宋体"/>
                <w:color w:val="000000"/>
                <w:kern w:val="0"/>
                <w:sz w:val="24"/>
              </w:rPr>
              <w:t>。</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480"/>
              <w:jc w:val="both"/>
              <w:textAlignment w:val="auto"/>
              <w:outlineLvl w:val="9"/>
              <w:rPr>
                <w:rFonts w:hint="eastAsia" w:ascii="宋体" w:hAnsi="宋体" w:cs="宋体"/>
                <w:color w:val="000000"/>
                <w:kern w:val="0"/>
                <w:sz w:val="24"/>
              </w:rPr>
            </w:pPr>
            <w:r>
              <w:rPr>
                <w:rFonts w:hint="eastAsia" w:ascii="宋体" w:hAnsi="宋体" w:cs="宋体"/>
                <w:b/>
                <w:bCs/>
                <w:color w:val="000000"/>
                <w:kern w:val="0"/>
                <w:sz w:val="24"/>
              </w:rPr>
              <w:t>污水垃圾处理设施建设项目：</w:t>
            </w:r>
            <w:r>
              <w:rPr>
                <w:rFonts w:hint="eastAsia" w:ascii="宋体" w:hAnsi="宋体" w:cs="宋体"/>
                <w:color w:val="000000"/>
                <w:kern w:val="0"/>
                <w:sz w:val="24"/>
              </w:rPr>
              <w:t>建设建民污水处理厂、安康污泥处理厂，江南和江北污水处理厂提标改造、江北污水处理厂扩能、江南污水处理厂东片区配套管网、江北污水处理厂长岭片区配套管网等工程，完善垃圾收转运设施。</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480"/>
              <w:jc w:val="both"/>
              <w:textAlignment w:val="auto"/>
              <w:outlineLvl w:val="9"/>
              <w:rPr>
                <w:rFonts w:hint="eastAsia" w:ascii="宋体" w:hAnsi="宋体" w:cs="宋体"/>
                <w:color w:val="000000"/>
                <w:kern w:val="0"/>
                <w:sz w:val="24"/>
              </w:rPr>
            </w:pPr>
            <w:r>
              <w:rPr>
                <w:rFonts w:hint="eastAsia" w:ascii="宋体" w:hAnsi="宋体" w:cs="宋体"/>
                <w:b/>
                <w:bCs/>
                <w:color w:val="000000"/>
                <w:kern w:val="0"/>
                <w:sz w:val="24"/>
              </w:rPr>
              <w:t>给排水及防涝工程建设项目：</w:t>
            </w:r>
            <w:r>
              <w:rPr>
                <w:rFonts w:hint="eastAsia" w:ascii="宋体" w:hAnsi="宋体" w:cs="宋体"/>
                <w:color w:val="000000"/>
                <w:kern w:val="0"/>
                <w:sz w:val="24"/>
              </w:rPr>
              <w:t>黄洋河水厂、中心城市供水水源泵站迁移、东坝片区排水防涝（雨污水管网、泵站）、西坝片区排水防涝、江北水厂一期提升改造等工程。</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480"/>
              <w:jc w:val="both"/>
              <w:textAlignment w:val="auto"/>
              <w:outlineLvl w:val="9"/>
              <w:rPr>
                <w:rFonts w:hint="eastAsia" w:ascii="宋体" w:hAnsi="宋体" w:cs="宋体"/>
                <w:color w:val="000000"/>
                <w:kern w:val="0"/>
                <w:sz w:val="24"/>
              </w:rPr>
            </w:pPr>
            <w:r>
              <w:rPr>
                <w:rFonts w:hint="eastAsia" w:ascii="宋体" w:hAnsi="宋体" w:cs="宋体"/>
                <w:b/>
                <w:bCs/>
                <w:color w:val="000000"/>
                <w:kern w:val="0"/>
                <w:sz w:val="24"/>
              </w:rPr>
              <w:t>天然气利用工程</w:t>
            </w:r>
            <w:r>
              <w:rPr>
                <w:rFonts w:hint="eastAsia" w:ascii="宋体" w:hAnsi="宋体" w:cs="宋体"/>
                <w:color w:val="000000"/>
                <w:kern w:val="0"/>
                <w:sz w:val="24"/>
              </w:rPr>
              <w:t>：全面完成中心城市“气化安康”建设任务。</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480"/>
              <w:jc w:val="both"/>
              <w:textAlignment w:val="auto"/>
              <w:outlineLvl w:val="9"/>
              <w:rPr>
                <w:rFonts w:hint="eastAsia" w:ascii="宋体" w:hAnsi="宋体" w:cs="宋体"/>
                <w:color w:val="000000"/>
                <w:kern w:val="0"/>
                <w:sz w:val="24"/>
              </w:rPr>
            </w:pPr>
            <w:r>
              <w:rPr>
                <w:rFonts w:hint="eastAsia" w:ascii="宋体" w:hAnsi="宋体" w:cs="宋体"/>
                <w:b/>
                <w:bCs/>
                <w:color w:val="000000"/>
                <w:kern w:val="0"/>
                <w:sz w:val="24"/>
              </w:rPr>
              <w:t>停车场及公厕建设工程：</w:t>
            </w:r>
            <w:r>
              <w:rPr>
                <w:rFonts w:hint="eastAsia" w:ascii="宋体" w:hAnsi="宋体" w:cs="宋体"/>
                <w:color w:val="000000"/>
                <w:kern w:val="0"/>
                <w:sz w:val="24"/>
              </w:rPr>
              <w:t>新增公共停车泊位7000个，改造及新建公厕100个。</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480"/>
              <w:jc w:val="both"/>
              <w:textAlignment w:val="auto"/>
              <w:outlineLvl w:val="9"/>
              <w:rPr>
                <w:rFonts w:hint="eastAsia" w:ascii="宋体" w:hAnsi="宋体" w:cs="宋体"/>
                <w:color w:val="000000"/>
                <w:kern w:val="0"/>
                <w:sz w:val="24"/>
              </w:rPr>
            </w:pPr>
            <w:r>
              <w:rPr>
                <w:rFonts w:hint="eastAsia" w:ascii="宋体" w:hAnsi="宋体" w:cs="宋体"/>
                <w:b/>
                <w:bCs/>
                <w:color w:val="000000"/>
                <w:kern w:val="0"/>
                <w:sz w:val="24"/>
              </w:rPr>
              <w:t>人防工程：</w:t>
            </w:r>
            <w:r>
              <w:rPr>
                <w:rFonts w:hint="eastAsia" w:ascii="宋体" w:hAnsi="宋体" w:cs="宋体"/>
                <w:color w:val="000000"/>
                <w:kern w:val="0"/>
                <w:sz w:val="24"/>
              </w:rPr>
              <w:t>316国道安旬路口地下过街通道、建设路与安泰路交叉口公园、高新一路和创新二路交叉口公园、花园沟大桥南侧、原安运司、人防基本指挥所等人防工程。</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480"/>
              <w:jc w:val="both"/>
              <w:textAlignment w:val="auto"/>
              <w:outlineLvl w:val="9"/>
              <w:rPr>
                <w:rFonts w:hint="eastAsia" w:ascii="宋体" w:hAnsi="宋体" w:cs="宋体"/>
                <w:color w:val="000000"/>
                <w:kern w:val="0"/>
                <w:sz w:val="24"/>
              </w:rPr>
            </w:pPr>
            <w:r>
              <w:rPr>
                <w:rFonts w:hint="eastAsia" w:ascii="宋体" w:hAnsi="宋体" w:cs="宋体"/>
                <w:b/>
                <w:bCs/>
                <w:color w:val="000000"/>
                <w:kern w:val="0"/>
                <w:sz w:val="24"/>
              </w:rPr>
              <w:t>场馆建设工程</w:t>
            </w:r>
            <w:r>
              <w:rPr>
                <w:rFonts w:hint="eastAsia" w:ascii="宋体" w:hAnsi="宋体" w:cs="宋体"/>
                <w:color w:val="000000"/>
                <w:kern w:val="0"/>
                <w:sz w:val="24"/>
              </w:rPr>
              <w:t>：建设汉江大剧院、香溪书院、安康科技馆、安康美术馆、江北体育馆、安康会展中心、安康文化中心</w:t>
            </w:r>
            <w:r>
              <w:rPr>
                <w:rFonts w:hint="eastAsia" w:ascii="宋体" w:hAnsi="宋体" w:cs="宋体"/>
                <w:color w:val="000000"/>
                <w:kern w:val="0"/>
                <w:sz w:val="24"/>
                <w:lang w:eastAsia="zh-CN"/>
              </w:rPr>
              <w:t>、安康工人文化宫</w:t>
            </w:r>
            <w:r>
              <w:rPr>
                <w:rFonts w:hint="eastAsia" w:ascii="宋体" w:hAnsi="宋体" w:cs="宋体"/>
                <w:color w:val="000000"/>
                <w:kern w:val="0"/>
                <w:sz w:val="24"/>
              </w:rPr>
              <w:t>。</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480"/>
              <w:jc w:val="both"/>
              <w:textAlignment w:val="auto"/>
              <w:outlineLvl w:val="9"/>
              <w:rPr>
                <w:rFonts w:hint="eastAsia" w:ascii="宋体" w:hAnsi="宋体" w:cs="宋体"/>
                <w:color w:val="000000"/>
                <w:kern w:val="0"/>
                <w:sz w:val="24"/>
              </w:rPr>
            </w:pPr>
            <w:r>
              <w:rPr>
                <w:rFonts w:hint="eastAsia" w:ascii="宋体" w:hAnsi="宋体" w:cs="宋体"/>
                <w:b/>
                <w:bCs/>
                <w:color w:val="000000"/>
                <w:kern w:val="0"/>
                <w:sz w:val="24"/>
              </w:rPr>
              <w:t>绿化景观带建设工程：</w:t>
            </w:r>
            <w:r>
              <w:rPr>
                <w:rFonts w:hint="eastAsia" w:ascii="宋体" w:hAnsi="宋体" w:cs="宋体"/>
                <w:color w:val="000000"/>
                <w:kern w:val="0"/>
                <w:sz w:val="24"/>
              </w:rPr>
              <w:t>“一江两岸环江50里”休闲景观带、夜间经济特色示范街区、城市景观照明等</w:t>
            </w:r>
            <w:r>
              <w:rPr>
                <w:rFonts w:hint="eastAsia" w:ascii="宋体" w:hAnsi="宋体" w:cs="宋体"/>
                <w:color w:val="000000"/>
                <w:kern w:val="0"/>
                <w:sz w:val="24"/>
                <w:lang w:eastAsia="zh-CN"/>
              </w:rPr>
              <w:t>工程，</w:t>
            </w:r>
            <w:r>
              <w:rPr>
                <w:rFonts w:hint="eastAsia" w:ascii="宋体" w:hAnsi="宋体" w:cs="宋体"/>
                <w:color w:val="000000"/>
                <w:kern w:val="0"/>
                <w:sz w:val="24"/>
              </w:rPr>
              <w:t>瀛湖生态旅游景区、西郊公园、黄洋河公园、铁路公园、水电三局中心公园、汉调二黄公园二期、江滩公园三期等公园及绿地建设。</w:t>
            </w:r>
          </w:p>
          <w:p>
            <w:pPr>
              <w:keepNext w:val="0"/>
              <w:keepLines w:val="0"/>
              <w:pageBreakBefore w:val="0"/>
              <w:kinsoku/>
              <w:wordWrap/>
              <w:overflowPunct/>
              <w:topLinePunct w:val="0"/>
              <w:autoSpaceDE/>
              <w:autoSpaceDN/>
              <w:bidi w:val="0"/>
              <w:adjustRightInd/>
              <w:snapToGrid/>
              <w:spacing w:line="360" w:lineRule="exact"/>
              <w:ind w:left="0" w:leftChars="0" w:right="0" w:rightChars="0"/>
              <w:jc w:val="left"/>
              <w:textAlignment w:val="auto"/>
              <w:outlineLvl w:val="0"/>
              <w:rPr>
                <w:rFonts w:hint="eastAsia" w:ascii="黑体" w:hAnsi="黑体" w:eastAsia="黑体" w:cs="黑体"/>
                <w:color w:val="000000"/>
                <w:sz w:val="28"/>
                <w:szCs w:val="52"/>
                <w:vertAlign w:val="baseline"/>
              </w:rPr>
            </w:pPr>
            <w:r>
              <w:rPr>
                <w:rFonts w:hint="eastAsia" w:ascii="宋体" w:hAnsi="宋体" w:cs="宋体"/>
                <w:b/>
                <w:bCs/>
                <w:color w:val="000000"/>
                <w:kern w:val="0"/>
                <w:sz w:val="24"/>
                <w:lang w:val="en-US" w:eastAsia="zh-CN"/>
              </w:rPr>
              <w:t xml:space="preserve">    </w:t>
            </w:r>
            <w:r>
              <w:rPr>
                <w:rFonts w:hint="eastAsia" w:ascii="宋体" w:hAnsi="宋体" w:cs="宋体"/>
                <w:b/>
                <w:bCs/>
                <w:color w:val="000000"/>
                <w:kern w:val="0"/>
                <w:sz w:val="24"/>
              </w:rPr>
              <w:t>新型城市建设工程：</w:t>
            </w:r>
            <w:r>
              <w:rPr>
                <w:rFonts w:hint="eastAsia" w:ascii="宋体" w:hAnsi="宋体" w:cs="宋体"/>
                <w:color w:val="000000"/>
                <w:kern w:val="0"/>
                <w:sz w:val="24"/>
              </w:rPr>
              <w:t>海绵城市、智慧城市、月河生态城等项目。</w:t>
            </w:r>
          </w:p>
        </w:tc>
      </w:tr>
    </w:tbl>
    <w:p>
      <w:pPr>
        <w:spacing w:line="560" w:lineRule="exact"/>
        <w:jc w:val="center"/>
        <w:outlineLvl w:val="0"/>
        <w:rPr>
          <w:rFonts w:hint="eastAsia" w:ascii="黑体" w:hAnsi="黑体" w:eastAsia="黑体" w:cs="黑体"/>
          <w:color w:val="000000"/>
          <w:sz w:val="28"/>
          <w:szCs w:val="52"/>
        </w:rPr>
      </w:pPr>
    </w:p>
    <w:p>
      <w:pPr>
        <w:spacing w:line="560" w:lineRule="exact"/>
        <w:jc w:val="center"/>
        <w:outlineLvl w:val="1"/>
        <w:rPr>
          <w:rFonts w:hint="eastAsia" w:eastAsia="黑体"/>
          <w:color w:val="000000"/>
          <w:spacing w:val="6"/>
          <w:kern w:val="0"/>
          <w:sz w:val="32"/>
          <w:szCs w:val="32"/>
        </w:rPr>
      </w:pPr>
      <w:r>
        <w:rPr>
          <w:rFonts w:hint="eastAsia" w:ascii="黑体" w:eastAsia="黑体"/>
          <w:color w:val="000000"/>
          <w:spacing w:val="6"/>
          <w:kern w:val="0"/>
          <w:sz w:val="32"/>
          <w:szCs w:val="32"/>
        </w:rPr>
        <w:t>第二十三节</w:t>
      </w:r>
      <w:r>
        <w:rPr>
          <w:rFonts w:hint="eastAsia" w:ascii="黑体" w:eastAsia="黑体"/>
          <w:color w:val="000000"/>
          <w:spacing w:val="6"/>
          <w:kern w:val="0"/>
          <w:sz w:val="32"/>
          <w:szCs w:val="32"/>
          <w:lang w:val="en-US" w:eastAsia="zh-CN"/>
        </w:rPr>
        <w:t xml:space="preserve">  </w:t>
      </w:r>
      <w:r>
        <w:rPr>
          <w:rFonts w:hint="eastAsia" w:ascii="黑体" w:eastAsia="黑体"/>
          <w:color w:val="000000"/>
          <w:spacing w:val="6"/>
          <w:kern w:val="0"/>
          <w:sz w:val="32"/>
          <w:szCs w:val="32"/>
        </w:rPr>
        <w:t>加快月河川道城镇带建设</w:t>
      </w:r>
    </w:p>
    <w:p>
      <w:pPr>
        <w:keepNext w:val="0"/>
        <w:keepLines w:val="0"/>
        <w:pageBreakBefore w:val="0"/>
        <w:widowControl w:val="0"/>
        <w:kinsoku/>
        <w:wordWrap/>
        <w:overflowPunct/>
        <w:topLinePunct w:val="0"/>
        <w:autoSpaceDE/>
        <w:bidi w:val="0"/>
        <w:spacing w:line="560" w:lineRule="exact"/>
        <w:ind w:left="0" w:leftChars="0" w:right="0" w:rightChars="0" w:firstLine="640" w:firstLineChars="200"/>
        <w:textAlignment w:val="auto"/>
        <w:rPr>
          <w:rFonts w:hint="eastAsia" w:ascii="仿宋_GB2312" w:eastAsia="仿宋_GB2312"/>
          <w:color w:val="000000"/>
          <w:kern w:val="0"/>
          <w:sz w:val="32"/>
          <w:szCs w:val="32"/>
        </w:rPr>
      </w:pPr>
      <w:r>
        <w:rPr>
          <w:rFonts w:hint="eastAsia" w:ascii="仿宋_GB2312" w:eastAsia="仿宋_GB2312"/>
          <w:color w:val="000000"/>
          <w:kern w:val="0"/>
          <w:sz w:val="32"/>
          <w:szCs w:val="32"/>
        </w:rPr>
        <w:t>科学合理规划月河川道产业、居住、综合服务，推进城镇、产业、人口聚集融合发展，以保护生态、合理承载为前提，以县城和重点镇建设为抓手，促进工业向园区集中、土地向规模经营集中、人口向城镇集中，形成</w:t>
      </w:r>
      <w:r>
        <w:rPr>
          <w:rFonts w:hint="eastAsia" w:ascii="仿宋_GB2312" w:eastAsia="仿宋_GB2312"/>
          <w:color w:val="000000"/>
          <w:kern w:val="0"/>
          <w:sz w:val="32"/>
          <w:szCs w:val="32"/>
          <w:lang w:eastAsia="zh-CN"/>
        </w:rPr>
        <w:t>“</w:t>
      </w:r>
      <w:r>
        <w:rPr>
          <w:rFonts w:hint="eastAsia" w:ascii="仿宋_GB2312" w:eastAsia="仿宋_GB2312"/>
          <w:color w:val="000000"/>
          <w:kern w:val="0"/>
          <w:sz w:val="32"/>
          <w:szCs w:val="32"/>
        </w:rPr>
        <w:t>以产兴城、以城带产、产城融合</w:t>
      </w:r>
      <w:r>
        <w:rPr>
          <w:rFonts w:hint="eastAsia" w:ascii="仿宋_GB2312" w:eastAsia="仿宋_GB2312"/>
          <w:color w:val="000000"/>
          <w:kern w:val="0"/>
          <w:sz w:val="32"/>
          <w:szCs w:val="32"/>
          <w:lang w:eastAsia="zh-CN"/>
        </w:rPr>
        <w:t>”</w:t>
      </w:r>
      <w:r>
        <w:rPr>
          <w:rFonts w:hint="eastAsia" w:ascii="仿宋_GB2312" w:eastAsia="仿宋_GB2312"/>
          <w:color w:val="000000"/>
          <w:kern w:val="0"/>
          <w:sz w:val="32"/>
          <w:szCs w:val="32"/>
        </w:rPr>
        <w:t>的新模式，打造“三极七镇</w:t>
      </w:r>
      <w:r>
        <w:rPr>
          <w:rFonts w:hint="eastAsia" w:ascii="仿宋_GB2312" w:eastAsia="仿宋_GB2312"/>
          <w:color w:val="000000"/>
          <w:kern w:val="0"/>
          <w:sz w:val="32"/>
          <w:szCs w:val="32"/>
          <w:lang w:eastAsia="zh-CN"/>
        </w:rPr>
        <w:t>、</w:t>
      </w:r>
      <w:r>
        <w:rPr>
          <w:rFonts w:hint="eastAsia" w:ascii="仿宋_GB2312" w:eastAsia="仿宋_GB2312"/>
          <w:color w:val="000000"/>
          <w:kern w:val="0"/>
          <w:sz w:val="32"/>
          <w:szCs w:val="32"/>
        </w:rPr>
        <w:t>串珠相连”的城镇带。建成月河快速干道，构建“两内三外、百里贯通”的交通廊道，提升互联互通互动水平。加快汉阴、石泉县城和恒口镇级</w:t>
      </w:r>
      <w:r>
        <w:rPr>
          <w:rFonts w:hint="eastAsia" w:ascii="仿宋_GB2312" w:eastAsia="仿宋_GB2312"/>
          <w:color w:val="000000"/>
          <w:kern w:val="0"/>
          <w:sz w:val="32"/>
          <w:szCs w:val="32"/>
          <w:lang w:eastAsia="zh-CN"/>
        </w:rPr>
        <w:t>小城市</w:t>
      </w:r>
      <w:r>
        <w:rPr>
          <w:rFonts w:hint="eastAsia" w:ascii="仿宋_GB2312" w:eastAsia="仿宋_GB2312"/>
          <w:color w:val="000000"/>
          <w:kern w:val="0"/>
          <w:sz w:val="32"/>
          <w:szCs w:val="32"/>
        </w:rPr>
        <w:t>建设，推动中心城区-汉阴-石泉一体化发展。依托</w:t>
      </w:r>
      <w:r>
        <w:rPr>
          <w:rFonts w:hint="eastAsia" w:ascii="仿宋_GB2312" w:eastAsia="仿宋_GB2312"/>
          <w:color w:val="000000"/>
          <w:kern w:val="0"/>
          <w:sz w:val="32"/>
          <w:szCs w:val="32"/>
          <w:lang w:eastAsia="zh-CN"/>
        </w:rPr>
        <w:t>安康高新区、恒口示范区、</w:t>
      </w:r>
      <w:r>
        <w:rPr>
          <w:rFonts w:hint="eastAsia" w:ascii="仿宋_GB2312" w:eastAsia="仿宋_GB2312"/>
          <w:color w:val="000000"/>
          <w:kern w:val="0"/>
          <w:sz w:val="32"/>
          <w:szCs w:val="32"/>
        </w:rPr>
        <w:t>空港经济</w:t>
      </w:r>
      <w:r>
        <w:rPr>
          <w:rFonts w:hint="eastAsia" w:ascii="仿宋_GB2312" w:eastAsia="仿宋_GB2312"/>
          <w:color w:val="000000"/>
          <w:kern w:val="0"/>
          <w:sz w:val="32"/>
          <w:szCs w:val="32"/>
          <w:lang w:eastAsia="zh-CN"/>
        </w:rPr>
        <w:t>园</w:t>
      </w:r>
      <w:r>
        <w:rPr>
          <w:rFonts w:hint="eastAsia" w:ascii="仿宋_GB2312" w:eastAsia="仿宋_GB2312"/>
          <w:color w:val="000000"/>
          <w:kern w:val="0"/>
          <w:sz w:val="32"/>
          <w:szCs w:val="32"/>
        </w:rPr>
        <w:t>区</w:t>
      </w:r>
      <w:r>
        <w:rPr>
          <w:rFonts w:hint="eastAsia" w:ascii="仿宋_GB2312" w:eastAsia="仿宋_GB2312"/>
          <w:color w:val="000000"/>
          <w:kern w:val="0"/>
          <w:sz w:val="32"/>
          <w:szCs w:val="32"/>
          <w:lang w:eastAsia="zh-CN"/>
        </w:rPr>
        <w:t>和“</w:t>
      </w:r>
      <w:r>
        <w:rPr>
          <w:rFonts w:hint="eastAsia" w:ascii="仿宋_GB2312" w:eastAsia="仿宋_GB2312"/>
          <w:color w:val="000000"/>
          <w:kern w:val="0"/>
          <w:sz w:val="32"/>
          <w:szCs w:val="32"/>
        </w:rPr>
        <w:t>飞地经济园</w:t>
      </w:r>
      <w:r>
        <w:rPr>
          <w:rFonts w:hint="eastAsia" w:ascii="仿宋_GB2312" w:eastAsia="仿宋_GB2312"/>
          <w:color w:val="000000"/>
          <w:kern w:val="0"/>
          <w:sz w:val="32"/>
          <w:szCs w:val="32"/>
          <w:lang w:eastAsia="zh-CN"/>
        </w:rPr>
        <w:t>区”以及工业集中区、现代农业园区</w:t>
      </w:r>
      <w:r>
        <w:rPr>
          <w:rFonts w:hint="eastAsia" w:ascii="仿宋_GB2312" w:eastAsia="仿宋_GB2312"/>
          <w:color w:val="000000"/>
          <w:kern w:val="0"/>
          <w:sz w:val="32"/>
          <w:szCs w:val="32"/>
        </w:rPr>
        <w:t>，以强化产业支撑、建设便捷交通、严格空间管制为重点，集聚人口、产业等生产要素，重点抓好五里、涧池、池河镇建设，推动园区从单一的生产型园区经济向综合型城镇经济转型，高标准规划建设用地集约、产业先进、功能融合、资源循环、生活多元的城镇带。</w:t>
      </w:r>
    </w:p>
    <w:p>
      <w:pPr>
        <w:keepNext w:val="0"/>
        <w:keepLines w:val="0"/>
        <w:pageBreakBefore w:val="0"/>
        <w:widowControl w:val="0"/>
        <w:kinsoku/>
        <w:wordWrap/>
        <w:overflowPunct/>
        <w:topLinePunct w:val="0"/>
        <w:autoSpaceDE/>
        <w:bidi w:val="0"/>
        <w:adjustRightInd w:val="0"/>
        <w:snapToGrid w:val="0"/>
        <w:spacing w:line="560" w:lineRule="exact"/>
        <w:ind w:left="0" w:leftChars="0" w:right="0" w:rightChars="0" w:firstLine="643" w:firstLineChars="200"/>
        <w:textAlignment w:val="auto"/>
        <w:rPr>
          <w:rFonts w:hint="eastAsia" w:ascii="仿宋_GB2312" w:eastAsia="仿宋_GB2312"/>
          <w:b/>
          <w:bCs/>
          <w:color w:val="000000"/>
          <w:sz w:val="32"/>
          <w:szCs w:val="32"/>
        </w:rPr>
      </w:pPr>
    </w:p>
    <w:p>
      <w:pPr>
        <w:keepNext w:val="0"/>
        <w:keepLines w:val="0"/>
        <w:pageBreakBefore w:val="0"/>
        <w:widowControl w:val="0"/>
        <w:kinsoku/>
        <w:wordWrap/>
        <w:overflowPunct/>
        <w:topLinePunct w:val="0"/>
        <w:autoSpaceDE/>
        <w:bidi w:val="0"/>
        <w:spacing w:line="560" w:lineRule="exact"/>
        <w:ind w:left="0" w:leftChars="0" w:right="0" w:rightChars="0"/>
        <w:jc w:val="center"/>
        <w:textAlignment w:val="auto"/>
        <w:outlineLvl w:val="1"/>
        <w:rPr>
          <w:rFonts w:hint="eastAsia" w:eastAsia="黑体"/>
          <w:color w:val="000000"/>
          <w:spacing w:val="6"/>
          <w:kern w:val="0"/>
          <w:sz w:val="32"/>
          <w:szCs w:val="32"/>
        </w:rPr>
      </w:pPr>
      <w:r>
        <w:rPr>
          <w:rFonts w:hint="eastAsia" w:ascii="黑体" w:eastAsia="黑体"/>
          <w:color w:val="000000"/>
          <w:spacing w:val="6"/>
          <w:kern w:val="0"/>
          <w:sz w:val="32"/>
          <w:szCs w:val="32"/>
        </w:rPr>
        <w:t>第二十四节</w:t>
      </w:r>
      <w:r>
        <w:rPr>
          <w:rFonts w:hint="eastAsia" w:ascii="黑体" w:eastAsia="黑体"/>
          <w:color w:val="000000"/>
          <w:spacing w:val="6"/>
          <w:kern w:val="0"/>
          <w:sz w:val="32"/>
          <w:szCs w:val="32"/>
          <w:lang w:val="en-US" w:eastAsia="zh-CN"/>
        </w:rPr>
        <w:t xml:space="preserve">  </w:t>
      </w:r>
      <w:r>
        <w:rPr>
          <w:rFonts w:hint="eastAsia" w:ascii="黑体" w:eastAsia="黑体"/>
          <w:color w:val="000000"/>
          <w:spacing w:val="6"/>
          <w:kern w:val="0"/>
          <w:sz w:val="32"/>
          <w:szCs w:val="32"/>
        </w:rPr>
        <w:t>促进城乡发展一体化</w:t>
      </w:r>
    </w:p>
    <w:p>
      <w:pPr>
        <w:keepNext w:val="0"/>
        <w:keepLines w:val="0"/>
        <w:pageBreakBefore w:val="0"/>
        <w:widowControl w:val="0"/>
        <w:kinsoku/>
        <w:wordWrap/>
        <w:overflowPunct/>
        <w:topLinePunct w:val="0"/>
        <w:autoSpaceDE/>
        <w:bidi w:val="0"/>
        <w:adjustRightInd w:val="0"/>
        <w:snapToGrid w:val="0"/>
        <w:spacing w:line="560" w:lineRule="exact"/>
        <w:ind w:left="0" w:leftChars="0" w:right="0" w:rightChars="0" w:firstLine="640" w:firstLineChars="200"/>
        <w:textAlignment w:val="auto"/>
        <w:outlineLvl w:val="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按照“城乡政策一致、规划建设一体、公共服务均等、收入水平协调”的要求，统筹推进土地、财政、就业、养老等配套领域改革，引导农业转移人口市民化，促进以县城和小城镇为中心的城乡一体化发展。深化户籍制度改革，实施居住证制度，促进有能力在城镇稳定就业和生活的农业转移人口举家进城落户，并享有与城镇居民同等的权利和义务。建立健全财政转移支付同农业转移人口市民化挂钩、城镇建设用地增加规模同吸纳农业转移人口落户数量挂钩机制。维护进城落户农民</w:t>
      </w:r>
      <w:r>
        <w:rPr>
          <w:rFonts w:hint="eastAsia" w:ascii="仿宋_GB2312" w:hAnsi="仿宋_GB2312" w:eastAsia="仿宋_GB2312" w:cs="仿宋_GB2312"/>
          <w:color w:val="000000"/>
          <w:kern w:val="0"/>
          <w:sz w:val="32"/>
          <w:szCs w:val="32"/>
          <w:lang w:eastAsia="zh-CN"/>
        </w:rPr>
        <w:t>的</w:t>
      </w:r>
      <w:r>
        <w:rPr>
          <w:rFonts w:hint="eastAsia" w:ascii="仿宋_GB2312" w:hAnsi="仿宋_GB2312" w:eastAsia="仿宋_GB2312" w:cs="仿宋_GB2312"/>
          <w:color w:val="000000"/>
          <w:kern w:val="0"/>
          <w:sz w:val="32"/>
          <w:szCs w:val="32"/>
        </w:rPr>
        <w:t>土地承包权、宅基地使用权、集体收益分配权，支持引导其依法自愿有偿转让上述权益。</w:t>
      </w:r>
    </w:p>
    <w:p>
      <w:pPr>
        <w:keepNext w:val="0"/>
        <w:keepLines w:val="0"/>
        <w:pageBreakBefore w:val="0"/>
        <w:widowControl w:val="0"/>
        <w:kinsoku/>
        <w:wordWrap/>
        <w:overflowPunct/>
        <w:topLinePunct w:val="0"/>
        <w:autoSpaceDE/>
        <w:bidi w:val="0"/>
        <w:spacing w:line="560" w:lineRule="exact"/>
        <w:ind w:left="0" w:leftChars="0"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统筹城乡基础设施和公共服务设施建设，促进水、电、路、气等基础设施城乡联网、共建共享，推动教育、医疗卫生、文体设施、社会保障等基本公共服务均等化</w:t>
      </w:r>
      <w:r>
        <w:rPr>
          <w:rFonts w:hint="eastAsia" w:ascii="仿宋_GB2312" w:hAnsi="仿宋_GB2312" w:eastAsia="仿宋_GB2312" w:cs="仿宋_GB2312"/>
          <w:color w:val="000000"/>
          <w:kern w:val="0"/>
          <w:sz w:val="32"/>
          <w:szCs w:val="32"/>
          <w:lang w:eastAsia="zh-CN"/>
        </w:rPr>
        <w:t>，促进城乡公共资源均衡配置。重点推进</w:t>
      </w:r>
      <w:r>
        <w:rPr>
          <w:rFonts w:hint="eastAsia" w:ascii="仿宋_GB2312" w:hAnsi="仿宋_GB2312" w:eastAsia="仿宋_GB2312" w:cs="仿宋_GB2312"/>
          <w:color w:val="000000"/>
          <w:kern w:val="0"/>
          <w:sz w:val="32"/>
          <w:szCs w:val="32"/>
        </w:rPr>
        <w:t>9</w:t>
      </w:r>
      <w:r>
        <w:rPr>
          <w:rFonts w:hint="eastAsia" w:ascii="仿宋_GB2312" w:hAnsi="仿宋_GB2312" w:eastAsia="仿宋_GB2312" w:cs="仿宋_GB2312"/>
          <w:color w:val="000000"/>
          <w:kern w:val="0"/>
          <w:sz w:val="32"/>
          <w:szCs w:val="32"/>
          <w:lang w:eastAsia="zh-CN"/>
        </w:rPr>
        <w:t>个</w:t>
      </w:r>
      <w:r>
        <w:rPr>
          <w:rFonts w:hint="eastAsia" w:ascii="仿宋_GB2312" w:hAnsi="仿宋_GB2312" w:eastAsia="仿宋_GB2312" w:cs="仿宋_GB2312"/>
          <w:color w:val="000000"/>
          <w:kern w:val="0"/>
          <w:sz w:val="32"/>
          <w:szCs w:val="32"/>
        </w:rPr>
        <w:t>县城、1个省级重点镇、4个省级文化旅游名镇（街区）、12个县域副中心镇及新型农村综合社区</w:t>
      </w:r>
      <w:r>
        <w:rPr>
          <w:rFonts w:hint="eastAsia" w:ascii="仿宋_GB2312" w:hAnsi="仿宋_GB2312" w:eastAsia="仿宋_GB2312" w:cs="仿宋_GB2312"/>
          <w:color w:val="000000"/>
          <w:kern w:val="0"/>
          <w:sz w:val="32"/>
          <w:szCs w:val="32"/>
          <w:lang w:eastAsia="zh-CN"/>
        </w:rPr>
        <w:t>建设。依托资源特色、文化内涵和区位条件，融合产业、文化、旅游、社区等功能，着力改革创新，打造一批特色小镇。</w:t>
      </w:r>
      <w:r>
        <w:rPr>
          <w:rFonts w:hint="eastAsia" w:ascii="仿宋_GB2312" w:hAnsi="仿宋_GB2312" w:eastAsia="仿宋_GB2312" w:cs="仿宋_GB2312"/>
          <w:color w:val="000000"/>
          <w:kern w:val="0"/>
          <w:sz w:val="32"/>
          <w:szCs w:val="32"/>
        </w:rPr>
        <w:t>深入推进以恒口和石泉杨柳为重点的月河川道统筹城乡发展综合配套改革试验区建设。依托自然山水地貌，加快完善市政设施，科学构建县城布局，合理调节县城规模，不断优化功能结构，做优做精做美县城，增强县城聚集承载和辐射带动功能。</w:t>
      </w:r>
    </w:p>
    <w:p>
      <w:pPr>
        <w:keepNext w:val="0"/>
        <w:keepLines w:val="0"/>
        <w:pageBreakBefore w:val="0"/>
        <w:widowControl w:val="0"/>
        <w:kinsoku/>
        <w:wordWrap/>
        <w:overflowPunct/>
        <w:topLinePunct w:val="0"/>
        <w:autoSpaceDE/>
        <w:bidi w:val="0"/>
        <w:spacing w:line="560" w:lineRule="exact"/>
        <w:ind w:left="0" w:leftChars="0" w:right="0" w:rightChars="0"/>
        <w:jc w:val="center"/>
        <w:textAlignment w:val="auto"/>
        <w:rPr>
          <w:rFonts w:hint="eastAsia" w:ascii="黑体" w:eastAsia="黑体"/>
          <w:color w:val="000000"/>
          <w:spacing w:val="6"/>
          <w:kern w:val="0"/>
          <w:sz w:val="32"/>
          <w:szCs w:val="32"/>
        </w:rPr>
      </w:pPr>
    </w:p>
    <w:p>
      <w:pPr>
        <w:keepNext w:val="0"/>
        <w:keepLines w:val="0"/>
        <w:pageBreakBefore w:val="0"/>
        <w:widowControl w:val="0"/>
        <w:kinsoku/>
        <w:wordWrap/>
        <w:overflowPunct/>
        <w:topLinePunct w:val="0"/>
        <w:autoSpaceDE/>
        <w:bidi w:val="0"/>
        <w:spacing w:line="560" w:lineRule="exact"/>
        <w:ind w:left="0" w:leftChars="0" w:right="0" w:rightChars="0"/>
        <w:jc w:val="center"/>
        <w:textAlignment w:val="auto"/>
        <w:rPr>
          <w:rFonts w:hint="eastAsia" w:ascii="黑体" w:eastAsia="黑体"/>
          <w:color w:val="000000"/>
          <w:spacing w:val="6"/>
          <w:kern w:val="0"/>
          <w:sz w:val="32"/>
          <w:szCs w:val="32"/>
        </w:rPr>
      </w:pPr>
      <w:r>
        <w:rPr>
          <w:rFonts w:hint="eastAsia" w:ascii="黑体" w:eastAsia="黑体"/>
          <w:color w:val="000000"/>
          <w:spacing w:val="6"/>
          <w:kern w:val="0"/>
          <w:sz w:val="32"/>
          <w:szCs w:val="32"/>
        </w:rPr>
        <w:t>第二十五节</w:t>
      </w:r>
      <w:r>
        <w:rPr>
          <w:rFonts w:hint="eastAsia" w:ascii="黑体" w:eastAsia="黑体"/>
          <w:color w:val="000000"/>
          <w:spacing w:val="6"/>
          <w:kern w:val="0"/>
          <w:sz w:val="32"/>
          <w:szCs w:val="32"/>
          <w:lang w:val="en-US" w:eastAsia="zh-CN"/>
        </w:rPr>
        <w:t xml:space="preserve">  </w:t>
      </w:r>
      <w:r>
        <w:rPr>
          <w:rFonts w:hint="eastAsia" w:ascii="黑体" w:eastAsia="黑体"/>
          <w:color w:val="000000"/>
          <w:spacing w:val="6"/>
          <w:kern w:val="0"/>
          <w:sz w:val="32"/>
          <w:szCs w:val="32"/>
        </w:rPr>
        <w:t>提升城市综合管理水平</w:t>
      </w:r>
    </w:p>
    <w:p>
      <w:pPr>
        <w:keepNext w:val="0"/>
        <w:keepLines w:val="0"/>
        <w:pageBreakBefore w:val="0"/>
        <w:widowControl w:val="0"/>
        <w:kinsoku/>
        <w:wordWrap/>
        <w:overflowPunct/>
        <w:topLinePunct w:val="0"/>
        <w:autoSpaceDE/>
        <w:bidi w:val="0"/>
        <w:adjustRightInd w:val="0"/>
        <w:snapToGrid w:val="0"/>
        <w:spacing w:line="560" w:lineRule="exact"/>
        <w:ind w:left="0" w:leftChars="0" w:right="0" w:rightChars="0" w:firstLine="640" w:firstLineChars="200"/>
        <w:jc w:val="left"/>
        <w:textAlignment w:val="auto"/>
        <w:outlineLvl w:val="2"/>
        <w:rPr>
          <w:rFonts w:hint="eastAsia" w:ascii="仿宋_GB2312" w:hAnsi="仿宋_GB2312" w:eastAsia="仿宋_GB2312" w:cs="仿宋_GB2312"/>
          <w:color w:val="000000"/>
          <w:sz w:val="32"/>
          <w:szCs w:val="56"/>
        </w:rPr>
      </w:pPr>
      <w:r>
        <w:rPr>
          <w:rFonts w:hint="eastAsia" w:ascii="仿宋_GB2312" w:hAnsi="仿宋_GB2312" w:eastAsia="仿宋_GB2312" w:cs="仿宋_GB2312"/>
          <w:color w:val="000000"/>
          <w:sz w:val="32"/>
          <w:szCs w:val="56"/>
        </w:rPr>
        <w:t>顺应现代城市发展新理念，深化城市管理体制改革，完善治理体系，实现城市精细化管理和人性化服务。统筹城市规划、建设和管理，注重城市空间立体性、平面协调性、风貌整体性、文脉延续性。坚持规划引领，科学确定城市功能定位、人口规模、开发边界、开发强度，增强规划的科学性、权威性和严肃性。坚持建管并重，以扎实开展国家卫生城市、森林城市</w:t>
      </w:r>
      <w:r>
        <w:rPr>
          <w:rFonts w:hint="eastAsia" w:ascii="仿宋_GB2312" w:hAnsi="仿宋_GB2312" w:eastAsia="仿宋_GB2312" w:cs="仿宋_GB2312"/>
          <w:color w:val="000000"/>
          <w:sz w:val="32"/>
          <w:szCs w:val="56"/>
          <w:lang w:eastAsia="zh-CN"/>
        </w:rPr>
        <w:t>和</w:t>
      </w:r>
      <w:r>
        <w:rPr>
          <w:rFonts w:hint="eastAsia" w:ascii="仿宋_GB2312" w:hAnsi="仿宋_GB2312" w:eastAsia="仿宋_GB2312" w:cs="仿宋_GB2312"/>
          <w:color w:val="000000"/>
          <w:sz w:val="32"/>
          <w:szCs w:val="56"/>
        </w:rPr>
        <w:t>省级文明城市</w:t>
      </w:r>
      <w:r>
        <w:rPr>
          <w:rFonts w:hint="eastAsia" w:ascii="仿宋_GB2312" w:hAnsi="仿宋_GB2312" w:eastAsia="仿宋_GB2312" w:cs="仿宋_GB2312"/>
          <w:color w:val="000000"/>
          <w:sz w:val="32"/>
          <w:szCs w:val="56"/>
          <w:lang w:eastAsia="zh-CN"/>
        </w:rPr>
        <w:t>、</w:t>
      </w:r>
      <w:r>
        <w:rPr>
          <w:rFonts w:hint="eastAsia" w:ascii="仿宋_GB2312" w:hAnsi="仿宋_GB2312" w:eastAsia="仿宋_GB2312" w:cs="仿宋_GB2312"/>
          <w:color w:val="000000"/>
          <w:sz w:val="32"/>
          <w:szCs w:val="56"/>
        </w:rPr>
        <w:t>环保模范城市创建活动为契机，创新城市管理方式，推进管理重心下移，整合优化管理资源，实现城市管理规范化、精细化、网络化、社会化。运用互联网提升城市管理水平，加快建设市县数字城市地理空间框架和综合性城市管理数据库，完善城市信息化公共服务平台，建立城市公用及地下公共基础设施统一更新机制。尊重自然、传承历史、彰显特色，培育城市文化，提高市民文明素养，鼓励企业和市民积极参与城市建设管理，实现城市共治共管、共建共享。</w:t>
      </w:r>
    </w:p>
    <w:p>
      <w:pPr>
        <w:keepNext w:val="0"/>
        <w:keepLines w:val="0"/>
        <w:pageBreakBefore w:val="0"/>
        <w:widowControl w:val="0"/>
        <w:kinsoku/>
        <w:wordWrap/>
        <w:overflowPunct/>
        <w:topLinePunct w:val="0"/>
        <w:autoSpaceDE/>
        <w:bidi w:val="0"/>
        <w:adjustRightInd w:val="0"/>
        <w:snapToGrid w:val="0"/>
        <w:spacing w:line="560" w:lineRule="exact"/>
        <w:ind w:left="0" w:leftChars="0" w:right="0" w:rightChars="0" w:firstLine="720" w:firstLineChars="200"/>
        <w:jc w:val="center"/>
        <w:textAlignment w:val="auto"/>
        <w:outlineLvl w:val="2"/>
        <w:rPr>
          <w:rFonts w:hint="eastAsia" w:ascii="黑体" w:hAnsi="黑体" w:eastAsia="黑体" w:cs="黑体"/>
          <w:color w:val="000000"/>
          <w:sz w:val="36"/>
          <w:szCs w:val="72"/>
        </w:rPr>
      </w:pPr>
    </w:p>
    <w:p>
      <w:pPr>
        <w:keepNext w:val="0"/>
        <w:keepLines w:val="0"/>
        <w:pageBreakBefore w:val="0"/>
        <w:widowControl w:val="0"/>
        <w:kinsoku/>
        <w:wordWrap/>
        <w:overflowPunct/>
        <w:topLinePunct w:val="0"/>
        <w:autoSpaceDE/>
        <w:bidi w:val="0"/>
        <w:adjustRightInd w:val="0"/>
        <w:snapToGrid w:val="0"/>
        <w:spacing w:line="560" w:lineRule="exact"/>
        <w:ind w:left="0" w:leftChars="0" w:right="0" w:rightChars="0"/>
        <w:jc w:val="center"/>
        <w:textAlignment w:val="auto"/>
        <w:outlineLvl w:val="2"/>
        <w:rPr>
          <w:rFonts w:hint="eastAsia" w:ascii="方正小标宋简体" w:hAnsi="黑体" w:eastAsia="方正小标宋简体" w:cs="黑体"/>
          <w:color w:val="000000"/>
          <w:sz w:val="36"/>
          <w:szCs w:val="36"/>
        </w:rPr>
      </w:pPr>
      <w:r>
        <w:rPr>
          <w:rFonts w:hint="eastAsia" w:ascii="方正小标宋简体" w:hAnsi="黑体" w:eastAsia="方正小标宋简体" w:cs="黑体"/>
          <w:color w:val="000000"/>
          <w:sz w:val="36"/>
          <w:szCs w:val="36"/>
        </w:rPr>
        <w:t>第七章</w:t>
      </w:r>
      <w:r>
        <w:rPr>
          <w:rFonts w:hint="eastAsia" w:ascii="方正小标宋简体" w:hAnsi="黑体" w:eastAsia="方正小标宋简体" w:cs="黑体"/>
          <w:color w:val="000000"/>
          <w:sz w:val="36"/>
          <w:szCs w:val="36"/>
          <w:lang w:val="en-US" w:eastAsia="zh-CN"/>
        </w:rPr>
        <w:t xml:space="preserve">  </w:t>
      </w:r>
      <w:r>
        <w:rPr>
          <w:rFonts w:hint="eastAsia" w:ascii="方正小标宋简体" w:hAnsi="黑体" w:eastAsia="方正小标宋简体" w:cs="黑体"/>
          <w:color w:val="000000"/>
          <w:sz w:val="36"/>
          <w:szCs w:val="36"/>
        </w:rPr>
        <w:t>绿色发展　加快生态安康建设</w:t>
      </w:r>
      <w:bookmarkEnd w:id="39"/>
    </w:p>
    <w:p>
      <w:pPr>
        <w:keepNext w:val="0"/>
        <w:keepLines w:val="0"/>
        <w:pageBreakBefore w:val="0"/>
        <w:widowControl w:val="0"/>
        <w:kinsoku/>
        <w:wordWrap/>
        <w:overflowPunct/>
        <w:topLinePunct w:val="0"/>
        <w:autoSpaceDE/>
        <w:bidi w:val="0"/>
        <w:adjustRightInd w:val="0"/>
        <w:snapToGrid w:val="0"/>
        <w:spacing w:line="560" w:lineRule="exact"/>
        <w:ind w:left="0" w:leftChars="0" w:right="0" w:rightChars="0" w:firstLine="640" w:firstLineChars="200"/>
        <w:textAlignment w:val="auto"/>
        <w:outlineLvl w:val="2"/>
        <w:rPr>
          <w:rFonts w:hint="eastAsia" w:eastAsia="方正小标宋简体"/>
          <w:color w:val="000000"/>
          <w:sz w:val="32"/>
          <w:szCs w:val="56"/>
        </w:rPr>
      </w:pPr>
    </w:p>
    <w:p>
      <w:pPr>
        <w:keepNext w:val="0"/>
        <w:keepLines w:val="0"/>
        <w:pageBreakBefore w:val="0"/>
        <w:widowControl w:val="0"/>
        <w:kinsoku/>
        <w:wordWrap/>
        <w:overflowPunct/>
        <w:topLinePunct w:val="0"/>
        <w:autoSpaceDE/>
        <w:bidi w:val="0"/>
        <w:spacing w:line="560" w:lineRule="exact"/>
        <w:ind w:left="0" w:leftChars="0" w:right="0" w:rightChars="0" w:firstLine="640" w:firstLineChars="200"/>
        <w:textAlignment w:val="auto"/>
        <w:rPr>
          <w:rFonts w:hint="eastAsia" w:eastAsia="仿宋_GB2312"/>
          <w:snapToGrid w:val="0"/>
          <w:color w:val="000000"/>
          <w:kern w:val="0"/>
          <w:sz w:val="32"/>
          <w:szCs w:val="32"/>
        </w:rPr>
      </w:pPr>
      <w:r>
        <w:rPr>
          <w:rFonts w:hint="eastAsia" w:eastAsia="仿宋_GB2312"/>
          <w:snapToGrid w:val="0"/>
          <w:color w:val="000000"/>
          <w:kern w:val="0"/>
          <w:sz w:val="32"/>
          <w:szCs w:val="32"/>
        </w:rPr>
        <w:t>坚持节约保护优先、自然修复为主，以提高环境质量为核心，统筹推进生态建设、环境保护、节能减排、综合治理，以绿色低碳循环发展为路径，探索构建人与自然和谐共生的生态环境，促进生态资源的永续利用、生态产品的持续供给。</w:t>
      </w:r>
    </w:p>
    <w:p>
      <w:pPr>
        <w:keepNext w:val="0"/>
        <w:keepLines w:val="0"/>
        <w:pageBreakBefore w:val="0"/>
        <w:widowControl w:val="0"/>
        <w:kinsoku/>
        <w:wordWrap/>
        <w:overflowPunct/>
        <w:topLinePunct w:val="0"/>
        <w:autoSpaceDE/>
        <w:bidi w:val="0"/>
        <w:spacing w:line="560" w:lineRule="exact"/>
        <w:ind w:left="0" w:leftChars="0" w:right="0" w:rightChars="0" w:firstLine="640" w:firstLineChars="200"/>
        <w:textAlignment w:val="auto"/>
        <w:rPr>
          <w:rFonts w:hint="eastAsia" w:eastAsia="仿宋_GB2312"/>
          <w:snapToGrid w:val="0"/>
          <w:color w:val="000000"/>
          <w:kern w:val="0"/>
          <w:sz w:val="32"/>
          <w:szCs w:val="32"/>
        </w:rPr>
      </w:pPr>
    </w:p>
    <w:p>
      <w:pPr>
        <w:keepNext w:val="0"/>
        <w:keepLines w:val="0"/>
        <w:pageBreakBefore w:val="0"/>
        <w:widowControl w:val="0"/>
        <w:kinsoku/>
        <w:wordWrap/>
        <w:overflowPunct/>
        <w:topLinePunct w:val="0"/>
        <w:autoSpaceDE/>
        <w:bidi w:val="0"/>
        <w:spacing w:line="560" w:lineRule="exact"/>
        <w:ind w:left="0" w:leftChars="0" w:right="0" w:rightChars="0"/>
        <w:jc w:val="center"/>
        <w:textAlignment w:val="auto"/>
        <w:outlineLvl w:val="1"/>
        <w:rPr>
          <w:rFonts w:eastAsia="黑体"/>
          <w:bCs/>
          <w:snapToGrid w:val="0"/>
          <w:color w:val="000000"/>
          <w:spacing w:val="6"/>
          <w:kern w:val="0"/>
          <w:sz w:val="32"/>
          <w:szCs w:val="32"/>
        </w:rPr>
      </w:pPr>
      <w:bookmarkStart w:id="40" w:name="_Toc22200"/>
      <w:r>
        <w:rPr>
          <w:rFonts w:hint="eastAsia" w:eastAsia="黑体"/>
          <w:bCs/>
          <w:snapToGrid w:val="0"/>
          <w:color w:val="000000"/>
          <w:spacing w:val="6"/>
          <w:kern w:val="0"/>
          <w:sz w:val="32"/>
          <w:szCs w:val="32"/>
        </w:rPr>
        <w:t>第二十六节</w:t>
      </w:r>
      <w:r>
        <w:rPr>
          <w:rFonts w:hint="eastAsia" w:eastAsia="黑体"/>
          <w:bCs/>
          <w:snapToGrid w:val="0"/>
          <w:color w:val="000000"/>
          <w:spacing w:val="6"/>
          <w:kern w:val="0"/>
          <w:sz w:val="32"/>
          <w:szCs w:val="32"/>
          <w:lang w:val="en-US" w:eastAsia="zh-CN"/>
        </w:rPr>
        <w:t xml:space="preserve">  </w:t>
      </w:r>
      <w:r>
        <w:rPr>
          <w:rFonts w:hint="eastAsia" w:eastAsia="黑体"/>
          <w:bCs/>
          <w:snapToGrid w:val="0"/>
          <w:color w:val="000000"/>
          <w:spacing w:val="6"/>
          <w:kern w:val="0"/>
          <w:sz w:val="32"/>
          <w:szCs w:val="32"/>
        </w:rPr>
        <w:t>全力增绿护水保蓝天</w:t>
      </w:r>
      <w:bookmarkEnd w:id="40"/>
    </w:p>
    <w:p>
      <w:pPr>
        <w:keepNext w:val="0"/>
        <w:keepLines w:val="0"/>
        <w:pageBreakBefore w:val="0"/>
        <w:widowControl w:val="0"/>
        <w:kinsoku/>
        <w:wordWrap/>
        <w:overflowPunct/>
        <w:topLinePunct w:val="0"/>
        <w:autoSpaceDE/>
        <w:bidi w:val="0"/>
        <w:adjustRightInd/>
        <w:snapToGrid/>
        <w:spacing w:line="560" w:lineRule="exact"/>
        <w:ind w:left="0" w:leftChars="0" w:right="0" w:rightChars="0" w:firstLine="640" w:firstLineChars="200"/>
        <w:jc w:val="both"/>
        <w:textAlignment w:val="auto"/>
        <w:outlineLvl w:val="9"/>
        <w:rPr>
          <w:rFonts w:hint="eastAsia" w:eastAsia="仿宋_GB2312"/>
          <w:b w:val="0"/>
          <w:bCs w:val="0"/>
          <w:snapToGrid w:val="0"/>
          <w:color w:val="000000"/>
          <w:kern w:val="0"/>
          <w:sz w:val="32"/>
          <w:szCs w:val="32"/>
        </w:rPr>
      </w:pPr>
      <w:r>
        <w:rPr>
          <w:rFonts w:hint="eastAsia" w:eastAsia="仿宋_GB2312"/>
          <w:b w:val="0"/>
          <w:bCs w:val="0"/>
          <w:snapToGrid w:val="0"/>
          <w:color w:val="000000"/>
          <w:kern w:val="0"/>
          <w:sz w:val="32"/>
          <w:szCs w:val="32"/>
        </w:rPr>
        <w:t>加快重点生态功能区建设。以“两屏一带一山多廊”为重点，建设生态安全体系</w:t>
      </w:r>
      <w:r>
        <w:rPr>
          <w:rFonts w:hint="eastAsia" w:eastAsia="仿宋_GB2312"/>
          <w:b w:val="0"/>
          <w:bCs w:val="0"/>
          <w:snapToGrid w:val="0"/>
          <w:color w:val="000000"/>
          <w:kern w:val="0"/>
          <w:sz w:val="32"/>
          <w:szCs w:val="32"/>
          <w:lang w:eastAsia="zh-CN"/>
        </w:rPr>
        <w:t>，提高生态产品供给能力</w:t>
      </w:r>
      <w:r>
        <w:rPr>
          <w:rFonts w:hint="eastAsia" w:eastAsia="仿宋_GB2312"/>
          <w:b w:val="0"/>
          <w:bCs w:val="0"/>
          <w:snapToGrid w:val="0"/>
          <w:color w:val="000000"/>
          <w:kern w:val="0"/>
          <w:sz w:val="32"/>
          <w:szCs w:val="32"/>
        </w:rPr>
        <w:t>。建立健全自然资源矿产产权制度和用途管制制度，对水流、森林、山岭、荒地等自然生态空间统一确权登记，编制自然资源资产负债表。深化自然资源及其产品市场化改革，推进环境污染第三方治理，积极开展水权、用能权及碳排放权市场交易。制定不同主体功能区差别化评价考核制度，积极推进资源环境承载能力监测预警机制和生态监测统计体系建设。</w:t>
      </w:r>
    </w:p>
    <w:p>
      <w:pPr>
        <w:keepNext w:val="0"/>
        <w:keepLines w:val="0"/>
        <w:pageBreakBefore w:val="0"/>
        <w:widowControl w:val="0"/>
        <w:kinsoku/>
        <w:wordWrap/>
        <w:overflowPunct/>
        <w:topLinePunct w:val="0"/>
        <w:autoSpaceDE/>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000000"/>
          <w:kern w:val="0"/>
          <w:sz w:val="32"/>
          <w:szCs w:val="32"/>
        </w:rPr>
      </w:pPr>
      <w:r>
        <w:rPr>
          <w:rFonts w:hint="eastAsia" w:eastAsia="仿宋_GB2312"/>
          <w:b w:val="0"/>
          <w:bCs w:val="0"/>
          <w:snapToGrid w:val="0"/>
          <w:color w:val="000000"/>
          <w:kern w:val="0"/>
          <w:sz w:val="32"/>
          <w:szCs w:val="32"/>
        </w:rPr>
        <w:t>推进国土空间绿化。</w:t>
      </w:r>
      <w:r>
        <w:rPr>
          <w:rFonts w:hint="eastAsia" w:eastAsia="仿宋_GB2312"/>
          <w:snapToGrid w:val="0"/>
          <w:color w:val="000000"/>
          <w:kern w:val="0"/>
          <w:sz w:val="32"/>
          <w:szCs w:val="32"/>
        </w:rPr>
        <w:t>继续实施天然林保护、长江防护林二期和新一轮退耕还林，加快推进</w:t>
      </w:r>
      <w:r>
        <w:rPr>
          <w:rFonts w:hint="eastAsia" w:ascii="仿宋_GB2312" w:hAnsi="仿宋_GB2312" w:eastAsia="仿宋_GB2312" w:cs="仿宋_GB2312"/>
          <w:snapToGrid w:val="0"/>
          <w:color w:val="000000"/>
          <w:kern w:val="0"/>
          <w:sz w:val="32"/>
          <w:szCs w:val="32"/>
        </w:rPr>
        <w:t>瀛湖绿化和“三沿三边”绿化工程，</w:t>
      </w:r>
      <w:r>
        <w:rPr>
          <w:rFonts w:hint="eastAsia" w:eastAsia="仿宋_GB2312"/>
          <w:snapToGrid w:val="0"/>
          <w:color w:val="000000"/>
          <w:kern w:val="0"/>
          <w:sz w:val="32"/>
          <w:szCs w:val="32"/>
        </w:rPr>
        <w:t>全面开展汉江两岸生态治理造林绿化工程。</w:t>
      </w:r>
      <w:r>
        <w:rPr>
          <w:rFonts w:hint="eastAsia" w:ascii="仿宋_GB2312" w:hAnsi="仿宋_GB2312" w:eastAsia="仿宋_GB2312" w:cs="仿宋_GB2312"/>
          <w:snapToGrid w:val="0"/>
          <w:color w:val="000000"/>
          <w:kern w:val="0"/>
          <w:sz w:val="32"/>
          <w:szCs w:val="32"/>
        </w:rPr>
        <w:t>突出山地森林化、城镇园林化、川道和汉江两岸景观化，建成国家森林城市。到2020年，五年累计</w:t>
      </w:r>
      <w:r>
        <w:rPr>
          <w:rFonts w:hint="eastAsia" w:ascii="仿宋_GB2312" w:hAnsi="仿宋_GB2312" w:eastAsia="仿宋_GB2312" w:cs="仿宋_GB2312"/>
          <w:snapToGrid w:val="0"/>
          <w:color w:val="000000"/>
          <w:kern w:val="0"/>
          <w:sz w:val="32"/>
          <w:szCs w:val="32"/>
          <w:lang w:eastAsia="zh-CN"/>
        </w:rPr>
        <w:t>绿化</w:t>
      </w:r>
      <w:r>
        <w:rPr>
          <w:rFonts w:hint="eastAsia" w:ascii="仿宋_GB2312" w:hAnsi="仿宋_GB2312" w:eastAsia="仿宋_GB2312" w:cs="仿宋_GB2312"/>
          <w:snapToGrid w:val="0"/>
          <w:color w:val="000000"/>
          <w:kern w:val="0"/>
          <w:sz w:val="32"/>
          <w:szCs w:val="32"/>
        </w:rPr>
        <w:t>造林250万亩，活立木蓄积量达到</w:t>
      </w:r>
      <w:r>
        <w:rPr>
          <w:rFonts w:hint="eastAsia" w:ascii="仿宋_GB2312" w:hAnsi="仿宋_GB2312" w:eastAsia="仿宋_GB2312" w:cs="仿宋_GB2312"/>
          <w:snapToGrid w:val="0"/>
          <w:color w:val="000000"/>
          <w:kern w:val="0"/>
          <w:sz w:val="32"/>
          <w:szCs w:val="32"/>
          <w:lang w:val="en-US" w:eastAsia="zh-CN"/>
        </w:rPr>
        <w:t>70</w:t>
      </w:r>
      <w:r>
        <w:rPr>
          <w:rFonts w:hint="eastAsia" w:ascii="仿宋_GB2312" w:hAnsi="仿宋_GB2312" w:eastAsia="仿宋_GB2312" w:cs="仿宋_GB2312"/>
          <w:snapToGrid w:val="0"/>
          <w:color w:val="000000"/>
          <w:kern w:val="0"/>
          <w:sz w:val="32"/>
          <w:szCs w:val="32"/>
        </w:rPr>
        <w:t>00万立方米，森林覆盖率68%。加强森林资源保护工作，巩固林业建设成果，切实保护秦巴山区生物多样性。</w:t>
      </w:r>
    </w:p>
    <w:p>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40" w:firstLineChars="200"/>
        <w:jc w:val="both"/>
        <w:textAlignment w:val="auto"/>
        <w:outlineLvl w:val="9"/>
        <w:rPr>
          <w:rFonts w:hint="eastAsia" w:eastAsia="仿宋_GB2312"/>
          <w:snapToGrid w:val="0"/>
          <w:color w:val="000000"/>
          <w:kern w:val="0"/>
          <w:sz w:val="32"/>
          <w:szCs w:val="32"/>
        </w:rPr>
      </w:pPr>
      <w:r>
        <w:rPr>
          <w:rFonts w:hint="eastAsia" w:eastAsia="仿宋_GB2312"/>
          <w:snapToGrid w:val="0"/>
          <w:color w:val="000000"/>
          <w:kern w:val="0"/>
          <w:sz w:val="32"/>
          <w:szCs w:val="32"/>
        </w:rPr>
        <w:t>实施清净水体工程。加快汉江干支流重点流域生态修复、水资源保护和防洪保安工程。健全汉江水质实时监控和环境应急体系，强化并完善</w:t>
      </w:r>
      <w:r>
        <w:rPr>
          <w:rFonts w:hint="eastAsia" w:eastAsia="仿宋_GB2312"/>
          <w:snapToGrid w:val="0"/>
          <w:color w:val="000000"/>
          <w:kern w:val="0"/>
          <w:sz w:val="32"/>
          <w:szCs w:val="32"/>
          <w:lang w:eastAsia="zh-CN"/>
        </w:rPr>
        <w:t>“</w:t>
      </w:r>
      <w:r>
        <w:rPr>
          <w:rFonts w:hint="eastAsia" w:eastAsia="仿宋_GB2312"/>
          <w:snapToGrid w:val="0"/>
          <w:color w:val="000000"/>
          <w:kern w:val="0"/>
          <w:sz w:val="32"/>
          <w:szCs w:val="32"/>
        </w:rPr>
        <w:t>河长</w:t>
      </w:r>
      <w:r>
        <w:rPr>
          <w:rFonts w:hint="eastAsia" w:eastAsia="仿宋_GB2312"/>
          <w:snapToGrid w:val="0"/>
          <w:color w:val="000000"/>
          <w:kern w:val="0"/>
          <w:sz w:val="32"/>
          <w:szCs w:val="32"/>
          <w:lang w:eastAsia="zh-CN"/>
        </w:rPr>
        <w:t>”</w:t>
      </w:r>
      <w:r>
        <w:rPr>
          <w:rFonts w:hint="eastAsia" w:eastAsia="仿宋_GB2312"/>
          <w:snapToGrid w:val="0"/>
          <w:color w:val="000000"/>
          <w:kern w:val="0"/>
          <w:sz w:val="32"/>
          <w:szCs w:val="32"/>
        </w:rPr>
        <w:t>制和网格化、流程化监管</w:t>
      </w:r>
      <w:r>
        <w:rPr>
          <w:rFonts w:hint="eastAsia" w:eastAsia="仿宋_GB2312"/>
          <w:snapToGrid w:val="0"/>
          <w:color w:val="000000"/>
          <w:kern w:val="0"/>
          <w:sz w:val="32"/>
          <w:szCs w:val="32"/>
          <w:lang w:eastAsia="zh-CN"/>
        </w:rPr>
        <w:t>等</w:t>
      </w:r>
      <w:r>
        <w:rPr>
          <w:rFonts w:hint="eastAsia" w:eastAsia="仿宋_GB2312"/>
          <w:snapToGrid w:val="0"/>
          <w:color w:val="000000"/>
          <w:kern w:val="0"/>
          <w:sz w:val="32"/>
          <w:szCs w:val="32"/>
        </w:rPr>
        <w:t>汉江水质保护长效机制，发挥联席会议、目标考核和责任追究的制度作用，夯实汉江水质保护的主体责任。抓好汉江流域水污染综合防治，加强饮用水水源地保护、地下水资源管理和重点江河断面水质监测。</w:t>
      </w:r>
      <w:r>
        <w:rPr>
          <w:rFonts w:hint="eastAsia" w:eastAsia="仿宋_GB2312"/>
          <w:snapToGrid w:val="0"/>
          <w:color w:val="000000"/>
          <w:kern w:val="0"/>
          <w:sz w:val="32"/>
          <w:szCs w:val="32"/>
          <w:lang w:eastAsia="zh-CN"/>
        </w:rPr>
        <w:t>到</w:t>
      </w:r>
      <w:r>
        <w:rPr>
          <w:rFonts w:hint="eastAsia" w:ascii="仿宋_GB2312" w:hAnsi="仿宋_GB2312" w:eastAsia="仿宋_GB2312" w:cs="仿宋_GB2312"/>
          <w:snapToGrid w:val="0"/>
          <w:color w:val="000000"/>
          <w:kern w:val="0"/>
          <w:sz w:val="32"/>
          <w:szCs w:val="32"/>
          <w:lang w:val="en-US" w:eastAsia="zh-CN"/>
        </w:rPr>
        <w:t>2020</w:t>
      </w:r>
      <w:r>
        <w:rPr>
          <w:rFonts w:hint="eastAsia" w:eastAsia="仿宋_GB2312"/>
          <w:snapToGrid w:val="0"/>
          <w:color w:val="000000"/>
          <w:kern w:val="0"/>
          <w:sz w:val="32"/>
          <w:szCs w:val="32"/>
          <w:lang w:val="en-US" w:eastAsia="zh-CN"/>
        </w:rPr>
        <w:t>年，全市</w:t>
      </w:r>
      <w:r>
        <w:rPr>
          <w:rFonts w:hint="eastAsia" w:eastAsia="仿宋_GB2312"/>
          <w:snapToGrid w:val="0"/>
          <w:color w:val="000000"/>
          <w:kern w:val="0"/>
          <w:sz w:val="32"/>
          <w:szCs w:val="32"/>
        </w:rPr>
        <w:t>主要污染物化学需氧量和氨氮排放量均控制在</w:t>
      </w:r>
      <w:r>
        <w:rPr>
          <w:rFonts w:hint="eastAsia" w:ascii="仿宋_GB2312" w:hAnsi="仿宋_GB2312" w:eastAsia="仿宋_GB2312" w:cs="仿宋_GB2312"/>
          <w:snapToGrid w:val="0"/>
          <w:color w:val="000000"/>
          <w:kern w:val="0"/>
          <w:sz w:val="32"/>
          <w:szCs w:val="32"/>
        </w:rPr>
        <w:t>2015</w:t>
      </w:r>
      <w:r>
        <w:rPr>
          <w:rFonts w:hint="eastAsia" w:eastAsia="仿宋_GB2312"/>
          <w:snapToGrid w:val="0"/>
          <w:color w:val="000000"/>
          <w:kern w:val="0"/>
          <w:sz w:val="32"/>
          <w:szCs w:val="32"/>
        </w:rPr>
        <w:t>年排放水平，确保汉江出陕断面水质和城镇供水水源地水质全面达标。</w:t>
      </w:r>
    </w:p>
    <w:p>
      <w:pPr>
        <w:keepNext w:val="0"/>
        <w:keepLines w:val="0"/>
        <w:pageBreakBefore w:val="0"/>
        <w:widowControl w:val="0"/>
        <w:kinsoku/>
        <w:wordWrap/>
        <w:overflowPunct/>
        <w:topLinePunct w:val="0"/>
        <w:autoSpaceDE/>
        <w:bidi w:val="0"/>
        <w:adjustRightInd/>
        <w:snapToGrid/>
        <w:spacing w:line="560" w:lineRule="exact"/>
        <w:ind w:left="0" w:leftChars="0" w:right="0" w:rightChars="0" w:firstLine="640" w:firstLineChars="200"/>
        <w:jc w:val="both"/>
        <w:textAlignment w:val="auto"/>
        <w:outlineLvl w:val="9"/>
        <w:rPr>
          <w:rFonts w:hint="eastAsia" w:ascii="仿宋_GB2312" w:eastAsia="仿宋_GB2312"/>
          <w:color w:val="000000"/>
          <w:sz w:val="32"/>
          <w:szCs w:val="32"/>
        </w:rPr>
      </w:pPr>
      <w:r>
        <w:rPr>
          <w:rFonts w:hint="eastAsia" w:eastAsia="仿宋_GB2312"/>
          <w:b w:val="0"/>
          <w:bCs w:val="0"/>
          <w:snapToGrid w:val="0"/>
          <w:color w:val="000000"/>
          <w:kern w:val="0"/>
          <w:sz w:val="32"/>
          <w:szCs w:val="32"/>
        </w:rPr>
        <w:t>加强大气污染防控。</w:t>
      </w:r>
      <w:r>
        <w:rPr>
          <w:rFonts w:hint="eastAsia" w:eastAsia="仿宋_GB2312"/>
          <w:b w:val="0"/>
          <w:bCs w:val="0"/>
          <w:snapToGrid w:val="0"/>
          <w:color w:val="000000"/>
          <w:kern w:val="0"/>
          <w:sz w:val="32"/>
          <w:szCs w:val="32"/>
          <w:lang w:eastAsia="zh-CN"/>
        </w:rPr>
        <w:t>大力</w:t>
      </w:r>
      <w:r>
        <w:rPr>
          <w:rFonts w:hint="eastAsia" w:eastAsia="仿宋_GB2312"/>
          <w:snapToGrid w:val="0"/>
          <w:color w:val="000000"/>
          <w:kern w:val="0"/>
          <w:sz w:val="32"/>
          <w:szCs w:val="32"/>
        </w:rPr>
        <w:t>实施“治污降霾·保卫蓝天”行动计划，持续改善空气质量，深入推进“减煤、控车、抑尘、治源、禁燃、增绿”等措施。倡导低碳出行、绿色消费</w:t>
      </w:r>
      <w:r>
        <w:rPr>
          <w:rFonts w:hint="eastAsia" w:eastAsia="仿宋_GB2312"/>
          <w:snapToGrid w:val="0"/>
          <w:color w:val="000000"/>
          <w:kern w:val="0"/>
          <w:sz w:val="32"/>
          <w:szCs w:val="32"/>
          <w:lang w:eastAsia="zh-CN"/>
        </w:rPr>
        <w:t>，</w:t>
      </w:r>
      <w:r>
        <w:rPr>
          <w:rFonts w:hint="eastAsia" w:eastAsia="仿宋_GB2312"/>
          <w:snapToGrid w:val="0"/>
          <w:color w:val="000000"/>
          <w:kern w:val="0"/>
          <w:sz w:val="32"/>
          <w:szCs w:val="32"/>
        </w:rPr>
        <w:t>积极</w:t>
      </w:r>
      <w:r>
        <w:rPr>
          <w:rFonts w:hint="eastAsia" w:eastAsia="仿宋_GB2312"/>
          <w:snapToGrid w:val="0"/>
          <w:color w:val="000000"/>
          <w:kern w:val="0"/>
          <w:sz w:val="32"/>
          <w:szCs w:val="32"/>
          <w:lang w:eastAsia="zh-CN"/>
        </w:rPr>
        <w:t>发展绿色交通，坚持公交先行，鼓励自行车等绿色出行。继续实施“气化安康”工程，持续抓好场站建设、次管网和用户联网扩面工作，加快推进天然气进小区入住户工作，不断提高天然气入户使用率。积极发展沼气能源，重点建设农村养殖小区沼气、联户沼气和规模养殖场大中型沼气工程，推广省柴节煤炉灶。鼓励开发利用太阳能、风能等清洁能源。建立健全大气污染综合</w:t>
      </w:r>
      <w:r>
        <w:rPr>
          <w:rFonts w:hint="eastAsia" w:ascii="仿宋_GB2312" w:eastAsia="仿宋_GB2312"/>
          <w:color w:val="000000"/>
          <w:sz w:val="32"/>
          <w:szCs w:val="32"/>
        </w:rPr>
        <w:t>防控监测监管体系，强化对大气污染源的执法监管和监测通报预警，加强细</w:t>
      </w:r>
      <w:r>
        <w:rPr>
          <w:rFonts w:hint="eastAsia" w:ascii="仿宋_GB2312" w:hAnsi="仿宋_GB2312" w:eastAsia="仿宋_GB2312" w:cs="仿宋_GB2312"/>
          <w:color w:val="000000"/>
          <w:sz w:val="32"/>
          <w:szCs w:val="32"/>
        </w:rPr>
        <w:t>颗粒物等环境质量指标检测管理。</w:t>
      </w:r>
      <w:r>
        <w:rPr>
          <w:rFonts w:hint="eastAsia" w:ascii="仿宋_GB2312" w:hAnsi="仿宋_GB2312" w:eastAsia="仿宋_GB2312" w:cs="仿宋_GB2312"/>
          <w:color w:val="000000"/>
          <w:sz w:val="32"/>
          <w:szCs w:val="32"/>
          <w:lang w:eastAsia="zh-CN"/>
        </w:rPr>
        <w:t>到</w:t>
      </w:r>
      <w:r>
        <w:rPr>
          <w:rFonts w:hint="eastAsia" w:ascii="仿宋_GB2312" w:hAnsi="仿宋_GB2312" w:eastAsia="仿宋_GB2312" w:cs="仿宋_GB2312"/>
          <w:color w:val="000000"/>
          <w:sz w:val="32"/>
          <w:szCs w:val="32"/>
          <w:lang w:val="en-US" w:eastAsia="zh-CN"/>
        </w:rPr>
        <w:t>2020年，全市</w:t>
      </w:r>
      <w:r>
        <w:rPr>
          <w:rFonts w:hint="eastAsia" w:ascii="仿宋_GB2312" w:hAnsi="仿宋_GB2312" w:eastAsia="仿宋_GB2312" w:cs="仿宋_GB2312"/>
          <w:snapToGrid w:val="0"/>
          <w:color w:val="000000"/>
          <w:kern w:val="0"/>
          <w:sz w:val="32"/>
          <w:szCs w:val="32"/>
        </w:rPr>
        <w:t>二氧化硫和氮氧化物排放总量均比2015年下降5%，重点行业烟粉尘排放量较2015年下降20%，</w:t>
      </w:r>
      <w:r>
        <w:rPr>
          <w:rFonts w:hint="eastAsia" w:ascii="仿宋_GB2312" w:eastAsia="仿宋_GB2312"/>
          <w:color w:val="000000"/>
          <w:sz w:val="32"/>
          <w:szCs w:val="32"/>
        </w:rPr>
        <w:t>城市空气环境质量位居全省前列。</w:t>
      </w:r>
    </w:p>
    <w:p>
      <w:pPr>
        <w:keepNext w:val="0"/>
        <w:keepLines w:val="0"/>
        <w:pageBreakBefore w:val="0"/>
        <w:widowControl w:val="0"/>
        <w:kinsoku/>
        <w:wordWrap/>
        <w:overflowPunct/>
        <w:topLinePunct w:val="0"/>
        <w:autoSpaceDE/>
        <w:bidi w:val="0"/>
        <w:adjustRightInd/>
        <w:snapToGrid/>
        <w:spacing w:line="560" w:lineRule="exact"/>
        <w:ind w:left="0" w:leftChars="0" w:right="0" w:rightChars="0" w:firstLine="640" w:firstLineChars="200"/>
        <w:jc w:val="both"/>
        <w:textAlignment w:val="auto"/>
        <w:outlineLvl w:val="9"/>
        <w:rPr>
          <w:rFonts w:hint="eastAsia" w:ascii="仿宋_GB2312" w:eastAsia="仿宋_GB2312"/>
          <w:color w:val="000000"/>
          <w:sz w:val="32"/>
          <w:szCs w:val="32"/>
        </w:rPr>
      </w:pPr>
    </w:p>
    <w:p>
      <w:pPr>
        <w:keepNext w:val="0"/>
        <w:keepLines w:val="0"/>
        <w:pageBreakBefore w:val="0"/>
        <w:widowControl w:val="0"/>
        <w:kinsoku/>
        <w:wordWrap/>
        <w:overflowPunct/>
        <w:topLinePunct w:val="0"/>
        <w:autoSpaceDE/>
        <w:bidi w:val="0"/>
        <w:spacing w:line="560" w:lineRule="exact"/>
        <w:ind w:left="0" w:leftChars="0" w:right="0" w:rightChars="0"/>
        <w:jc w:val="center"/>
        <w:textAlignment w:val="auto"/>
        <w:outlineLvl w:val="1"/>
        <w:rPr>
          <w:rFonts w:eastAsia="黑体"/>
          <w:bCs/>
          <w:snapToGrid w:val="0"/>
          <w:color w:val="000000"/>
          <w:spacing w:val="6"/>
          <w:kern w:val="0"/>
          <w:sz w:val="32"/>
          <w:szCs w:val="32"/>
        </w:rPr>
      </w:pPr>
      <w:bookmarkStart w:id="41" w:name="_Toc30551"/>
      <w:r>
        <w:rPr>
          <w:rFonts w:hint="eastAsia" w:eastAsia="黑体"/>
          <w:bCs/>
          <w:snapToGrid w:val="0"/>
          <w:color w:val="000000"/>
          <w:spacing w:val="6"/>
          <w:kern w:val="0"/>
          <w:sz w:val="32"/>
          <w:szCs w:val="32"/>
        </w:rPr>
        <w:t>第二十七节</w:t>
      </w:r>
      <w:r>
        <w:rPr>
          <w:rFonts w:hint="eastAsia" w:eastAsia="黑体"/>
          <w:bCs/>
          <w:snapToGrid w:val="0"/>
          <w:color w:val="000000"/>
          <w:spacing w:val="6"/>
          <w:kern w:val="0"/>
          <w:sz w:val="32"/>
          <w:szCs w:val="32"/>
          <w:lang w:val="en-US" w:eastAsia="zh-CN"/>
        </w:rPr>
        <w:t xml:space="preserve">  </w:t>
      </w:r>
      <w:r>
        <w:rPr>
          <w:rFonts w:hint="eastAsia" w:eastAsia="黑体"/>
          <w:bCs/>
          <w:snapToGrid w:val="0"/>
          <w:color w:val="000000"/>
          <w:spacing w:val="6"/>
          <w:kern w:val="0"/>
          <w:sz w:val="32"/>
          <w:szCs w:val="32"/>
        </w:rPr>
        <w:t>促进资源节约高效利用</w:t>
      </w:r>
      <w:bookmarkEnd w:id="41"/>
    </w:p>
    <w:p>
      <w:pPr>
        <w:keepNext w:val="0"/>
        <w:keepLines w:val="0"/>
        <w:pageBreakBefore w:val="0"/>
        <w:widowControl w:val="0"/>
        <w:kinsoku/>
        <w:wordWrap/>
        <w:overflowPunct/>
        <w:topLinePunct w:val="0"/>
        <w:autoSpaceDE/>
        <w:bidi w:val="0"/>
        <w:spacing w:line="560" w:lineRule="exact"/>
        <w:ind w:left="0" w:leftChars="0" w:right="0" w:rightChars="0" w:firstLine="640" w:firstLineChars="200"/>
        <w:textAlignment w:val="auto"/>
        <w:rPr>
          <w:rFonts w:hint="eastAsia" w:eastAsia="仿宋_GB2312"/>
          <w:snapToGrid w:val="0"/>
          <w:color w:val="000000"/>
          <w:kern w:val="0"/>
          <w:sz w:val="32"/>
          <w:szCs w:val="32"/>
        </w:rPr>
      </w:pPr>
      <w:r>
        <w:rPr>
          <w:rFonts w:hint="eastAsia" w:eastAsia="仿宋_GB2312"/>
          <w:b w:val="0"/>
          <w:bCs w:val="0"/>
          <w:snapToGrid w:val="0"/>
          <w:color w:val="000000"/>
          <w:kern w:val="0"/>
          <w:sz w:val="32"/>
          <w:szCs w:val="32"/>
        </w:rPr>
        <w:t>扎实推进节能</w:t>
      </w:r>
      <w:r>
        <w:rPr>
          <w:rFonts w:hint="eastAsia" w:eastAsia="仿宋_GB2312"/>
          <w:b w:val="0"/>
          <w:bCs w:val="0"/>
          <w:snapToGrid w:val="0"/>
          <w:color w:val="000000"/>
          <w:kern w:val="0"/>
          <w:sz w:val="32"/>
          <w:szCs w:val="32"/>
          <w:lang w:eastAsia="zh-CN"/>
        </w:rPr>
        <w:t>降耗</w:t>
      </w:r>
      <w:r>
        <w:rPr>
          <w:rFonts w:hint="eastAsia" w:eastAsia="仿宋_GB2312"/>
          <w:b w:val="0"/>
          <w:bCs w:val="0"/>
          <w:snapToGrid w:val="0"/>
          <w:color w:val="000000"/>
          <w:kern w:val="0"/>
          <w:sz w:val="32"/>
          <w:szCs w:val="32"/>
        </w:rPr>
        <w:t>。</w:t>
      </w:r>
      <w:r>
        <w:rPr>
          <w:rFonts w:hint="eastAsia" w:eastAsia="仿宋_GB2312"/>
          <w:snapToGrid w:val="0"/>
          <w:color w:val="000000"/>
          <w:kern w:val="0"/>
          <w:sz w:val="32"/>
          <w:szCs w:val="32"/>
        </w:rPr>
        <w:t>实行转存量、优增量、控总量、减量置换的能源消费控制政策</w:t>
      </w:r>
      <w:r>
        <w:rPr>
          <w:rFonts w:hint="eastAsia" w:eastAsia="仿宋_GB2312"/>
          <w:snapToGrid w:val="0"/>
          <w:color w:val="000000"/>
          <w:kern w:val="0"/>
          <w:sz w:val="32"/>
          <w:szCs w:val="32"/>
          <w:lang w:eastAsia="zh-CN"/>
        </w:rPr>
        <w:t>，</w:t>
      </w:r>
      <w:r>
        <w:rPr>
          <w:rFonts w:hint="eastAsia" w:eastAsia="仿宋_GB2312"/>
          <w:snapToGrid w:val="0"/>
          <w:color w:val="000000"/>
          <w:kern w:val="0"/>
          <w:sz w:val="32"/>
          <w:szCs w:val="32"/>
        </w:rPr>
        <w:t>重点抓好工业、农业、建筑、交通、公共机构等重点领域节能，强化重点耗能企业监管。淘汰落后产能，大力推广高效低碳节能技术和产品</w:t>
      </w:r>
      <w:r>
        <w:rPr>
          <w:rFonts w:hint="eastAsia" w:eastAsia="仿宋_GB2312"/>
          <w:snapToGrid w:val="0"/>
          <w:color w:val="000000"/>
          <w:kern w:val="0"/>
          <w:sz w:val="32"/>
          <w:szCs w:val="32"/>
          <w:lang w:eastAsia="zh-CN"/>
        </w:rPr>
        <w:t>，积极引导城乡居民购买使用节能环保产品，减少使用一次性用品</w:t>
      </w:r>
      <w:r>
        <w:rPr>
          <w:rFonts w:hint="eastAsia" w:eastAsia="仿宋_GB2312"/>
          <w:snapToGrid w:val="0"/>
          <w:color w:val="000000"/>
          <w:kern w:val="0"/>
          <w:sz w:val="32"/>
          <w:szCs w:val="32"/>
        </w:rPr>
        <w:t>。严把项目准入关口，</w:t>
      </w:r>
      <w:r>
        <w:rPr>
          <w:rFonts w:hint="eastAsia" w:eastAsia="仿宋_GB2312"/>
          <w:snapToGrid w:val="0"/>
          <w:color w:val="000000"/>
          <w:kern w:val="0"/>
          <w:sz w:val="32"/>
          <w:szCs w:val="32"/>
          <w:lang w:eastAsia="zh-CN"/>
        </w:rPr>
        <w:t>严格控制</w:t>
      </w:r>
      <w:r>
        <w:rPr>
          <w:rFonts w:hint="eastAsia" w:eastAsia="仿宋_GB2312"/>
          <w:snapToGrid w:val="0"/>
          <w:color w:val="000000"/>
          <w:kern w:val="0"/>
          <w:sz w:val="32"/>
          <w:szCs w:val="32"/>
        </w:rPr>
        <w:t>能耗强度和能源消费总量</w:t>
      </w:r>
      <w:r>
        <w:rPr>
          <w:rFonts w:hint="eastAsia" w:ascii="仿宋_GB2312" w:hAnsi="仿宋_GB2312" w:eastAsia="仿宋_GB2312" w:cs="仿宋_GB2312"/>
          <w:snapToGrid w:val="0"/>
          <w:color w:val="000000"/>
          <w:kern w:val="0"/>
          <w:sz w:val="32"/>
          <w:szCs w:val="32"/>
        </w:rPr>
        <w:t>。到2020年，全市一次能源消费总量控制在600万吨标煤以内，</w:t>
      </w:r>
      <w:r>
        <w:rPr>
          <w:rFonts w:hint="eastAsia" w:eastAsia="仿宋_GB2312"/>
          <w:snapToGrid w:val="0"/>
          <w:color w:val="000000"/>
          <w:kern w:val="0"/>
          <w:sz w:val="32"/>
          <w:szCs w:val="32"/>
        </w:rPr>
        <w:t>非化石能源占比</w:t>
      </w:r>
      <w:r>
        <w:rPr>
          <w:rFonts w:hint="eastAsia" w:ascii="仿宋_GB2312" w:hAnsi="仿宋_GB2312" w:eastAsia="仿宋_GB2312" w:cs="仿宋_GB2312"/>
          <w:snapToGrid w:val="0"/>
          <w:color w:val="000000"/>
          <w:kern w:val="0"/>
          <w:sz w:val="32"/>
          <w:szCs w:val="32"/>
        </w:rPr>
        <w:t>巩固在20%以上水平，</w:t>
      </w:r>
      <w:r>
        <w:rPr>
          <w:rFonts w:hint="eastAsia" w:ascii="仿宋_GB2312" w:hAnsi="仿宋_GB2312" w:eastAsia="仿宋_GB2312" w:cs="仿宋_GB2312"/>
          <w:snapToGrid w:val="0"/>
          <w:color w:val="000000"/>
          <w:kern w:val="0"/>
          <w:sz w:val="32"/>
          <w:szCs w:val="32"/>
          <w:lang w:eastAsia="zh-CN"/>
        </w:rPr>
        <w:t>单位</w:t>
      </w:r>
      <w:r>
        <w:rPr>
          <w:rFonts w:hint="eastAsia" w:ascii="仿宋_GB2312" w:hAnsi="仿宋_GB2312" w:eastAsia="仿宋_GB2312" w:cs="仿宋_GB2312"/>
          <w:snapToGrid w:val="0"/>
          <w:color w:val="000000"/>
          <w:kern w:val="0"/>
          <w:sz w:val="32"/>
          <w:szCs w:val="32"/>
        </w:rPr>
        <w:t>生产总值能耗和二氧化碳排放量</w:t>
      </w:r>
      <w:r>
        <w:rPr>
          <w:rFonts w:hint="eastAsia" w:ascii="仿宋_GB2312" w:hAnsi="仿宋_GB2312" w:eastAsia="仿宋_GB2312" w:cs="仿宋_GB2312"/>
          <w:snapToGrid w:val="0"/>
          <w:color w:val="000000"/>
          <w:kern w:val="0"/>
          <w:sz w:val="32"/>
          <w:szCs w:val="32"/>
          <w:lang w:eastAsia="zh-CN"/>
        </w:rPr>
        <w:t>分别</w:t>
      </w:r>
      <w:r>
        <w:rPr>
          <w:rFonts w:hint="eastAsia" w:ascii="仿宋_GB2312" w:hAnsi="仿宋_GB2312" w:eastAsia="仿宋_GB2312" w:cs="仿宋_GB2312"/>
          <w:snapToGrid w:val="0"/>
          <w:color w:val="000000"/>
          <w:kern w:val="0"/>
          <w:sz w:val="32"/>
          <w:szCs w:val="32"/>
        </w:rPr>
        <w:t>降低10%和12%。</w:t>
      </w:r>
    </w:p>
    <w:p>
      <w:pPr>
        <w:keepNext w:val="0"/>
        <w:keepLines w:val="0"/>
        <w:pageBreakBefore w:val="0"/>
        <w:widowControl w:val="0"/>
        <w:kinsoku/>
        <w:wordWrap/>
        <w:overflowPunct/>
        <w:topLinePunct w:val="0"/>
        <w:autoSpaceDE/>
        <w:bidi w:val="0"/>
        <w:spacing w:line="560" w:lineRule="exact"/>
        <w:ind w:left="0" w:leftChars="0" w:right="0" w:rightChars="0" w:firstLine="640" w:firstLineChars="200"/>
        <w:textAlignment w:val="auto"/>
        <w:rPr>
          <w:rFonts w:hint="eastAsia" w:ascii="仿宋_GB2312" w:eastAsia="仿宋_GB2312"/>
          <w:color w:val="000000"/>
          <w:sz w:val="32"/>
          <w:szCs w:val="32"/>
        </w:rPr>
      </w:pPr>
      <w:r>
        <w:rPr>
          <w:rFonts w:hint="eastAsia" w:eastAsia="仿宋_GB2312"/>
          <w:b w:val="0"/>
          <w:bCs w:val="0"/>
          <w:snapToGrid w:val="0"/>
          <w:color w:val="000000"/>
          <w:kern w:val="0"/>
          <w:sz w:val="32"/>
          <w:szCs w:val="32"/>
        </w:rPr>
        <w:t>集约</w:t>
      </w:r>
      <w:r>
        <w:rPr>
          <w:rFonts w:hint="eastAsia" w:eastAsia="仿宋_GB2312"/>
          <w:b w:val="0"/>
          <w:bCs w:val="0"/>
          <w:snapToGrid w:val="0"/>
          <w:color w:val="000000"/>
          <w:kern w:val="0"/>
          <w:sz w:val="32"/>
          <w:szCs w:val="32"/>
          <w:lang w:eastAsia="zh-CN"/>
        </w:rPr>
        <w:t>节约高效</w:t>
      </w:r>
      <w:r>
        <w:rPr>
          <w:rFonts w:hint="eastAsia" w:eastAsia="仿宋_GB2312"/>
          <w:b w:val="0"/>
          <w:bCs w:val="0"/>
          <w:snapToGrid w:val="0"/>
          <w:color w:val="000000"/>
          <w:kern w:val="0"/>
          <w:sz w:val="32"/>
          <w:szCs w:val="32"/>
        </w:rPr>
        <w:t>利用资源。</w:t>
      </w:r>
      <w:r>
        <w:rPr>
          <w:rFonts w:hint="eastAsia" w:eastAsia="仿宋_GB2312"/>
          <w:b w:val="0"/>
          <w:bCs w:val="0"/>
          <w:snapToGrid w:val="0"/>
          <w:color w:val="000000"/>
          <w:kern w:val="0"/>
          <w:sz w:val="32"/>
          <w:szCs w:val="32"/>
          <w:lang w:eastAsia="zh-CN"/>
        </w:rPr>
        <w:t>推动多种形式的农业土地适度规模经营，提高土地利用效益。</w:t>
      </w:r>
      <w:r>
        <w:rPr>
          <w:rFonts w:hint="eastAsia" w:eastAsia="仿宋_GB2312"/>
          <w:snapToGrid w:val="0"/>
          <w:color w:val="000000"/>
          <w:kern w:val="0"/>
          <w:sz w:val="32"/>
          <w:szCs w:val="32"/>
        </w:rPr>
        <w:t>严格落实耕地占补平衡，开展废弃工业用地的再利用，加强土地利用规划管控。加强矿产资源</w:t>
      </w:r>
      <w:r>
        <w:rPr>
          <w:rFonts w:hint="eastAsia" w:eastAsia="仿宋_GB2312"/>
          <w:snapToGrid w:val="0"/>
          <w:color w:val="000000"/>
          <w:kern w:val="0"/>
          <w:sz w:val="32"/>
          <w:szCs w:val="32"/>
          <w:lang w:eastAsia="zh-CN"/>
        </w:rPr>
        <w:t>和工业废水废气</w:t>
      </w:r>
      <w:r>
        <w:rPr>
          <w:rFonts w:hint="eastAsia" w:eastAsia="仿宋_GB2312"/>
          <w:snapToGrid w:val="0"/>
          <w:color w:val="000000"/>
          <w:kern w:val="0"/>
          <w:sz w:val="32"/>
          <w:szCs w:val="32"/>
        </w:rPr>
        <w:t>节约与综合利用，推进工矿废弃地综合整治再利用。实行严格的水资源管理制度，</w:t>
      </w:r>
      <w:r>
        <w:rPr>
          <w:rFonts w:hint="eastAsia" w:ascii="仿宋_GB2312" w:eastAsia="仿宋_GB2312"/>
          <w:color w:val="000000"/>
          <w:sz w:val="32"/>
          <w:szCs w:val="32"/>
        </w:rPr>
        <w:t>确立水资源开发利用控制、用水效率控制、水功能区限制纳污</w:t>
      </w:r>
      <w:r>
        <w:rPr>
          <w:rFonts w:hint="eastAsia" w:ascii="仿宋_GB2312" w:eastAsia="仿宋_GB2312"/>
          <w:color w:val="000000"/>
          <w:sz w:val="32"/>
          <w:szCs w:val="32"/>
          <w:lang w:eastAsia="zh-CN"/>
        </w:rPr>
        <w:t>“</w:t>
      </w:r>
      <w:r>
        <w:rPr>
          <w:rFonts w:hint="eastAsia" w:ascii="仿宋_GB2312" w:eastAsia="仿宋_GB2312"/>
          <w:color w:val="000000"/>
          <w:sz w:val="32"/>
          <w:szCs w:val="32"/>
        </w:rPr>
        <w:t>三条红线</w:t>
      </w:r>
      <w:r>
        <w:rPr>
          <w:rFonts w:hint="eastAsia" w:ascii="仿宋_GB2312" w:eastAsia="仿宋_GB2312"/>
          <w:color w:val="000000"/>
          <w:sz w:val="32"/>
          <w:szCs w:val="32"/>
          <w:lang w:eastAsia="zh-CN"/>
        </w:rPr>
        <w:t>”</w:t>
      </w:r>
      <w:r>
        <w:rPr>
          <w:rFonts w:hint="eastAsia" w:ascii="仿宋_GB2312" w:eastAsia="仿宋_GB2312"/>
          <w:color w:val="000000"/>
          <w:sz w:val="32"/>
          <w:szCs w:val="32"/>
        </w:rPr>
        <w:t>，促进水资源可持续利用方式转变。到2020年</w:t>
      </w:r>
      <w:r>
        <w:rPr>
          <w:rFonts w:hint="eastAsia" w:eastAsia="仿宋_GB2312"/>
          <w:snapToGrid w:val="0"/>
          <w:color w:val="000000"/>
          <w:kern w:val="0"/>
          <w:sz w:val="32"/>
          <w:szCs w:val="32"/>
        </w:rPr>
        <w:t>，矿产资源</w:t>
      </w:r>
      <w:r>
        <w:rPr>
          <w:rFonts w:hint="eastAsia" w:eastAsia="仿宋_GB2312"/>
          <w:snapToGrid w:val="0"/>
          <w:color w:val="000000"/>
          <w:kern w:val="0"/>
          <w:sz w:val="32"/>
          <w:szCs w:val="32"/>
          <w:lang w:eastAsia="zh-CN"/>
        </w:rPr>
        <w:t>综合利用率</w:t>
      </w:r>
      <w:r>
        <w:rPr>
          <w:rFonts w:hint="eastAsia" w:eastAsia="仿宋_GB2312"/>
          <w:snapToGrid w:val="0"/>
          <w:color w:val="000000"/>
          <w:kern w:val="0"/>
          <w:sz w:val="32"/>
          <w:szCs w:val="32"/>
        </w:rPr>
        <w:t>提高</w:t>
      </w:r>
      <w:r>
        <w:rPr>
          <w:rFonts w:hint="eastAsia" w:ascii="仿宋_GB2312" w:hAnsi="仿宋_GB2312" w:eastAsia="仿宋_GB2312" w:cs="仿宋_GB2312"/>
          <w:snapToGrid w:val="0"/>
          <w:color w:val="000000"/>
          <w:kern w:val="0"/>
          <w:sz w:val="32"/>
          <w:szCs w:val="32"/>
        </w:rPr>
        <w:t>15%</w:t>
      </w:r>
      <w:r>
        <w:rPr>
          <w:rFonts w:hint="eastAsia" w:eastAsia="仿宋_GB2312"/>
          <w:snapToGrid w:val="0"/>
          <w:color w:val="000000"/>
          <w:kern w:val="0"/>
          <w:sz w:val="32"/>
          <w:szCs w:val="32"/>
        </w:rPr>
        <w:t>以上</w:t>
      </w:r>
      <w:r>
        <w:rPr>
          <w:rFonts w:hint="eastAsia" w:ascii="仿宋_GB2312" w:eastAsia="仿宋_GB2312"/>
          <w:color w:val="000000"/>
          <w:sz w:val="32"/>
          <w:szCs w:val="32"/>
        </w:rPr>
        <w:t>，万元GDP用水量下降25%。</w:t>
      </w:r>
    </w:p>
    <w:p>
      <w:pPr>
        <w:keepNext w:val="0"/>
        <w:keepLines w:val="0"/>
        <w:pageBreakBefore w:val="0"/>
        <w:widowControl w:val="0"/>
        <w:kinsoku/>
        <w:wordWrap/>
        <w:overflowPunct/>
        <w:topLinePunct w:val="0"/>
        <w:autoSpaceDE/>
        <w:bidi w:val="0"/>
        <w:spacing w:line="560" w:lineRule="exact"/>
        <w:ind w:left="0" w:leftChars="0" w:right="0" w:rightChars="0"/>
        <w:jc w:val="center"/>
        <w:textAlignment w:val="auto"/>
        <w:rPr>
          <w:rFonts w:hint="eastAsia" w:ascii="黑体" w:hAnsi="黑体" w:eastAsia="黑体" w:cs="黑体"/>
          <w:snapToGrid w:val="0"/>
          <w:color w:val="000000"/>
          <w:kern w:val="0"/>
          <w:sz w:val="32"/>
          <w:szCs w:val="32"/>
        </w:rPr>
      </w:pPr>
    </w:p>
    <w:p>
      <w:pPr>
        <w:keepNext w:val="0"/>
        <w:keepLines w:val="0"/>
        <w:pageBreakBefore w:val="0"/>
        <w:widowControl w:val="0"/>
        <w:kinsoku/>
        <w:wordWrap/>
        <w:overflowPunct/>
        <w:topLinePunct w:val="0"/>
        <w:autoSpaceDE/>
        <w:bidi w:val="0"/>
        <w:spacing w:line="560" w:lineRule="exact"/>
        <w:ind w:left="0" w:leftChars="0" w:right="0" w:rightChars="0"/>
        <w:jc w:val="center"/>
        <w:textAlignment w:val="auto"/>
        <w:rPr>
          <w:rFonts w:hint="eastAsia" w:ascii="黑体" w:hAnsi="黑体" w:eastAsia="黑体" w:cs="黑体"/>
          <w:snapToGrid w:val="0"/>
          <w:color w:val="000000"/>
          <w:kern w:val="0"/>
          <w:sz w:val="32"/>
          <w:szCs w:val="32"/>
        </w:rPr>
      </w:pPr>
      <w:r>
        <w:rPr>
          <w:rFonts w:hint="eastAsia" w:ascii="黑体" w:hAnsi="黑体" w:eastAsia="黑体" w:cs="黑体"/>
          <w:snapToGrid w:val="0"/>
          <w:color w:val="000000"/>
          <w:kern w:val="0"/>
          <w:sz w:val="32"/>
          <w:szCs w:val="32"/>
        </w:rPr>
        <w:t>第二十八节</w:t>
      </w:r>
      <w:r>
        <w:rPr>
          <w:rFonts w:hint="eastAsia" w:ascii="黑体" w:hAnsi="黑体" w:eastAsia="黑体" w:cs="黑体"/>
          <w:snapToGrid w:val="0"/>
          <w:color w:val="000000"/>
          <w:kern w:val="0"/>
          <w:sz w:val="32"/>
          <w:szCs w:val="32"/>
          <w:lang w:val="en-US" w:eastAsia="zh-CN"/>
        </w:rPr>
        <w:t xml:space="preserve">  </w:t>
      </w:r>
      <w:r>
        <w:rPr>
          <w:rFonts w:hint="eastAsia" w:ascii="黑体" w:hAnsi="黑体" w:eastAsia="黑体" w:cs="黑体"/>
          <w:snapToGrid w:val="0"/>
          <w:color w:val="000000"/>
          <w:kern w:val="0"/>
          <w:sz w:val="32"/>
          <w:szCs w:val="32"/>
        </w:rPr>
        <w:t>加强生态环境综合治理</w:t>
      </w:r>
    </w:p>
    <w:p>
      <w:pPr>
        <w:keepNext w:val="0"/>
        <w:keepLines w:val="0"/>
        <w:pageBreakBefore w:val="0"/>
        <w:widowControl w:val="0"/>
        <w:kinsoku/>
        <w:wordWrap/>
        <w:overflowPunct/>
        <w:topLinePunct w:val="0"/>
        <w:autoSpaceDE/>
        <w:autoSpaceDN w:val="0"/>
        <w:bidi w:val="0"/>
        <w:spacing w:line="560" w:lineRule="exact"/>
        <w:ind w:left="0" w:leftChars="0" w:right="0" w:rightChars="0" w:firstLine="640" w:firstLineChars="200"/>
        <w:textAlignment w:val="auto"/>
        <w:rPr>
          <w:rFonts w:hint="eastAsia" w:ascii="仿宋_GB2312" w:eastAsia="仿宋_GB2312"/>
          <w:b w:val="0"/>
          <w:bCs w:val="0"/>
          <w:color w:val="000000"/>
          <w:sz w:val="32"/>
          <w:szCs w:val="32"/>
        </w:rPr>
      </w:pPr>
      <w:r>
        <w:rPr>
          <w:rFonts w:hint="eastAsia" w:ascii="仿宋_GB2312" w:eastAsia="仿宋_GB2312"/>
          <w:b w:val="0"/>
          <w:bCs w:val="0"/>
          <w:color w:val="000000"/>
          <w:sz w:val="32"/>
          <w:szCs w:val="32"/>
          <w:lang w:eastAsia="zh-CN"/>
        </w:rPr>
        <w:t>严格落实地方政府环境保护责任，建立健全环境质量目标责任制和评价考核机制。</w:t>
      </w:r>
      <w:r>
        <w:rPr>
          <w:rFonts w:hint="eastAsia" w:ascii="仿宋_GB2312" w:eastAsia="仿宋_GB2312"/>
          <w:b w:val="0"/>
          <w:bCs w:val="0"/>
          <w:color w:val="000000"/>
          <w:sz w:val="32"/>
          <w:szCs w:val="32"/>
        </w:rPr>
        <w:t>严格执行环境影响评价准入制度，加强环境执法监管，严厉打击各类环境违法行为，防范环境风险，保障生态安全。</w:t>
      </w:r>
    </w:p>
    <w:p>
      <w:pPr>
        <w:keepNext w:val="0"/>
        <w:keepLines w:val="0"/>
        <w:pageBreakBefore w:val="0"/>
        <w:widowControl w:val="0"/>
        <w:kinsoku/>
        <w:wordWrap/>
        <w:overflowPunct/>
        <w:topLinePunct w:val="0"/>
        <w:autoSpaceDE/>
        <w:bidi w:val="0"/>
        <w:spacing w:line="560" w:lineRule="exact"/>
        <w:ind w:left="0" w:leftChars="0" w:right="0" w:rightChars="0" w:firstLine="640" w:firstLineChars="200"/>
        <w:textAlignment w:val="auto"/>
        <w:rPr>
          <w:rFonts w:hint="eastAsia" w:ascii="仿宋_GB2312" w:hAnsi="仿宋_GB2312" w:eastAsia="仿宋_GB2312" w:cs="仿宋_GB2312"/>
          <w:b w:val="0"/>
          <w:bCs w:val="0"/>
          <w:snapToGrid w:val="0"/>
          <w:color w:val="000000"/>
          <w:kern w:val="0"/>
          <w:sz w:val="32"/>
          <w:szCs w:val="32"/>
        </w:rPr>
      </w:pPr>
      <w:r>
        <w:rPr>
          <w:rFonts w:hint="eastAsia" w:eastAsia="仿宋_GB2312"/>
          <w:b w:val="0"/>
          <w:bCs w:val="0"/>
          <w:snapToGrid w:val="0"/>
          <w:color w:val="000000"/>
          <w:kern w:val="0"/>
          <w:sz w:val="32"/>
          <w:szCs w:val="32"/>
        </w:rPr>
        <w:t>推进环</w:t>
      </w:r>
      <w:r>
        <w:rPr>
          <w:rFonts w:hint="eastAsia" w:eastAsia="仿宋_GB2312"/>
          <w:b w:val="0"/>
          <w:bCs w:val="0"/>
          <w:snapToGrid w:val="0"/>
          <w:color w:val="000000"/>
          <w:kern w:val="0"/>
          <w:sz w:val="32"/>
          <w:szCs w:val="32"/>
          <w:lang w:eastAsia="zh-CN"/>
        </w:rPr>
        <w:t>保</w:t>
      </w:r>
      <w:r>
        <w:rPr>
          <w:rFonts w:hint="eastAsia" w:eastAsia="仿宋_GB2312"/>
          <w:b w:val="0"/>
          <w:bCs w:val="0"/>
          <w:snapToGrid w:val="0"/>
          <w:color w:val="000000"/>
          <w:kern w:val="0"/>
          <w:sz w:val="32"/>
          <w:szCs w:val="32"/>
        </w:rPr>
        <w:t>基础设施建设。加强垃圾、污水处理设施建设，</w:t>
      </w:r>
      <w:r>
        <w:rPr>
          <w:rFonts w:hint="eastAsia" w:eastAsia="仿宋_GB2312"/>
          <w:b w:val="0"/>
          <w:bCs w:val="0"/>
          <w:snapToGrid w:val="0"/>
          <w:color w:val="000000"/>
          <w:kern w:val="0"/>
          <w:sz w:val="32"/>
          <w:szCs w:val="32"/>
          <w:lang w:eastAsia="zh-CN"/>
        </w:rPr>
        <w:t>完善城镇污水处理设施及配套管网，升级改造现有污水处理设施，</w:t>
      </w:r>
      <w:r>
        <w:rPr>
          <w:rFonts w:hint="eastAsia" w:eastAsia="仿宋_GB2312"/>
          <w:b w:val="0"/>
          <w:bCs w:val="0"/>
          <w:snapToGrid w:val="0"/>
          <w:color w:val="000000"/>
          <w:kern w:val="0"/>
          <w:sz w:val="32"/>
          <w:szCs w:val="32"/>
        </w:rPr>
        <w:t>逐步达到中心城市、县</w:t>
      </w:r>
      <w:r>
        <w:rPr>
          <w:rFonts w:hint="eastAsia" w:ascii="仿宋_GB2312" w:eastAsia="仿宋_GB2312" w:cs="仿宋_GB2312"/>
          <w:b w:val="0"/>
          <w:bCs w:val="0"/>
          <w:snapToGrid w:val="0"/>
          <w:color w:val="000000"/>
          <w:kern w:val="0"/>
          <w:sz w:val="32"/>
          <w:szCs w:val="32"/>
        </w:rPr>
        <w:t>城、沿江35个重点</w:t>
      </w:r>
      <w:r>
        <w:rPr>
          <w:rFonts w:hint="eastAsia" w:eastAsia="仿宋_GB2312"/>
          <w:b w:val="0"/>
          <w:bCs w:val="0"/>
          <w:snapToGrid w:val="0"/>
          <w:color w:val="000000"/>
          <w:kern w:val="0"/>
          <w:sz w:val="32"/>
          <w:szCs w:val="32"/>
        </w:rPr>
        <w:t>镇全覆盖和稳定运行</w:t>
      </w:r>
      <w:r>
        <w:rPr>
          <w:rFonts w:hint="eastAsia" w:ascii="仿宋_GB2312" w:eastAsia="仿宋_GB2312" w:cs="仿宋_GB2312"/>
          <w:b w:val="0"/>
          <w:bCs w:val="0"/>
          <w:snapToGrid w:val="0"/>
          <w:color w:val="000000"/>
          <w:kern w:val="0"/>
          <w:sz w:val="32"/>
          <w:szCs w:val="32"/>
        </w:rPr>
        <w:t>，实现主要污染物减量排放或近零排放</w:t>
      </w:r>
      <w:r>
        <w:rPr>
          <w:rFonts w:hint="eastAsia" w:eastAsia="仿宋_GB2312"/>
          <w:b w:val="0"/>
          <w:bCs w:val="0"/>
          <w:snapToGrid w:val="0"/>
          <w:color w:val="000000"/>
          <w:kern w:val="0"/>
          <w:sz w:val="32"/>
          <w:szCs w:val="32"/>
        </w:rPr>
        <w:t>。</w:t>
      </w:r>
      <w:r>
        <w:rPr>
          <w:rFonts w:hint="eastAsia" w:eastAsia="仿宋_GB2312"/>
          <w:b w:val="0"/>
          <w:bCs w:val="0"/>
          <w:snapToGrid w:val="0"/>
          <w:color w:val="000000"/>
          <w:kern w:val="0"/>
          <w:sz w:val="32"/>
          <w:szCs w:val="32"/>
          <w:lang w:eastAsia="zh-CN"/>
        </w:rPr>
        <w:t>到</w:t>
      </w:r>
      <w:r>
        <w:rPr>
          <w:rFonts w:hint="eastAsia" w:ascii="仿宋_GB2312" w:hAnsi="仿宋_GB2312" w:eastAsia="仿宋_GB2312" w:cs="仿宋_GB2312"/>
          <w:b w:val="0"/>
          <w:bCs w:val="0"/>
          <w:snapToGrid w:val="0"/>
          <w:color w:val="000000"/>
          <w:kern w:val="0"/>
          <w:sz w:val="32"/>
          <w:szCs w:val="32"/>
        </w:rPr>
        <w:t>2020年，中心城市</w:t>
      </w:r>
      <w:r>
        <w:rPr>
          <w:rFonts w:hint="eastAsia" w:ascii="仿宋_GB2312" w:hAnsi="仿宋_GB2312" w:eastAsia="仿宋_GB2312" w:cs="仿宋_GB2312"/>
          <w:b w:val="0"/>
          <w:bCs w:val="0"/>
          <w:snapToGrid w:val="0"/>
          <w:color w:val="000000"/>
          <w:kern w:val="0"/>
          <w:sz w:val="32"/>
          <w:szCs w:val="32"/>
          <w:lang w:eastAsia="zh-CN"/>
        </w:rPr>
        <w:t>、</w:t>
      </w:r>
      <w:r>
        <w:rPr>
          <w:rFonts w:hint="eastAsia" w:ascii="仿宋_GB2312" w:hAnsi="仿宋_GB2312" w:eastAsia="仿宋_GB2312" w:cs="仿宋_GB2312"/>
          <w:b w:val="0"/>
          <w:bCs w:val="0"/>
          <w:snapToGrid w:val="0"/>
          <w:color w:val="000000"/>
          <w:kern w:val="0"/>
          <w:sz w:val="32"/>
          <w:szCs w:val="32"/>
        </w:rPr>
        <w:t>县城污水</w:t>
      </w:r>
      <w:r>
        <w:rPr>
          <w:rFonts w:hint="eastAsia" w:ascii="仿宋_GB2312" w:hAnsi="仿宋_GB2312" w:eastAsia="仿宋_GB2312" w:cs="仿宋_GB2312"/>
          <w:b w:val="0"/>
          <w:bCs w:val="0"/>
          <w:snapToGrid w:val="0"/>
          <w:color w:val="000000"/>
          <w:kern w:val="0"/>
          <w:sz w:val="32"/>
          <w:szCs w:val="32"/>
          <w:lang w:eastAsia="zh-CN"/>
        </w:rPr>
        <w:t>处理率分别达到</w:t>
      </w:r>
      <w:r>
        <w:rPr>
          <w:rFonts w:hint="eastAsia" w:ascii="仿宋_GB2312" w:hAnsi="仿宋_GB2312" w:eastAsia="仿宋_GB2312" w:cs="仿宋_GB2312"/>
          <w:b w:val="0"/>
          <w:bCs w:val="0"/>
          <w:snapToGrid w:val="0"/>
          <w:color w:val="000000"/>
          <w:kern w:val="0"/>
          <w:sz w:val="32"/>
          <w:szCs w:val="32"/>
          <w:lang w:val="en-US" w:eastAsia="zh-CN"/>
        </w:rPr>
        <w:t>90%和85%，生活垃圾</w:t>
      </w:r>
      <w:r>
        <w:rPr>
          <w:rFonts w:hint="eastAsia" w:ascii="仿宋_GB2312" w:hAnsi="仿宋_GB2312" w:eastAsia="仿宋_GB2312" w:cs="仿宋_GB2312"/>
          <w:b w:val="0"/>
          <w:bCs w:val="0"/>
          <w:snapToGrid w:val="0"/>
          <w:color w:val="000000"/>
          <w:kern w:val="0"/>
          <w:sz w:val="32"/>
          <w:szCs w:val="32"/>
          <w:lang w:eastAsia="zh-CN"/>
        </w:rPr>
        <w:t>无害化</w:t>
      </w:r>
      <w:r>
        <w:rPr>
          <w:rFonts w:hint="eastAsia" w:ascii="仿宋_GB2312" w:hAnsi="仿宋_GB2312" w:eastAsia="仿宋_GB2312" w:cs="仿宋_GB2312"/>
          <w:b w:val="0"/>
          <w:bCs w:val="0"/>
          <w:snapToGrid w:val="0"/>
          <w:color w:val="000000"/>
          <w:kern w:val="0"/>
          <w:sz w:val="32"/>
          <w:szCs w:val="32"/>
        </w:rPr>
        <w:t>处理率</w:t>
      </w:r>
      <w:r>
        <w:rPr>
          <w:rFonts w:hint="eastAsia" w:ascii="仿宋_GB2312" w:hAnsi="仿宋_GB2312" w:eastAsia="仿宋_GB2312" w:cs="仿宋_GB2312"/>
          <w:b w:val="0"/>
          <w:bCs w:val="0"/>
          <w:snapToGrid w:val="0"/>
          <w:color w:val="000000"/>
          <w:kern w:val="0"/>
          <w:sz w:val="32"/>
          <w:szCs w:val="32"/>
          <w:lang w:eastAsia="zh-CN"/>
        </w:rPr>
        <w:t>分别达到</w:t>
      </w:r>
      <w:r>
        <w:rPr>
          <w:rFonts w:hint="eastAsia" w:ascii="仿宋_GB2312" w:hAnsi="仿宋_GB2312" w:eastAsia="仿宋_GB2312" w:cs="仿宋_GB2312"/>
          <w:b w:val="0"/>
          <w:bCs w:val="0"/>
          <w:snapToGrid w:val="0"/>
          <w:color w:val="000000"/>
          <w:kern w:val="0"/>
          <w:sz w:val="32"/>
          <w:szCs w:val="32"/>
          <w:lang w:val="en-US" w:eastAsia="zh-CN"/>
        </w:rPr>
        <w:t>100%和</w:t>
      </w:r>
      <w:r>
        <w:rPr>
          <w:rFonts w:hint="eastAsia" w:ascii="仿宋_GB2312" w:hAnsi="仿宋_GB2312" w:eastAsia="仿宋_GB2312" w:cs="仿宋_GB2312"/>
          <w:b w:val="0"/>
          <w:bCs w:val="0"/>
          <w:snapToGrid w:val="0"/>
          <w:color w:val="000000"/>
          <w:kern w:val="0"/>
          <w:sz w:val="32"/>
          <w:szCs w:val="32"/>
        </w:rPr>
        <w:t>95%。</w:t>
      </w:r>
    </w:p>
    <w:p>
      <w:pPr>
        <w:keepNext w:val="0"/>
        <w:keepLines w:val="0"/>
        <w:pageBreakBefore w:val="0"/>
        <w:widowControl w:val="0"/>
        <w:kinsoku/>
        <w:wordWrap/>
        <w:overflowPunct/>
        <w:topLinePunct w:val="0"/>
        <w:autoSpaceDE/>
        <w:bidi w:val="0"/>
        <w:spacing w:line="560" w:lineRule="exact"/>
        <w:ind w:left="0" w:leftChars="0" w:right="0" w:rightChars="0" w:firstLine="640" w:firstLineChars="200"/>
        <w:textAlignment w:val="auto"/>
        <w:rPr>
          <w:rFonts w:hint="eastAsia" w:eastAsia="仿宋_GB2312"/>
          <w:b w:val="0"/>
          <w:bCs w:val="0"/>
          <w:snapToGrid w:val="0"/>
          <w:color w:val="000000"/>
          <w:kern w:val="0"/>
          <w:sz w:val="32"/>
          <w:szCs w:val="32"/>
        </w:rPr>
      </w:pPr>
      <w:r>
        <w:rPr>
          <w:rFonts w:hint="eastAsia" w:eastAsia="仿宋_GB2312"/>
          <w:b w:val="0"/>
          <w:bCs w:val="0"/>
          <w:snapToGrid w:val="0"/>
          <w:color w:val="000000"/>
          <w:kern w:val="0"/>
          <w:sz w:val="32"/>
          <w:szCs w:val="32"/>
        </w:rPr>
        <w:t>实施城乡环境综合整治。围绕农村清洁家园、清洁田园、清洁水源建设目标，着力推进生态创建工程</w:t>
      </w:r>
      <w:r>
        <w:rPr>
          <w:rFonts w:hint="eastAsia" w:eastAsia="仿宋_GB2312"/>
          <w:b w:val="0"/>
          <w:bCs w:val="0"/>
          <w:snapToGrid w:val="0"/>
          <w:color w:val="000000"/>
          <w:kern w:val="0"/>
          <w:sz w:val="32"/>
          <w:szCs w:val="32"/>
          <w:lang w:eastAsia="zh-CN"/>
        </w:rPr>
        <w:t>。</w:t>
      </w:r>
      <w:r>
        <w:rPr>
          <w:rFonts w:hint="eastAsia" w:eastAsia="仿宋_GB2312"/>
          <w:b w:val="0"/>
          <w:bCs w:val="0"/>
          <w:snapToGrid w:val="0"/>
          <w:color w:val="000000"/>
          <w:kern w:val="0"/>
          <w:sz w:val="32"/>
          <w:szCs w:val="32"/>
        </w:rPr>
        <w:t>实施农村环境集中连片整治</w:t>
      </w:r>
      <w:r>
        <w:rPr>
          <w:rFonts w:hint="eastAsia" w:eastAsia="仿宋_GB2312"/>
          <w:b w:val="0"/>
          <w:bCs w:val="0"/>
          <w:snapToGrid w:val="0"/>
          <w:color w:val="000000"/>
          <w:kern w:val="0"/>
          <w:sz w:val="32"/>
          <w:szCs w:val="32"/>
          <w:lang w:eastAsia="zh-CN"/>
        </w:rPr>
        <w:t>和农业面源污染治理</w:t>
      </w:r>
      <w:r>
        <w:rPr>
          <w:rFonts w:hint="eastAsia" w:eastAsia="仿宋_GB2312"/>
          <w:b w:val="0"/>
          <w:bCs w:val="0"/>
          <w:snapToGrid w:val="0"/>
          <w:color w:val="000000"/>
          <w:kern w:val="0"/>
          <w:sz w:val="32"/>
          <w:szCs w:val="32"/>
        </w:rPr>
        <w:t>，实施种植业节肥减药工程</w:t>
      </w:r>
      <w:r>
        <w:rPr>
          <w:rFonts w:hint="eastAsia" w:eastAsia="仿宋_GB2312"/>
          <w:b w:val="0"/>
          <w:bCs w:val="0"/>
          <w:snapToGrid w:val="0"/>
          <w:color w:val="000000"/>
          <w:kern w:val="0"/>
          <w:sz w:val="32"/>
          <w:szCs w:val="32"/>
          <w:lang w:eastAsia="zh-CN"/>
        </w:rPr>
        <w:t>，加强</w:t>
      </w:r>
      <w:r>
        <w:rPr>
          <w:rFonts w:hint="eastAsia" w:eastAsia="仿宋_GB2312"/>
          <w:b w:val="0"/>
          <w:bCs w:val="0"/>
          <w:snapToGrid w:val="0"/>
          <w:color w:val="000000"/>
          <w:kern w:val="0"/>
          <w:sz w:val="32"/>
          <w:szCs w:val="32"/>
        </w:rPr>
        <w:t>规模畜禽养殖场污染治理</w:t>
      </w:r>
      <w:r>
        <w:rPr>
          <w:rFonts w:hint="eastAsia" w:eastAsia="仿宋_GB2312"/>
          <w:b w:val="0"/>
          <w:bCs w:val="0"/>
          <w:snapToGrid w:val="0"/>
          <w:color w:val="000000"/>
          <w:kern w:val="0"/>
          <w:sz w:val="32"/>
          <w:szCs w:val="32"/>
          <w:lang w:eastAsia="zh-CN"/>
        </w:rPr>
        <w:t>，</w:t>
      </w:r>
      <w:r>
        <w:rPr>
          <w:rFonts w:hint="eastAsia" w:eastAsia="仿宋_GB2312"/>
          <w:b w:val="0"/>
          <w:bCs w:val="0"/>
          <w:snapToGrid w:val="0"/>
          <w:color w:val="000000"/>
          <w:kern w:val="0"/>
          <w:sz w:val="32"/>
          <w:szCs w:val="32"/>
        </w:rPr>
        <w:t>推进种养业废弃物资源化利用、无害化处置。</w:t>
      </w:r>
      <w:r>
        <w:rPr>
          <w:rFonts w:hint="eastAsia" w:eastAsia="仿宋_GB2312"/>
          <w:b w:val="0"/>
          <w:bCs w:val="0"/>
          <w:snapToGrid w:val="0"/>
          <w:color w:val="000000"/>
          <w:kern w:val="0"/>
          <w:sz w:val="32"/>
          <w:szCs w:val="32"/>
          <w:lang w:eastAsia="zh-CN"/>
        </w:rPr>
        <w:t>建立全</w:t>
      </w:r>
      <w:r>
        <w:rPr>
          <w:rFonts w:hint="eastAsia" w:eastAsia="仿宋_GB2312"/>
          <w:b w:val="0"/>
          <w:bCs w:val="0"/>
          <w:snapToGrid w:val="0"/>
          <w:color w:val="000000"/>
          <w:kern w:val="0"/>
          <w:sz w:val="32"/>
          <w:szCs w:val="32"/>
        </w:rPr>
        <w:t>市农业园区面源污染监测体系。</w:t>
      </w:r>
    </w:p>
    <w:p>
      <w:pPr>
        <w:keepNext w:val="0"/>
        <w:keepLines w:val="0"/>
        <w:pageBreakBefore w:val="0"/>
        <w:widowControl w:val="0"/>
        <w:kinsoku/>
        <w:wordWrap/>
        <w:overflowPunct/>
        <w:topLinePunct w:val="0"/>
        <w:autoSpaceDE/>
        <w:bidi w:val="0"/>
        <w:spacing w:line="560" w:lineRule="exact"/>
        <w:ind w:left="0" w:leftChars="0" w:right="0" w:rightChars="0" w:firstLine="640" w:firstLineChars="200"/>
        <w:textAlignment w:val="auto"/>
        <w:rPr>
          <w:rFonts w:hint="eastAsia" w:eastAsia="仿宋_GB2312"/>
          <w:b w:val="0"/>
          <w:bCs w:val="0"/>
          <w:snapToGrid w:val="0"/>
          <w:color w:val="000000"/>
          <w:kern w:val="0"/>
          <w:sz w:val="32"/>
          <w:szCs w:val="32"/>
        </w:rPr>
      </w:pPr>
      <w:r>
        <w:rPr>
          <w:rFonts w:hint="eastAsia" w:eastAsia="仿宋_GB2312"/>
          <w:b w:val="0"/>
          <w:bCs w:val="0"/>
          <w:snapToGrid w:val="0"/>
          <w:color w:val="000000"/>
          <w:kern w:val="0"/>
          <w:sz w:val="32"/>
          <w:szCs w:val="32"/>
          <w:lang w:eastAsia="zh-CN"/>
        </w:rPr>
        <w:t>抓好重点领域污染防治。</w:t>
      </w:r>
      <w:r>
        <w:rPr>
          <w:rFonts w:hint="eastAsia" w:eastAsia="仿宋_GB2312"/>
          <w:b w:val="0"/>
          <w:bCs w:val="0"/>
          <w:snapToGrid w:val="0"/>
          <w:color w:val="000000"/>
          <w:kern w:val="0"/>
          <w:sz w:val="32"/>
          <w:szCs w:val="32"/>
        </w:rPr>
        <w:t>推进重点污染企业和工业园区“三废”治理设施建设，加大地质灾害区治理，促进工矿区生态恢复。强化重金属污染防治，突出抓好旬阳、白河、紫阳等重金属污染防治工作，落实汉江水质、重金属、危险化学品、尾矿库等重点污染防治责任。严格规范矿产资源开发</w:t>
      </w:r>
      <w:r>
        <w:rPr>
          <w:rFonts w:hint="eastAsia" w:eastAsia="仿宋_GB2312"/>
          <w:b w:val="0"/>
          <w:bCs w:val="0"/>
          <w:snapToGrid w:val="0"/>
          <w:color w:val="000000"/>
          <w:kern w:val="0"/>
          <w:sz w:val="32"/>
          <w:szCs w:val="32"/>
          <w:lang w:eastAsia="zh-CN"/>
        </w:rPr>
        <w:t>秩序</w:t>
      </w:r>
      <w:r>
        <w:rPr>
          <w:rFonts w:hint="eastAsia" w:eastAsia="仿宋_GB2312"/>
          <w:b w:val="0"/>
          <w:bCs w:val="0"/>
          <w:snapToGrid w:val="0"/>
          <w:color w:val="000000"/>
          <w:kern w:val="0"/>
          <w:sz w:val="32"/>
          <w:szCs w:val="32"/>
        </w:rPr>
        <w:t>，加强对废弃矿坑、矿沟、采石场、取土场和挖沙点的专项整治。加强地质灾害防治工作，强化地质灾害群测群防和预警预报系统建设，加强地质灾害隐患治理。</w:t>
      </w:r>
    </w:p>
    <w:p>
      <w:pPr>
        <w:keepNext w:val="0"/>
        <w:keepLines w:val="0"/>
        <w:pageBreakBefore w:val="0"/>
        <w:widowControl w:val="0"/>
        <w:kinsoku/>
        <w:wordWrap/>
        <w:overflowPunct/>
        <w:topLinePunct w:val="0"/>
        <w:autoSpaceDE/>
        <w:bidi w:val="0"/>
        <w:spacing w:line="560" w:lineRule="exact"/>
        <w:ind w:left="0" w:leftChars="0" w:right="0" w:rightChars="0" w:firstLine="640" w:firstLineChars="200"/>
        <w:textAlignment w:val="auto"/>
        <w:rPr>
          <w:rFonts w:hint="eastAsia" w:eastAsia="仿宋_GB2312"/>
          <w:b w:val="0"/>
          <w:bCs w:val="0"/>
          <w:snapToGrid w:val="0"/>
          <w:color w:val="000000"/>
          <w:kern w:val="0"/>
          <w:sz w:val="32"/>
          <w:szCs w:val="32"/>
        </w:rPr>
      </w:pPr>
      <w:r>
        <w:rPr>
          <w:rFonts w:hint="eastAsia" w:eastAsia="仿宋_GB2312"/>
          <w:b w:val="0"/>
          <w:bCs w:val="0"/>
          <w:snapToGrid w:val="0"/>
          <w:color w:val="000000"/>
          <w:kern w:val="0"/>
          <w:sz w:val="32"/>
          <w:szCs w:val="32"/>
        </w:rPr>
        <w:t>加强生态环境综合监管。</w:t>
      </w:r>
      <w:r>
        <w:rPr>
          <w:rFonts w:eastAsia="仿宋_GB2312"/>
          <w:b w:val="0"/>
          <w:bCs w:val="0"/>
          <w:snapToGrid w:val="0"/>
          <w:color w:val="000000"/>
          <w:kern w:val="0"/>
          <w:sz w:val="32"/>
          <w:szCs w:val="32"/>
        </w:rPr>
        <w:t>大力</w:t>
      </w:r>
      <w:r>
        <w:rPr>
          <w:rFonts w:hint="eastAsia" w:eastAsia="仿宋_GB2312"/>
          <w:b w:val="0"/>
          <w:bCs w:val="0"/>
          <w:snapToGrid w:val="0"/>
          <w:color w:val="000000"/>
          <w:kern w:val="0"/>
          <w:sz w:val="32"/>
          <w:szCs w:val="32"/>
        </w:rPr>
        <w:t>推进环境监测监察、信息管理</w:t>
      </w:r>
      <w:r>
        <w:rPr>
          <w:rFonts w:eastAsia="仿宋_GB2312"/>
          <w:b w:val="0"/>
          <w:bCs w:val="0"/>
          <w:snapToGrid w:val="0"/>
          <w:color w:val="000000"/>
          <w:kern w:val="0"/>
          <w:sz w:val="32"/>
          <w:szCs w:val="32"/>
        </w:rPr>
        <w:t>等环保</w:t>
      </w:r>
      <w:r>
        <w:rPr>
          <w:rFonts w:hint="eastAsia" w:eastAsia="仿宋_GB2312"/>
          <w:b w:val="0"/>
          <w:bCs w:val="0"/>
          <w:snapToGrid w:val="0"/>
          <w:color w:val="000000"/>
          <w:kern w:val="0"/>
          <w:sz w:val="32"/>
          <w:szCs w:val="32"/>
        </w:rPr>
        <w:t>能力建设。建设南水北调应急指挥中心和应急物资储备库。建立健全网格化监测监察体系和环境自动监测体系，提高环境监管信息化、科学化水平。加强尾矿库环境污染与水土流失预警与防控。落实环境风险隐患排查、动态管理、风险评估、责任追究等制度</w:t>
      </w:r>
      <w:r>
        <w:rPr>
          <w:rFonts w:eastAsia="仿宋_GB2312"/>
          <w:b w:val="0"/>
          <w:bCs w:val="0"/>
          <w:snapToGrid w:val="0"/>
          <w:color w:val="000000"/>
          <w:kern w:val="0"/>
          <w:sz w:val="32"/>
          <w:szCs w:val="32"/>
        </w:rPr>
        <w:t>，</w:t>
      </w:r>
      <w:r>
        <w:rPr>
          <w:rFonts w:hint="eastAsia" w:eastAsia="仿宋_GB2312"/>
          <w:b w:val="0"/>
          <w:bCs w:val="0"/>
          <w:snapToGrid w:val="0"/>
          <w:color w:val="000000"/>
          <w:kern w:val="0"/>
          <w:sz w:val="32"/>
          <w:szCs w:val="32"/>
        </w:rPr>
        <w:t>着力提高环境风险防控能力。</w:t>
      </w:r>
    </w:p>
    <w:p>
      <w:pPr>
        <w:keepNext w:val="0"/>
        <w:keepLines w:val="0"/>
        <w:pageBreakBefore w:val="0"/>
        <w:widowControl w:val="0"/>
        <w:kinsoku/>
        <w:wordWrap/>
        <w:overflowPunct/>
        <w:topLinePunct w:val="0"/>
        <w:autoSpaceDE/>
        <w:bidi w:val="0"/>
        <w:spacing w:line="560" w:lineRule="exact"/>
        <w:ind w:left="0" w:leftChars="0" w:right="0" w:rightChars="0"/>
        <w:jc w:val="center"/>
        <w:textAlignment w:val="auto"/>
        <w:rPr>
          <w:rFonts w:hint="eastAsia" w:ascii="黑体" w:hAnsi="黑体" w:eastAsia="黑体" w:cs="黑体"/>
          <w:snapToGrid w:val="0"/>
          <w:color w:val="000000"/>
          <w:kern w:val="0"/>
          <w:sz w:val="32"/>
          <w:szCs w:val="32"/>
        </w:rPr>
      </w:pPr>
    </w:p>
    <w:p>
      <w:pPr>
        <w:keepNext w:val="0"/>
        <w:keepLines w:val="0"/>
        <w:pageBreakBefore w:val="0"/>
        <w:widowControl w:val="0"/>
        <w:kinsoku/>
        <w:wordWrap/>
        <w:overflowPunct/>
        <w:topLinePunct w:val="0"/>
        <w:autoSpaceDE/>
        <w:bidi w:val="0"/>
        <w:spacing w:line="560" w:lineRule="exact"/>
        <w:ind w:left="0" w:leftChars="0" w:right="0" w:rightChars="0"/>
        <w:jc w:val="center"/>
        <w:textAlignment w:val="auto"/>
        <w:rPr>
          <w:rFonts w:hint="eastAsia" w:ascii="黑体" w:hAnsi="黑体" w:eastAsia="黑体" w:cs="黑体"/>
          <w:snapToGrid w:val="0"/>
          <w:color w:val="000000"/>
          <w:kern w:val="0"/>
          <w:sz w:val="32"/>
          <w:szCs w:val="32"/>
        </w:rPr>
      </w:pPr>
      <w:r>
        <w:rPr>
          <w:rFonts w:hint="eastAsia" w:ascii="黑体" w:hAnsi="黑体" w:eastAsia="黑体" w:cs="黑体"/>
          <w:snapToGrid w:val="0"/>
          <w:color w:val="000000"/>
          <w:kern w:val="0"/>
          <w:sz w:val="32"/>
          <w:szCs w:val="32"/>
        </w:rPr>
        <w:t>第二十九节</w:t>
      </w:r>
      <w:r>
        <w:rPr>
          <w:rFonts w:hint="eastAsia" w:ascii="黑体" w:hAnsi="黑体" w:eastAsia="黑体" w:cs="黑体"/>
          <w:snapToGrid w:val="0"/>
          <w:color w:val="000000"/>
          <w:kern w:val="0"/>
          <w:sz w:val="32"/>
          <w:szCs w:val="32"/>
          <w:lang w:val="en-US" w:eastAsia="zh-CN"/>
        </w:rPr>
        <w:t xml:space="preserve">  </w:t>
      </w:r>
      <w:r>
        <w:rPr>
          <w:rFonts w:hint="eastAsia" w:ascii="黑体" w:hAnsi="黑体" w:eastAsia="黑体" w:cs="黑体"/>
          <w:snapToGrid w:val="0"/>
          <w:color w:val="000000"/>
          <w:kern w:val="0"/>
          <w:sz w:val="32"/>
          <w:szCs w:val="32"/>
        </w:rPr>
        <w:t>积极应对气候变化</w:t>
      </w:r>
    </w:p>
    <w:p>
      <w:pPr>
        <w:keepNext w:val="0"/>
        <w:keepLines w:val="0"/>
        <w:pageBreakBefore w:val="0"/>
        <w:widowControl w:val="0"/>
        <w:kinsoku/>
        <w:wordWrap/>
        <w:overflowPunct/>
        <w:topLinePunct w:val="0"/>
        <w:autoSpaceDE/>
        <w:bidi w:val="0"/>
        <w:spacing w:line="560" w:lineRule="exact"/>
        <w:ind w:left="0" w:leftChars="0" w:right="0" w:rightChars="0" w:firstLine="640" w:firstLineChars="200"/>
        <w:textAlignment w:val="auto"/>
        <w:rPr>
          <w:rFonts w:hint="eastAsia" w:eastAsia="仿宋_GB2312"/>
          <w:snapToGrid w:val="0"/>
          <w:color w:val="000000"/>
          <w:kern w:val="0"/>
          <w:sz w:val="32"/>
          <w:szCs w:val="32"/>
        </w:rPr>
      </w:pPr>
      <w:r>
        <w:rPr>
          <w:rFonts w:hint="eastAsia" w:eastAsia="仿宋_GB2312"/>
          <w:snapToGrid w:val="0"/>
          <w:color w:val="000000"/>
          <w:kern w:val="0"/>
          <w:sz w:val="32"/>
          <w:szCs w:val="32"/>
        </w:rPr>
        <w:t>加强技术保障支撑体系建设，提升生态保护、环境治理、应对气候变化能力。探索开展环境权交易，建立碳排放权交易体系，支持安康高新区、旬阳高新区、岚皋“飞地”节能环保园区探索建立碳排放交易机构，开展碳排放和节能量交易。推进可再生能源开发利用，加快风</w:t>
      </w:r>
      <w:r>
        <w:rPr>
          <w:rFonts w:hint="eastAsia" w:eastAsia="仿宋_GB2312"/>
          <w:snapToGrid w:val="0"/>
          <w:color w:val="000000"/>
          <w:kern w:val="0"/>
          <w:sz w:val="32"/>
          <w:szCs w:val="32"/>
          <w:lang w:eastAsia="zh-CN"/>
        </w:rPr>
        <w:t>能</w:t>
      </w:r>
      <w:r>
        <w:rPr>
          <w:rFonts w:hint="eastAsia" w:eastAsia="仿宋_GB2312"/>
          <w:snapToGrid w:val="0"/>
          <w:color w:val="000000"/>
          <w:kern w:val="0"/>
          <w:sz w:val="32"/>
          <w:szCs w:val="32"/>
        </w:rPr>
        <w:t>、太阳能、生物质能等清洁能源开发。积极开展低碳商业、低碳城镇、低碳社区试点，探索低碳发展模式。实施人工影响天气作业基地、新型天气雷达系统建设、生态与林业气象服务研发中心、汉江流域自然灾害监测预警指挥平台建设工程，提高适应气候变化能力。</w:t>
      </w:r>
    </w:p>
    <w:p>
      <w:pPr>
        <w:spacing w:line="560" w:lineRule="exact"/>
        <w:jc w:val="center"/>
        <w:rPr>
          <w:rFonts w:hint="eastAsia" w:ascii="黑体" w:hAnsi="黑体" w:eastAsia="黑体" w:cs="黑体"/>
          <w:bCs/>
          <w:color w:val="000000"/>
          <w:sz w:val="28"/>
          <w:szCs w:val="56"/>
        </w:rPr>
      </w:pPr>
      <w:r>
        <w:rPr>
          <w:rFonts w:hint="eastAsia" w:ascii="黑体" w:hAnsi="黑体" w:eastAsia="黑体" w:cs="黑体"/>
          <w:bCs/>
          <w:color w:val="000000"/>
          <w:sz w:val="28"/>
          <w:szCs w:val="56"/>
        </w:rPr>
        <w:t>专栏14</w:t>
      </w:r>
      <w:r>
        <w:rPr>
          <w:rFonts w:hint="eastAsia" w:ascii="黑体" w:hAnsi="黑体" w:eastAsia="黑体" w:cs="黑体"/>
          <w:bCs/>
          <w:color w:val="000000"/>
          <w:sz w:val="28"/>
          <w:szCs w:val="56"/>
          <w:lang w:val="en-US" w:eastAsia="zh-CN"/>
        </w:rPr>
        <w:t xml:space="preserve">  </w:t>
      </w:r>
      <w:r>
        <w:rPr>
          <w:rFonts w:hint="eastAsia" w:ascii="黑体" w:hAnsi="黑体" w:eastAsia="黑体" w:cs="黑体"/>
          <w:bCs/>
          <w:color w:val="000000"/>
          <w:sz w:val="28"/>
          <w:szCs w:val="56"/>
        </w:rPr>
        <w:t>生态建设和环境保护重点工程</w:t>
      </w:r>
    </w:p>
    <w:tbl>
      <w:tblPr>
        <w:tblStyle w:val="20"/>
        <w:tblW w:w="0" w:type="auto"/>
        <w:jc w:val="center"/>
        <w:tblLayout w:type="fixed"/>
        <w:tblCellMar>
          <w:top w:w="0" w:type="dxa"/>
          <w:left w:w="108" w:type="dxa"/>
          <w:bottom w:w="0" w:type="dxa"/>
          <w:right w:w="108" w:type="dxa"/>
        </w:tblCellMar>
      </w:tblPr>
      <w:tblGrid>
        <w:gridCol w:w="8828"/>
      </w:tblGrid>
      <w:tr>
        <w:tblPrEx>
          <w:tblCellMar>
            <w:top w:w="0" w:type="dxa"/>
            <w:left w:w="108" w:type="dxa"/>
            <w:bottom w:w="0" w:type="dxa"/>
            <w:right w:w="108" w:type="dxa"/>
          </w:tblCellMar>
        </w:tblPrEx>
        <w:trPr>
          <w:trHeight w:val="919" w:hRule="atLeast"/>
          <w:jc w:val="center"/>
        </w:trPr>
        <w:tc>
          <w:tcPr>
            <w:tcW w:w="8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bidi w:val="0"/>
              <w:adjustRightInd/>
              <w:snapToGrid/>
              <w:spacing w:line="370" w:lineRule="exact"/>
              <w:ind w:left="0" w:leftChars="0" w:right="0" w:rightChars="0" w:firstLine="482" w:firstLineChars="200"/>
              <w:jc w:val="both"/>
              <w:textAlignment w:val="auto"/>
              <w:outlineLvl w:val="9"/>
              <w:rPr>
                <w:rFonts w:hint="eastAsia" w:ascii="宋体" w:hAnsi="宋体" w:eastAsia="宋体" w:cs="宋体"/>
                <w:bCs/>
                <w:snapToGrid w:val="0"/>
                <w:color w:val="000000"/>
                <w:sz w:val="24"/>
                <w:szCs w:val="21"/>
              </w:rPr>
            </w:pPr>
            <w:r>
              <w:rPr>
                <w:rFonts w:hint="eastAsia" w:ascii="宋体" w:hAnsi="宋体" w:eastAsia="宋体" w:cs="宋体"/>
                <w:b/>
                <w:snapToGrid w:val="0"/>
                <w:color w:val="000000"/>
                <w:sz w:val="24"/>
                <w:szCs w:val="21"/>
              </w:rPr>
              <w:t>国土绿化工程：</w:t>
            </w:r>
            <w:r>
              <w:rPr>
                <w:rFonts w:hint="eastAsia" w:ascii="宋体" w:hAnsi="宋体" w:eastAsia="宋体" w:cs="宋体"/>
                <w:bCs/>
                <w:snapToGrid w:val="0"/>
                <w:color w:val="000000"/>
                <w:sz w:val="24"/>
                <w:szCs w:val="21"/>
                <w:lang w:eastAsia="zh-CN"/>
              </w:rPr>
              <w:t>实施</w:t>
            </w:r>
            <w:r>
              <w:rPr>
                <w:rFonts w:hint="eastAsia" w:ascii="宋体" w:hAnsi="宋体" w:eastAsia="宋体" w:cs="宋体"/>
                <w:bCs/>
                <w:snapToGrid w:val="0"/>
                <w:color w:val="000000"/>
                <w:sz w:val="24"/>
                <w:szCs w:val="21"/>
              </w:rPr>
              <w:t>天然林保护二期、新一轮退耕还林、长江防护林工程，林业基础设施建设，国家造林补贴试点和国家碳汇造林项目。</w:t>
            </w:r>
          </w:p>
          <w:p>
            <w:pPr>
              <w:keepNext w:val="0"/>
              <w:keepLines w:val="0"/>
              <w:pageBreakBefore w:val="0"/>
              <w:widowControl w:val="0"/>
              <w:kinsoku/>
              <w:wordWrap/>
              <w:overflowPunct/>
              <w:topLinePunct w:val="0"/>
              <w:autoSpaceDE/>
              <w:autoSpaceDN w:val="0"/>
              <w:bidi w:val="0"/>
              <w:adjustRightInd/>
              <w:snapToGrid/>
              <w:spacing w:line="370" w:lineRule="exact"/>
              <w:ind w:left="0" w:leftChars="0" w:right="0" w:rightChars="0" w:firstLine="482" w:firstLineChars="200"/>
              <w:jc w:val="both"/>
              <w:textAlignment w:val="auto"/>
              <w:outlineLvl w:val="9"/>
              <w:rPr>
                <w:rFonts w:hint="eastAsia" w:ascii="宋体" w:hAnsi="宋体" w:eastAsia="宋体" w:cs="宋体"/>
                <w:bCs/>
                <w:snapToGrid w:val="0"/>
                <w:color w:val="000000"/>
                <w:sz w:val="24"/>
                <w:szCs w:val="21"/>
                <w:u w:val="single"/>
              </w:rPr>
            </w:pPr>
            <w:r>
              <w:rPr>
                <w:rFonts w:hint="eastAsia" w:ascii="宋体" w:hAnsi="宋体" w:eastAsia="宋体" w:cs="宋体"/>
                <w:b/>
                <w:snapToGrid w:val="0"/>
                <w:color w:val="000000"/>
                <w:sz w:val="24"/>
                <w:szCs w:val="21"/>
              </w:rPr>
              <w:t>水环境保护与治理工程：</w:t>
            </w:r>
            <w:r>
              <w:rPr>
                <w:rFonts w:hint="eastAsia" w:ascii="宋体" w:hAnsi="宋体" w:eastAsia="宋体" w:cs="宋体"/>
                <w:bCs/>
                <w:snapToGrid w:val="0"/>
                <w:color w:val="000000"/>
                <w:sz w:val="24"/>
                <w:szCs w:val="21"/>
              </w:rPr>
              <w:t>综合治理40条中小河流，新修、加固堤防护岸250公里；丹江口库区水土流失治理工程、清洁小流域治理工程及坡耕地治理工程，治理水土流失面积4000平方公里；月河、岚河、旬河等重点流域生态修复与环境治理、一体化污水处理、城镇水源地与涵养地保护、排污口整治；瀛湖湖泊生态环境保护试点项目。</w:t>
            </w:r>
          </w:p>
          <w:p>
            <w:pPr>
              <w:keepNext w:val="0"/>
              <w:keepLines w:val="0"/>
              <w:pageBreakBefore w:val="0"/>
              <w:widowControl w:val="0"/>
              <w:kinsoku/>
              <w:wordWrap/>
              <w:overflowPunct/>
              <w:topLinePunct w:val="0"/>
              <w:autoSpaceDE/>
              <w:autoSpaceDN w:val="0"/>
              <w:bidi w:val="0"/>
              <w:adjustRightInd/>
              <w:snapToGrid/>
              <w:spacing w:line="370" w:lineRule="exact"/>
              <w:ind w:left="0" w:leftChars="0" w:right="0" w:rightChars="0" w:firstLine="482" w:firstLineChars="200"/>
              <w:jc w:val="both"/>
              <w:textAlignment w:val="auto"/>
              <w:outlineLvl w:val="9"/>
              <w:rPr>
                <w:rFonts w:hint="eastAsia" w:ascii="宋体" w:hAnsi="宋体" w:eastAsia="宋体" w:cs="宋体"/>
                <w:bCs/>
                <w:snapToGrid w:val="0"/>
                <w:color w:val="000000"/>
                <w:sz w:val="24"/>
                <w:szCs w:val="21"/>
              </w:rPr>
            </w:pPr>
            <w:r>
              <w:rPr>
                <w:rFonts w:hint="eastAsia" w:ascii="宋体" w:hAnsi="宋体" w:eastAsia="宋体" w:cs="宋体"/>
                <w:b/>
                <w:snapToGrid w:val="0"/>
                <w:color w:val="000000"/>
                <w:sz w:val="24"/>
                <w:szCs w:val="21"/>
              </w:rPr>
              <w:t>生态保护与修复工程：</w:t>
            </w:r>
            <w:r>
              <w:rPr>
                <w:rFonts w:hint="eastAsia" w:ascii="宋体" w:hAnsi="宋体" w:eastAsia="宋体" w:cs="宋体"/>
                <w:bCs/>
                <w:snapToGrid w:val="0"/>
                <w:color w:val="000000"/>
                <w:sz w:val="24"/>
                <w:szCs w:val="21"/>
              </w:rPr>
              <w:t>10县区生态创建工程，汉江两岸及主要支流湿地保护，宁陕、镇坪等县自然保护区管护和建设，南宫山等风景名胜区环境综合整治工程，重点区域土壤修复工程，旬阳、白河、紫阳等县重金属污染防治工程</w:t>
            </w:r>
            <w:r>
              <w:rPr>
                <w:rFonts w:hint="eastAsia" w:ascii="宋体" w:hAnsi="宋体" w:eastAsia="宋体" w:cs="宋体"/>
                <w:bCs/>
                <w:snapToGrid w:val="0"/>
                <w:color w:val="000000"/>
                <w:sz w:val="24"/>
                <w:szCs w:val="21"/>
                <w:lang w:eastAsia="zh-CN"/>
              </w:rPr>
              <w:t>。</w:t>
            </w:r>
            <w:r>
              <w:rPr>
                <w:rFonts w:hint="eastAsia" w:ascii="宋体" w:hAnsi="宋体" w:eastAsia="宋体" w:cs="宋体"/>
                <w:bCs/>
                <w:snapToGrid w:val="0"/>
                <w:color w:val="000000"/>
                <w:sz w:val="24"/>
                <w:szCs w:val="21"/>
              </w:rPr>
              <w:t>农村环境连片综合整治工程，建立畜禽养殖限养区和禁养区，规模化畜禽养殖场污染治理，新建大中型沼气池300座。</w:t>
            </w:r>
          </w:p>
          <w:p>
            <w:pPr>
              <w:keepNext w:val="0"/>
              <w:keepLines w:val="0"/>
              <w:pageBreakBefore w:val="0"/>
              <w:widowControl w:val="0"/>
              <w:kinsoku/>
              <w:wordWrap/>
              <w:overflowPunct/>
              <w:topLinePunct w:val="0"/>
              <w:autoSpaceDE/>
              <w:autoSpaceDN w:val="0"/>
              <w:bidi w:val="0"/>
              <w:adjustRightInd/>
              <w:snapToGrid/>
              <w:spacing w:line="370" w:lineRule="exact"/>
              <w:ind w:left="0" w:leftChars="0" w:right="0" w:rightChars="0" w:firstLine="482" w:firstLineChars="200"/>
              <w:jc w:val="both"/>
              <w:textAlignment w:val="auto"/>
              <w:outlineLvl w:val="9"/>
              <w:rPr>
                <w:rFonts w:hint="eastAsia" w:ascii="宋体" w:hAnsi="宋体" w:eastAsia="宋体" w:cs="宋体"/>
                <w:bCs/>
                <w:snapToGrid w:val="0"/>
                <w:color w:val="000000"/>
                <w:sz w:val="24"/>
                <w:szCs w:val="21"/>
              </w:rPr>
            </w:pPr>
            <w:r>
              <w:rPr>
                <w:rFonts w:hint="eastAsia" w:ascii="宋体" w:hAnsi="宋体" w:eastAsia="宋体" w:cs="宋体"/>
                <w:b/>
                <w:snapToGrid w:val="0"/>
                <w:color w:val="000000"/>
                <w:sz w:val="24"/>
                <w:szCs w:val="21"/>
              </w:rPr>
              <w:t>节能和污染物防治工程：</w:t>
            </w:r>
            <w:r>
              <w:rPr>
                <w:rFonts w:hint="eastAsia" w:ascii="宋体" w:hAnsi="宋体" w:eastAsia="宋体" w:cs="宋体"/>
                <w:bCs/>
                <w:snapToGrid w:val="0"/>
                <w:color w:val="000000"/>
                <w:sz w:val="24"/>
                <w:szCs w:val="21"/>
              </w:rPr>
              <w:t>燃煤锅炉改造、天然气普及、中心城区充电桩建设、淘汰黄标车和老旧车等大气污染综合治理工程</w:t>
            </w:r>
            <w:r>
              <w:rPr>
                <w:rFonts w:hint="eastAsia" w:ascii="宋体" w:hAnsi="宋体" w:eastAsia="宋体" w:cs="宋体"/>
                <w:bCs/>
                <w:snapToGrid w:val="0"/>
                <w:color w:val="000000"/>
                <w:sz w:val="24"/>
                <w:szCs w:val="21"/>
                <w:lang w:eastAsia="zh-CN"/>
              </w:rPr>
              <w:t>，</w:t>
            </w:r>
            <w:r>
              <w:rPr>
                <w:rFonts w:hint="eastAsia" w:ascii="宋体" w:hAnsi="宋体" w:eastAsia="宋体" w:cs="宋体"/>
                <w:bCs/>
                <w:snapToGrid w:val="0"/>
                <w:color w:val="000000"/>
                <w:sz w:val="24"/>
                <w:szCs w:val="21"/>
              </w:rPr>
              <w:t>垃圾处理、废旧物资回收基地</w:t>
            </w:r>
            <w:r>
              <w:rPr>
                <w:rFonts w:hint="eastAsia" w:ascii="宋体" w:hAnsi="宋体" w:eastAsia="宋体" w:cs="宋体"/>
                <w:bCs/>
                <w:snapToGrid w:val="0"/>
                <w:color w:val="000000"/>
                <w:sz w:val="24"/>
                <w:szCs w:val="21"/>
                <w:lang w:eastAsia="zh-CN"/>
              </w:rPr>
              <w:t>建设</w:t>
            </w:r>
            <w:r>
              <w:rPr>
                <w:rFonts w:hint="eastAsia" w:ascii="宋体" w:hAnsi="宋体" w:eastAsia="宋体" w:cs="宋体"/>
                <w:bCs/>
                <w:snapToGrid w:val="0"/>
                <w:color w:val="000000"/>
                <w:sz w:val="24"/>
                <w:szCs w:val="21"/>
              </w:rPr>
              <w:t>、汉滨餐厨垃圾处理</w:t>
            </w:r>
            <w:r>
              <w:rPr>
                <w:rFonts w:hint="eastAsia" w:ascii="宋体" w:hAnsi="宋体" w:eastAsia="宋体" w:cs="宋体"/>
                <w:bCs/>
                <w:snapToGrid w:val="0"/>
                <w:color w:val="000000"/>
                <w:sz w:val="24"/>
                <w:szCs w:val="21"/>
                <w:lang w:eastAsia="zh-CN"/>
              </w:rPr>
              <w:t>和</w:t>
            </w:r>
            <w:r>
              <w:rPr>
                <w:rFonts w:hint="eastAsia" w:ascii="宋体" w:hAnsi="宋体" w:eastAsia="宋体" w:cs="宋体"/>
                <w:bCs/>
                <w:snapToGrid w:val="0"/>
                <w:color w:val="000000"/>
                <w:sz w:val="24"/>
                <w:szCs w:val="21"/>
              </w:rPr>
              <w:t>垃圾</w:t>
            </w:r>
            <w:r>
              <w:rPr>
                <w:rFonts w:hint="eastAsia" w:ascii="宋体" w:hAnsi="宋体" w:eastAsia="宋体" w:cs="宋体"/>
                <w:bCs/>
                <w:snapToGrid w:val="0"/>
                <w:color w:val="000000"/>
                <w:sz w:val="24"/>
                <w:szCs w:val="21"/>
                <w:lang w:eastAsia="zh-CN"/>
              </w:rPr>
              <w:t>焚烧</w:t>
            </w:r>
            <w:r>
              <w:rPr>
                <w:rFonts w:hint="eastAsia" w:ascii="宋体" w:hAnsi="宋体" w:eastAsia="宋体" w:cs="宋体"/>
                <w:bCs/>
                <w:snapToGrid w:val="0"/>
                <w:color w:val="000000"/>
                <w:sz w:val="24"/>
                <w:szCs w:val="21"/>
              </w:rPr>
              <w:t>发电</w:t>
            </w:r>
            <w:r>
              <w:rPr>
                <w:rFonts w:hint="eastAsia" w:ascii="宋体" w:hAnsi="宋体" w:eastAsia="宋体" w:cs="宋体"/>
                <w:bCs/>
                <w:snapToGrid w:val="0"/>
                <w:color w:val="000000"/>
                <w:sz w:val="24"/>
                <w:szCs w:val="21"/>
                <w:lang w:eastAsia="zh-CN"/>
              </w:rPr>
              <w:t>，</w:t>
            </w:r>
            <w:r>
              <w:rPr>
                <w:rFonts w:hint="eastAsia" w:ascii="宋体" w:hAnsi="宋体" w:eastAsia="宋体" w:cs="宋体"/>
                <w:bCs/>
                <w:snapToGrid w:val="0"/>
                <w:color w:val="000000"/>
                <w:sz w:val="24"/>
                <w:szCs w:val="21"/>
              </w:rPr>
              <w:t>重点工业点源污染和尾矿库治理、城镇</w:t>
            </w:r>
            <w:r>
              <w:rPr>
                <w:rFonts w:hint="eastAsia" w:ascii="宋体" w:hAnsi="宋体" w:eastAsia="宋体" w:cs="宋体"/>
                <w:bCs/>
                <w:snapToGrid w:val="0"/>
                <w:color w:val="000000"/>
                <w:sz w:val="24"/>
                <w:szCs w:val="21"/>
                <w:lang w:eastAsia="zh-CN"/>
              </w:rPr>
              <w:t>生活</w:t>
            </w:r>
            <w:r>
              <w:rPr>
                <w:rFonts w:hint="eastAsia" w:ascii="宋体" w:hAnsi="宋体" w:eastAsia="宋体" w:cs="宋体"/>
                <w:bCs/>
                <w:snapToGrid w:val="0"/>
                <w:color w:val="000000"/>
                <w:sz w:val="24"/>
                <w:szCs w:val="21"/>
              </w:rPr>
              <w:t>污水处理、工业园区“三废”综合整治程、污水处理厂污泥处理、资源综合利用工程。</w:t>
            </w:r>
          </w:p>
          <w:p>
            <w:pPr>
              <w:keepNext w:val="0"/>
              <w:keepLines w:val="0"/>
              <w:pageBreakBefore w:val="0"/>
              <w:widowControl w:val="0"/>
              <w:kinsoku/>
              <w:wordWrap/>
              <w:overflowPunct/>
              <w:topLinePunct w:val="0"/>
              <w:autoSpaceDE/>
              <w:autoSpaceDN w:val="0"/>
              <w:bidi w:val="0"/>
              <w:adjustRightInd/>
              <w:snapToGrid/>
              <w:spacing w:line="370" w:lineRule="exact"/>
              <w:ind w:left="0" w:leftChars="0" w:right="0" w:rightChars="0" w:firstLine="482" w:firstLineChars="200"/>
              <w:jc w:val="both"/>
              <w:textAlignment w:val="auto"/>
              <w:outlineLvl w:val="9"/>
              <w:rPr>
                <w:rFonts w:hint="eastAsia" w:ascii="宋体" w:hAnsi="宋体" w:eastAsia="宋体" w:cs="宋体"/>
                <w:bCs/>
                <w:snapToGrid w:val="0"/>
                <w:color w:val="000000"/>
                <w:sz w:val="24"/>
                <w:szCs w:val="21"/>
              </w:rPr>
            </w:pPr>
            <w:r>
              <w:rPr>
                <w:rFonts w:hint="eastAsia" w:ascii="宋体" w:hAnsi="宋体" w:eastAsia="宋体" w:cs="宋体"/>
                <w:b/>
                <w:bCs/>
                <w:snapToGrid w:val="0"/>
                <w:color w:val="000000"/>
                <w:sz w:val="24"/>
                <w:szCs w:val="21"/>
              </w:rPr>
              <w:t>生态环境监管</w:t>
            </w:r>
            <w:r>
              <w:rPr>
                <w:rFonts w:hint="eastAsia" w:ascii="宋体" w:hAnsi="宋体" w:eastAsia="宋体" w:cs="宋体"/>
                <w:b/>
                <w:bCs/>
                <w:snapToGrid w:val="0"/>
                <w:color w:val="000000"/>
                <w:sz w:val="24"/>
                <w:szCs w:val="21"/>
                <w:lang w:eastAsia="zh-CN"/>
              </w:rPr>
              <w:t>体系建设</w:t>
            </w:r>
            <w:r>
              <w:rPr>
                <w:rFonts w:hint="eastAsia" w:ascii="宋体" w:hAnsi="宋体" w:eastAsia="宋体" w:cs="宋体"/>
                <w:b/>
                <w:bCs/>
                <w:snapToGrid w:val="0"/>
                <w:color w:val="000000"/>
                <w:sz w:val="24"/>
                <w:szCs w:val="21"/>
              </w:rPr>
              <w:t>工程：</w:t>
            </w:r>
            <w:r>
              <w:rPr>
                <w:rFonts w:hint="eastAsia" w:ascii="宋体" w:hAnsi="宋体" w:eastAsia="宋体" w:cs="宋体"/>
                <w:bCs/>
                <w:snapToGrid w:val="0"/>
                <w:color w:val="000000"/>
                <w:sz w:val="24"/>
                <w:szCs w:val="21"/>
              </w:rPr>
              <w:t>市县级环境应急指挥中心及物资储备库</w:t>
            </w:r>
            <w:r>
              <w:rPr>
                <w:rFonts w:hint="eastAsia" w:ascii="宋体" w:hAnsi="宋体" w:eastAsia="宋体" w:cs="宋体"/>
                <w:bCs/>
                <w:snapToGrid w:val="0"/>
                <w:color w:val="000000"/>
                <w:sz w:val="24"/>
                <w:szCs w:val="21"/>
                <w:lang w:eastAsia="zh-CN"/>
              </w:rPr>
              <w:t>，</w:t>
            </w:r>
            <w:r>
              <w:rPr>
                <w:rFonts w:hint="eastAsia" w:ascii="宋体" w:hAnsi="宋体" w:eastAsia="宋体" w:cs="宋体"/>
                <w:bCs/>
                <w:snapToGrid w:val="0"/>
                <w:color w:val="000000"/>
                <w:sz w:val="24"/>
                <w:szCs w:val="21"/>
              </w:rPr>
              <w:t>市级综合监测平台及</w:t>
            </w:r>
            <w:r>
              <w:rPr>
                <w:rFonts w:hint="eastAsia" w:ascii="宋体" w:hAnsi="宋体" w:eastAsia="宋体" w:cs="宋体"/>
                <w:bCs/>
                <w:snapToGrid w:val="0"/>
                <w:color w:val="000000"/>
                <w:sz w:val="24"/>
                <w:szCs w:val="21"/>
                <w:lang w:eastAsia="zh-CN"/>
              </w:rPr>
              <w:t>县域</w:t>
            </w:r>
            <w:r>
              <w:rPr>
                <w:rFonts w:hint="eastAsia" w:ascii="宋体" w:hAnsi="宋体" w:eastAsia="宋体" w:cs="宋体"/>
                <w:bCs/>
                <w:snapToGrid w:val="0"/>
                <w:color w:val="000000"/>
                <w:sz w:val="24"/>
                <w:szCs w:val="21"/>
              </w:rPr>
              <w:t>工业集中区</w:t>
            </w:r>
            <w:r>
              <w:rPr>
                <w:rFonts w:hint="eastAsia" w:ascii="宋体" w:hAnsi="宋体" w:eastAsia="宋体" w:cs="宋体"/>
                <w:bCs/>
                <w:snapToGrid w:val="0"/>
                <w:color w:val="000000"/>
                <w:sz w:val="24"/>
                <w:szCs w:val="21"/>
                <w:lang w:eastAsia="zh-CN"/>
              </w:rPr>
              <w:t>和</w:t>
            </w:r>
            <w:r>
              <w:rPr>
                <w:rFonts w:hint="eastAsia" w:ascii="宋体" w:hAnsi="宋体" w:eastAsia="宋体" w:cs="宋体"/>
                <w:bCs/>
                <w:snapToGrid w:val="0"/>
                <w:color w:val="000000"/>
                <w:sz w:val="24"/>
                <w:szCs w:val="21"/>
              </w:rPr>
              <w:t>现代农业园区能源、污染物排放及碳汇一体化监测系统平台</w:t>
            </w:r>
            <w:r>
              <w:rPr>
                <w:rFonts w:hint="eastAsia" w:ascii="宋体" w:hAnsi="宋体" w:eastAsia="宋体" w:cs="宋体"/>
                <w:bCs/>
                <w:snapToGrid w:val="0"/>
                <w:color w:val="000000"/>
                <w:sz w:val="24"/>
                <w:szCs w:val="21"/>
                <w:lang w:eastAsia="zh-CN"/>
              </w:rPr>
              <w:t>，</w:t>
            </w:r>
            <w:r>
              <w:rPr>
                <w:rFonts w:hint="eastAsia" w:ascii="宋体" w:hAnsi="宋体" w:eastAsia="宋体" w:cs="宋体"/>
                <w:bCs/>
                <w:snapToGrid w:val="0"/>
                <w:color w:val="000000"/>
                <w:sz w:val="24"/>
                <w:szCs w:val="21"/>
              </w:rPr>
              <w:t>陕南汉江水质救援处置指挥中心</w:t>
            </w:r>
            <w:r>
              <w:rPr>
                <w:rFonts w:hint="eastAsia" w:ascii="宋体" w:hAnsi="宋体" w:eastAsia="宋体" w:cs="宋体"/>
                <w:bCs/>
                <w:snapToGrid w:val="0"/>
                <w:color w:val="000000"/>
                <w:sz w:val="24"/>
                <w:szCs w:val="21"/>
                <w:lang w:eastAsia="zh-CN"/>
              </w:rPr>
              <w:t>，</w:t>
            </w:r>
            <w:r>
              <w:rPr>
                <w:rFonts w:hint="eastAsia" w:ascii="宋体" w:hAnsi="宋体" w:eastAsia="宋体" w:cs="宋体"/>
                <w:bCs/>
                <w:snapToGrid w:val="0"/>
                <w:color w:val="000000"/>
                <w:sz w:val="24"/>
                <w:szCs w:val="21"/>
              </w:rPr>
              <w:t>10县区水、大气、水保监测检测能力建设</w:t>
            </w:r>
            <w:r>
              <w:rPr>
                <w:rFonts w:hint="eastAsia" w:ascii="宋体" w:hAnsi="宋体" w:eastAsia="宋体" w:cs="宋体"/>
                <w:bCs/>
                <w:snapToGrid w:val="0"/>
                <w:color w:val="000000"/>
                <w:sz w:val="24"/>
                <w:szCs w:val="21"/>
                <w:lang w:eastAsia="zh-CN"/>
              </w:rPr>
              <w:t>，</w:t>
            </w:r>
            <w:r>
              <w:rPr>
                <w:rFonts w:hint="eastAsia" w:ascii="宋体" w:hAnsi="宋体" w:eastAsia="宋体" w:cs="宋体"/>
                <w:bCs/>
                <w:snapToGrid w:val="0"/>
                <w:color w:val="000000"/>
                <w:sz w:val="24"/>
                <w:szCs w:val="21"/>
              </w:rPr>
              <w:t>地表水、地下水和土壤监控网点建设</w:t>
            </w:r>
            <w:r>
              <w:rPr>
                <w:rFonts w:hint="eastAsia" w:ascii="宋体" w:hAnsi="宋体" w:eastAsia="宋体" w:cs="宋体"/>
                <w:bCs/>
                <w:snapToGrid w:val="0"/>
                <w:color w:val="000000"/>
                <w:sz w:val="24"/>
                <w:szCs w:val="21"/>
                <w:lang w:eastAsia="zh-CN"/>
              </w:rPr>
              <w:t>，</w:t>
            </w:r>
            <w:r>
              <w:rPr>
                <w:rFonts w:hint="eastAsia" w:ascii="宋体" w:hAnsi="宋体" w:eastAsia="宋体" w:cs="宋体"/>
                <w:bCs/>
                <w:snapToGrid w:val="0"/>
                <w:color w:val="000000"/>
                <w:sz w:val="24"/>
                <w:szCs w:val="21"/>
              </w:rPr>
              <w:t>10县区集中式饮用水源地和重点河流水质自动监控监测体系。</w:t>
            </w:r>
          </w:p>
          <w:p>
            <w:pPr>
              <w:keepNext w:val="0"/>
              <w:keepLines w:val="0"/>
              <w:pageBreakBefore w:val="0"/>
              <w:widowControl w:val="0"/>
              <w:kinsoku/>
              <w:wordWrap/>
              <w:overflowPunct/>
              <w:topLinePunct w:val="0"/>
              <w:autoSpaceDE/>
              <w:autoSpaceDN/>
              <w:bidi w:val="0"/>
              <w:adjustRightInd/>
              <w:snapToGrid/>
              <w:spacing w:line="370" w:lineRule="exact"/>
              <w:ind w:left="0" w:leftChars="0" w:right="0" w:rightChars="0" w:firstLine="482" w:firstLineChars="200"/>
              <w:jc w:val="both"/>
              <w:textAlignment w:val="auto"/>
              <w:outlineLvl w:val="9"/>
              <w:rPr>
                <w:rFonts w:eastAsia="仿宋_GB2312"/>
                <w:color w:val="000000"/>
                <w:sz w:val="24"/>
              </w:rPr>
            </w:pPr>
            <w:r>
              <w:rPr>
                <w:rFonts w:hint="eastAsia" w:ascii="宋体" w:hAnsi="宋体" w:eastAsia="宋体" w:cs="宋体"/>
                <w:b/>
                <w:bCs/>
                <w:snapToGrid w:val="0"/>
                <w:color w:val="000000"/>
                <w:sz w:val="24"/>
                <w:szCs w:val="21"/>
              </w:rPr>
              <w:t>应对气候变化工程：</w:t>
            </w:r>
            <w:r>
              <w:rPr>
                <w:rFonts w:hint="eastAsia" w:ascii="宋体" w:hAnsi="宋体" w:eastAsia="宋体" w:cs="宋体"/>
                <w:bCs/>
                <w:snapToGrid w:val="0"/>
                <w:color w:val="000000"/>
                <w:sz w:val="24"/>
                <w:szCs w:val="21"/>
              </w:rPr>
              <w:t>南水北调中线工程核心水源区人工影响天气作业基地、安康市新型天气雷达系统建设、陕西省富硒茶叶气象服务中心、生态与林业气象服务研发中心、汉江流域自然灾害监测预警指挥平台、大气环境自动监测体系和基层环保执法、应急能力建设工程。</w:t>
            </w:r>
          </w:p>
        </w:tc>
      </w:tr>
    </w:tbl>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outlineLvl w:val="2"/>
        <w:rPr>
          <w:rFonts w:hint="eastAsia" w:ascii="方正小标宋简体" w:hAnsi="黑体" w:eastAsia="方正小标宋简体" w:cs="黑体"/>
          <w:color w:val="000000"/>
          <w:sz w:val="36"/>
          <w:szCs w:val="36"/>
        </w:rPr>
      </w:pPr>
      <w:bookmarkStart w:id="42" w:name="_Toc436739655"/>
      <w:bookmarkStart w:id="43" w:name="_Toc11252"/>
      <w:bookmarkStart w:id="44" w:name="_Toc436739646"/>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outlineLvl w:val="2"/>
        <w:rPr>
          <w:rFonts w:hint="eastAsia" w:ascii="方正小标宋简体" w:hAnsi="黑体" w:eastAsia="方正小标宋简体" w:cs="黑体"/>
          <w:color w:val="000000"/>
          <w:sz w:val="36"/>
          <w:szCs w:val="36"/>
        </w:rPr>
      </w:pPr>
      <w:r>
        <w:rPr>
          <w:rFonts w:hint="eastAsia" w:ascii="方正小标宋简体" w:hAnsi="黑体" w:eastAsia="方正小标宋简体" w:cs="黑体"/>
          <w:color w:val="000000"/>
          <w:sz w:val="36"/>
          <w:szCs w:val="36"/>
        </w:rPr>
        <w:t>第八章</w:t>
      </w:r>
      <w:bookmarkEnd w:id="42"/>
      <w:r>
        <w:rPr>
          <w:rFonts w:hint="eastAsia" w:ascii="方正小标宋简体" w:hAnsi="黑体" w:eastAsia="方正小标宋简体" w:cs="黑体"/>
          <w:color w:val="000000"/>
          <w:sz w:val="36"/>
          <w:szCs w:val="36"/>
          <w:lang w:val="en-US" w:eastAsia="zh-CN"/>
        </w:rPr>
        <w:t xml:space="preserve">  </w:t>
      </w:r>
      <w:r>
        <w:rPr>
          <w:rFonts w:hint="eastAsia" w:ascii="方正小标宋简体" w:hAnsi="黑体" w:eastAsia="方正小标宋简体" w:cs="黑体"/>
          <w:color w:val="000000"/>
          <w:sz w:val="36"/>
          <w:szCs w:val="36"/>
        </w:rPr>
        <w:t>改革创新　增强开放发展动力</w:t>
      </w:r>
      <w:bookmarkEnd w:id="43"/>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outlineLvl w:val="2"/>
        <w:rPr>
          <w:rFonts w:hint="eastAsia" w:ascii="黑体" w:hAnsi="黑体" w:eastAsia="黑体" w:cs="黑体"/>
          <w:color w:val="000000"/>
          <w:sz w:val="36"/>
          <w:szCs w:val="7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eastAsia="仿宋_GB2312"/>
          <w:snapToGrid w:val="0"/>
          <w:color w:val="000000"/>
          <w:kern w:val="0"/>
          <w:sz w:val="32"/>
          <w:szCs w:val="32"/>
        </w:rPr>
      </w:pPr>
      <w:r>
        <w:rPr>
          <w:rFonts w:hint="eastAsia" w:eastAsia="仿宋_GB2312"/>
          <w:snapToGrid w:val="0"/>
          <w:color w:val="000000"/>
          <w:kern w:val="0"/>
          <w:sz w:val="32"/>
          <w:szCs w:val="32"/>
        </w:rPr>
        <w:t>把全面深化改革贯穿于经济社会发展的全过程，推进重点领域和关键环节改革，促进创新、改革、开放协同发力，破解关键难题，厚植发展优势，全面增强追赶超越动能。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eastAsia="仿宋_GB2312"/>
          <w:snapToGrid w:val="0"/>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1"/>
        <w:rPr>
          <w:rFonts w:eastAsia="仿宋_GB2312"/>
          <w:snapToGrid w:val="0"/>
          <w:color w:val="000000"/>
          <w:kern w:val="0"/>
          <w:sz w:val="32"/>
          <w:szCs w:val="32"/>
        </w:rPr>
      </w:pPr>
      <w:bookmarkStart w:id="45" w:name="_Toc24351"/>
      <w:bookmarkStart w:id="46" w:name="_Toc436739656"/>
      <w:r>
        <w:rPr>
          <w:rFonts w:hint="eastAsia" w:eastAsia="黑体"/>
          <w:bCs/>
          <w:snapToGrid w:val="0"/>
          <w:color w:val="000000"/>
          <w:spacing w:val="6"/>
          <w:kern w:val="0"/>
          <w:sz w:val="32"/>
          <w:szCs w:val="32"/>
        </w:rPr>
        <w:t>第三十节</w:t>
      </w:r>
      <w:r>
        <w:rPr>
          <w:rFonts w:hint="eastAsia" w:eastAsia="黑体"/>
          <w:bCs/>
          <w:snapToGrid w:val="0"/>
          <w:color w:val="000000"/>
          <w:spacing w:val="6"/>
          <w:kern w:val="0"/>
          <w:sz w:val="32"/>
          <w:szCs w:val="32"/>
          <w:lang w:val="en-US" w:eastAsia="zh-CN"/>
        </w:rPr>
        <w:t xml:space="preserve">  </w:t>
      </w:r>
      <w:r>
        <w:rPr>
          <w:rFonts w:hint="eastAsia" w:eastAsia="黑体"/>
          <w:bCs/>
          <w:snapToGrid w:val="0"/>
          <w:color w:val="000000"/>
          <w:spacing w:val="6"/>
          <w:kern w:val="0"/>
          <w:sz w:val="32"/>
          <w:szCs w:val="32"/>
        </w:rPr>
        <w:t>实施创新驱动战略</w:t>
      </w:r>
      <w:bookmarkEnd w:id="45"/>
      <w:bookmarkEnd w:id="46"/>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eastAsia="仿宋_GB2312"/>
          <w:snapToGrid w:val="0"/>
          <w:color w:val="000000"/>
          <w:kern w:val="0"/>
          <w:sz w:val="32"/>
          <w:szCs w:val="32"/>
        </w:rPr>
      </w:pPr>
      <w:r>
        <w:rPr>
          <w:rFonts w:hint="eastAsia" w:eastAsia="仿宋_GB2312"/>
          <w:snapToGrid w:val="0"/>
          <w:color w:val="000000"/>
          <w:kern w:val="0"/>
          <w:sz w:val="32"/>
          <w:szCs w:val="32"/>
        </w:rPr>
        <w:t>强化</w:t>
      </w:r>
      <w:r>
        <w:rPr>
          <w:rFonts w:hint="eastAsia" w:eastAsia="仿宋_GB2312"/>
          <w:snapToGrid w:val="0"/>
          <w:color w:val="000000"/>
          <w:kern w:val="0"/>
          <w:sz w:val="32"/>
          <w:szCs w:val="32"/>
          <w:lang w:eastAsia="zh-CN"/>
        </w:rPr>
        <w:t>制度</w:t>
      </w:r>
      <w:r>
        <w:rPr>
          <w:rFonts w:hint="eastAsia" w:eastAsia="仿宋_GB2312"/>
          <w:snapToGrid w:val="0"/>
          <w:color w:val="000000"/>
          <w:kern w:val="0"/>
          <w:sz w:val="32"/>
          <w:szCs w:val="32"/>
        </w:rPr>
        <w:t>创新。建立健全市场在资源配置中起决定性作用和更好发挥政府作用的制度体系，最大限度减少政府对微观事务的管理，建立有利于释放市场主体活力的开放型发展制度体系；建立健全系统完整的生态文明制度体系</w:t>
      </w:r>
      <w:r>
        <w:rPr>
          <w:rFonts w:hint="eastAsia" w:eastAsia="仿宋_GB2312"/>
          <w:snapToGrid w:val="0"/>
          <w:color w:val="000000"/>
          <w:kern w:val="0"/>
          <w:sz w:val="32"/>
          <w:szCs w:val="32"/>
          <w:lang w:eastAsia="zh-CN"/>
        </w:rPr>
        <w:t>，</w:t>
      </w:r>
      <w:r>
        <w:rPr>
          <w:rFonts w:hint="eastAsia" w:eastAsia="仿宋_GB2312"/>
          <w:snapToGrid w:val="0"/>
          <w:color w:val="000000"/>
          <w:kern w:val="0"/>
          <w:sz w:val="32"/>
          <w:szCs w:val="32"/>
        </w:rPr>
        <w:t>把国家主体功能区建设试点示范工作推向纵深，在培植壮大生态友好型产业和加快发展“飞地经济”方面实现突破</w:t>
      </w:r>
      <w:r>
        <w:rPr>
          <w:rFonts w:hint="eastAsia" w:eastAsia="仿宋_GB2312"/>
          <w:snapToGrid w:val="0"/>
          <w:color w:val="000000"/>
          <w:kern w:val="0"/>
          <w:sz w:val="32"/>
          <w:szCs w:val="32"/>
          <w:lang w:eastAsia="zh-CN"/>
        </w:rPr>
        <w:t>；</w:t>
      </w:r>
      <w:r>
        <w:rPr>
          <w:rFonts w:hint="eastAsia" w:eastAsia="仿宋_GB2312"/>
          <w:snapToGrid w:val="0"/>
          <w:color w:val="000000"/>
          <w:kern w:val="0"/>
          <w:sz w:val="32"/>
          <w:szCs w:val="32"/>
        </w:rPr>
        <w:t>建立健全基本公共服务均等化和脱贫攻坚的制度体系，充分发挥坚决打赢脱贫攻坚战的政治优势和制度优势，努力实现政策和人群的全覆盖。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eastAsia="仿宋_GB2312"/>
          <w:snapToGrid w:val="0"/>
          <w:color w:val="000000"/>
          <w:kern w:val="0"/>
          <w:sz w:val="32"/>
          <w:szCs w:val="32"/>
        </w:rPr>
      </w:pPr>
      <w:r>
        <w:rPr>
          <w:rFonts w:hint="eastAsia" w:eastAsia="仿宋_GB2312"/>
          <w:snapToGrid w:val="0"/>
          <w:color w:val="000000"/>
          <w:kern w:val="0"/>
          <w:sz w:val="32"/>
          <w:szCs w:val="32"/>
        </w:rPr>
        <w:t>突出科技创新。发挥科技创新在全面创新中的引领作用</w:t>
      </w:r>
      <w:r>
        <w:rPr>
          <w:rFonts w:hint="eastAsia" w:eastAsia="仿宋_GB2312"/>
          <w:snapToGrid w:val="0"/>
          <w:color w:val="000000"/>
          <w:kern w:val="0"/>
          <w:sz w:val="32"/>
          <w:szCs w:val="32"/>
          <w:lang w:eastAsia="zh-CN"/>
        </w:rPr>
        <w:t>，</w:t>
      </w:r>
      <w:r>
        <w:rPr>
          <w:rFonts w:hint="eastAsia" w:eastAsia="仿宋_GB2312"/>
          <w:snapToGrid w:val="0"/>
          <w:color w:val="000000"/>
          <w:kern w:val="0"/>
          <w:sz w:val="32"/>
          <w:szCs w:val="32"/>
        </w:rPr>
        <w:t>加强与中国农科院、</w:t>
      </w:r>
      <w:r>
        <w:rPr>
          <w:rFonts w:hint="eastAsia" w:eastAsia="仿宋_GB2312"/>
          <w:snapToGrid w:val="0"/>
          <w:color w:val="000000"/>
          <w:kern w:val="0"/>
          <w:sz w:val="32"/>
          <w:szCs w:val="32"/>
          <w:lang w:eastAsia="zh-CN"/>
        </w:rPr>
        <w:t>云南农业大学、</w:t>
      </w:r>
      <w:r>
        <w:rPr>
          <w:rFonts w:hint="eastAsia" w:eastAsia="仿宋_GB2312"/>
          <w:snapToGrid w:val="0"/>
          <w:color w:val="000000"/>
          <w:kern w:val="0"/>
          <w:sz w:val="32"/>
          <w:szCs w:val="32"/>
        </w:rPr>
        <w:t>安康学院等院（校）地合作，推动高</w:t>
      </w:r>
      <w:r>
        <w:rPr>
          <w:rFonts w:hint="eastAsia" w:eastAsia="仿宋_GB2312"/>
          <w:snapToGrid w:val="0"/>
          <w:color w:val="000000"/>
          <w:kern w:val="0"/>
          <w:sz w:val="32"/>
          <w:szCs w:val="32"/>
          <w:lang w:eastAsia="zh-CN"/>
        </w:rPr>
        <w:t>等院</w:t>
      </w:r>
      <w:r>
        <w:rPr>
          <w:rFonts w:hint="eastAsia" w:eastAsia="仿宋_GB2312"/>
          <w:snapToGrid w:val="0"/>
          <w:color w:val="000000"/>
          <w:kern w:val="0"/>
          <w:sz w:val="32"/>
          <w:szCs w:val="32"/>
        </w:rPr>
        <w:t>校、科研院所面向我市开展技术转移，强化共性技术研发推广和先进实用新型技术创新应用。依托中省重大技术创新工程，加大科技研发投入，集中力量攻克一批核心技术，转化一批科技成果，应用一批民生科技，建设高新区科技企业孵化器和大学科技园等一批工程技术研究中心、重点实验室和科技示范基地。</w:t>
      </w:r>
      <w:r>
        <w:rPr>
          <w:rFonts w:hint="eastAsia" w:eastAsia="仿宋_GB2312"/>
          <w:snapToGrid w:val="0"/>
          <w:color w:val="000000"/>
          <w:kern w:val="0"/>
          <w:sz w:val="32"/>
          <w:szCs w:val="32"/>
          <w:lang w:eastAsia="zh-CN"/>
        </w:rPr>
        <w:t>强化企业创新主体地位和主导作用，</w:t>
      </w:r>
      <w:r>
        <w:rPr>
          <w:rFonts w:hint="eastAsia" w:eastAsia="仿宋_GB2312"/>
          <w:snapToGrid w:val="0"/>
          <w:color w:val="000000"/>
          <w:kern w:val="0"/>
          <w:sz w:val="32"/>
          <w:szCs w:val="32"/>
        </w:rPr>
        <w:t>鼓励企业以建立院士专家工作站、企业国家（省级）工程中心等方式，柔性引进高端智力团队，培育机制灵活的设计研发机构</w:t>
      </w:r>
      <w:r>
        <w:rPr>
          <w:rFonts w:hint="eastAsia" w:eastAsia="仿宋_GB2312"/>
          <w:snapToGrid w:val="0"/>
          <w:color w:val="000000"/>
          <w:kern w:val="0"/>
          <w:sz w:val="32"/>
          <w:szCs w:val="32"/>
          <w:lang w:eastAsia="zh-CN"/>
        </w:rPr>
        <w:t>，支持科技型中小企业发展</w:t>
      </w:r>
      <w:r>
        <w:rPr>
          <w:rFonts w:hint="eastAsia" w:eastAsia="仿宋_GB2312"/>
          <w:snapToGrid w:val="0"/>
          <w:color w:val="000000"/>
          <w:kern w:val="0"/>
          <w:sz w:val="32"/>
          <w:szCs w:val="32"/>
        </w:rPr>
        <w:t>。鼓励社会资本投资设立科技成果转化服务实体，加强知识产权保护管理，提升科技成果产业化水平和技术转移力度。建立财政科技投入稳定增长机制，逐年提高科技三项经费占</w:t>
      </w:r>
      <w:r>
        <w:rPr>
          <w:rFonts w:hint="eastAsia" w:ascii="仿宋_GB2312" w:hAnsi="仿宋_GB2312" w:eastAsia="仿宋_GB2312" w:cs="仿宋_GB2312"/>
          <w:snapToGrid w:val="0"/>
          <w:color w:val="000000"/>
          <w:kern w:val="0"/>
          <w:sz w:val="32"/>
          <w:szCs w:val="32"/>
        </w:rPr>
        <w:t>GDP</w:t>
      </w:r>
      <w:r>
        <w:rPr>
          <w:rFonts w:hint="eastAsia" w:eastAsia="仿宋_GB2312"/>
          <w:snapToGrid w:val="0"/>
          <w:color w:val="000000"/>
          <w:kern w:val="0"/>
          <w:sz w:val="32"/>
          <w:szCs w:val="32"/>
        </w:rPr>
        <w:t>的比重和本级财政总支出的比例。积极吸引各类科技风险投资或创业投资机构在我市落地，鼓励开展科技保险、科技担保、知识产权质押融资等金融业务，把安康建设成为省内重要的创业投资聚集地。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eastAsia="仿宋_GB2312"/>
          <w:snapToGrid w:val="0"/>
          <w:color w:val="0000FF"/>
          <w:kern w:val="0"/>
          <w:sz w:val="32"/>
          <w:szCs w:val="32"/>
        </w:rPr>
      </w:pPr>
      <w:r>
        <w:rPr>
          <w:rFonts w:hint="eastAsia" w:eastAsia="仿宋_GB2312"/>
          <w:snapToGrid w:val="0"/>
          <w:color w:val="000000"/>
          <w:kern w:val="0"/>
          <w:sz w:val="32"/>
          <w:szCs w:val="32"/>
        </w:rPr>
        <w:t>推动管理创新。破除体制机制障碍，统筹推进管理体制、品牌战略、组织体系、商业模式等方面创新，激发全社会大众创业、万众创新的潜能。完善普惠性创新支持政策，健全创新服务体系，推进科技成果使用、处置和收益改革，建设市科技资源统筹中心，构建政、产、学、研、用统筹协调机制。加快工程（技术）研究中心、企业技术中心等创新平台建设，开展龙头企业创新转型试点，围绕产业链优化创新链、搭建人才链、引进资本链，激发企业创新内生动力。</w:t>
      </w:r>
      <w:r>
        <w:rPr>
          <w:rFonts w:hint="eastAsia" w:eastAsia="仿宋_GB2312"/>
          <w:snapToGrid w:val="0"/>
          <w:color w:val="000000"/>
          <w:kern w:val="0"/>
          <w:sz w:val="32"/>
          <w:szCs w:val="32"/>
          <w:lang w:eastAsia="zh-CN"/>
        </w:rPr>
        <w:t>强化质量管理，完善质量发展激励机制，引导导入先进质量管理模式，提升供给质量水平。</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eastAsia="仿宋_GB2312"/>
          <w:snapToGrid w:val="0"/>
          <w:color w:val="000000"/>
          <w:kern w:val="0"/>
          <w:sz w:val="32"/>
          <w:szCs w:val="32"/>
        </w:rPr>
      </w:pPr>
      <w:r>
        <w:rPr>
          <w:rFonts w:hint="eastAsia" w:eastAsia="仿宋_GB2312"/>
          <w:snapToGrid w:val="0"/>
          <w:color w:val="000000"/>
          <w:kern w:val="0"/>
          <w:sz w:val="32"/>
          <w:szCs w:val="32"/>
        </w:rPr>
        <w:t>注重协同创新。打破创新主体间的体制壁垒，加强各类创新基地、平台、团队的协同联动，促进技术、资本、信息、人才等创新要素优化配置和有效整合</w:t>
      </w:r>
      <w:r>
        <w:rPr>
          <w:rFonts w:hint="eastAsia" w:eastAsia="仿宋_GB2312"/>
          <w:snapToGrid w:val="0"/>
          <w:color w:val="000000"/>
          <w:kern w:val="0"/>
          <w:sz w:val="32"/>
          <w:szCs w:val="32"/>
          <w:lang w:eastAsia="zh-CN"/>
        </w:rPr>
        <w:t>，鼓励各类主体开发新技术、新产品、新业态、新模式</w:t>
      </w:r>
      <w:r>
        <w:rPr>
          <w:rFonts w:hint="eastAsia" w:eastAsia="仿宋_GB2312"/>
          <w:snapToGrid w:val="0"/>
          <w:color w:val="000000"/>
          <w:kern w:val="0"/>
          <w:sz w:val="32"/>
          <w:szCs w:val="32"/>
        </w:rPr>
        <w:t>。</w:t>
      </w:r>
      <w:r>
        <w:rPr>
          <w:rFonts w:hint="eastAsia" w:eastAsia="仿宋_GB2312"/>
          <w:snapToGrid w:val="0"/>
          <w:color w:val="000000"/>
          <w:kern w:val="0"/>
          <w:sz w:val="32"/>
          <w:szCs w:val="32"/>
          <w:lang w:eastAsia="zh-CN"/>
        </w:rPr>
        <w:t>推进科教融合发展，支持</w:t>
      </w:r>
      <w:r>
        <w:rPr>
          <w:rFonts w:hint="eastAsia" w:eastAsia="仿宋_GB2312"/>
          <w:snapToGrid w:val="0"/>
          <w:color w:val="000000"/>
          <w:kern w:val="0"/>
          <w:sz w:val="32"/>
          <w:szCs w:val="32"/>
        </w:rPr>
        <w:t>企业、高校、科研院所、中介机构等建立产业技术创新战略联盟。依托安康国家高新区，与省内外其它国家高新区、经开区、高技术产业基地深度合作，提升创新驱动能力和效率。积极搭建合作平台，开展高水平的技术和产业合作交流，加快融入创新网络。</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eastAsia="仿宋_GB2312"/>
          <w:snapToGrid w:val="0"/>
          <w:color w:val="000000"/>
          <w:kern w:val="0"/>
          <w:sz w:val="32"/>
          <w:szCs w:val="32"/>
        </w:rPr>
      </w:pPr>
      <w:r>
        <w:rPr>
          <w:rFonts w:hint="eastAsia" w:eastAsia="仿宋_GB2312"/>
          <w:snapToGrid w:val="0"/>
          <w:color w:val="000000"/>
          <w:kern w:val="0"/>
          <w:sz w:val="32"/>
          <w:szCs w:val="32"/>
        </w:rPr>
        <w:t>培育创新人才。把人才作为支撑发展的第一要素，坚持培养、引进、激励并举，完善知识产权归属和利益分配机制，打破人才流动体制机制障碍，让创新人才获利、让创新企业家受益。继续实施“百千万人才”工程，推行“候鸟式引进”“带项目引人才”等方式，引进、聘用一批高水平的</w:t>
      </w:r>
      <w:r>
        <w:rPr>
          <w:rFonts w:hint="eastAsia" w:eastAsia="仿宋_GB2312"/>
          <w:snapToGrid w:val="0"/>
          <w:color w:val="000000"/>
          <w:kern w:val="0"/>
          <w:sz w:val="32"/>
          <w:szCs w:val="32"/>
          <w:lang w:eastAsia="zh-CN"/>
        </w:rPr>
        <w:t>经营管理人才、</w:t>
      </w:r>
      <w:r>
        <w:rPr>
          <w:rFonts w:hint="eastAsia" w:eastAsia="仿宋_GB2312"/>
          <w:snapToGrid w:val="0"/>
          <w:color w:val="000000"/>
          <w:kern w:val="0"/>
          <w:sz w:val="32"/>
          <w:szCs w:val="32"/>
        </w:rPr>
        <w:t>产业领军人物、专家顾问团队，提升创新驱动能力。</w:t>
      </w:r>
      <w:r>
        <w:rPr>
          <w:rFonts w:hint="eastAsia" w:ascii="仿宋_GB2312" w:hAnsi="仿宋_GB2312" w:eastAsia="仿宋_GB2312" w:cs="仿宋_GB2312"/>
          <w:color w:val="000000"/>
          <w:sz w:val="32"/>
          <w:szCs w:val="32"/>
        </w:rPr>
        <w:t>积极培育企业家精神，培养造就一批熟悉资本运作的企业领军人才。完善人才流动配置机制，引导和鼓励人才向基层流动、向艰苦地区和岗位流动，鼓励人才兼职兼业，营造自由流动、包容开发的用人环境。</w:t>
      </w:r>
      <w:r>
        <w:rPr>
          <w:rFonts w:hint="eastAsia" w:eastAsia="仿宋_GB2312"/>
          <w:snapToGrid w:val="0"/>
          <w:color w:val="000000"/>
          <w:kern w:val="0"/>
          <w:sz w:val="32"/>
          <w:szCs w:val="32"/>
        </w:rPr>
        <w:t>加强智库建设，建立与高等院校、科研院所高层次人才队伍“共建共享”机制。发挥政策导向作用，全力推动企业、高校和科研院所自建孵化基地，培育发展科技型中小微企业，释放人力资本潜能，形成创新创业的浓厚氛围。</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eastAsia="仿宋_GB2312"/>
          <w:snapToGrid w:val="0"/>
          <w:color w:val="000000"/>
          <w:kern w:val="0"/>
          <w:sz w:val="32"/>
          <w:szCs w:val="32"/>
        </w:rPr>
      </w:pP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eastAsia="仿宋_GB2312"/>
          <w:snapToGrid w:val="0"/>
          <w:color w:val="000000"/>
          <w:kern w:val="0"/>
          <w:sz w:val="32"/>
          <w:szCs w:val="32"/>
        </w:rPr>
      </w:pP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1"/>
        <w:rPr>
          <w:rFonts w:eastAsia="黑体"/>
          <w:bCs/>
          <w:snapToGrid w:val="0"/>
          <w:color w:val="000000"/>
          <w:spacing w:val="6"/>
          <w:kern w:val="0"/>
          <w:sz w:val="32"/>
          <w:szCs w:val="32"/>
        </w:rPr>
      </w:pPr>
      <w:bookmarkStart w:id="47" w:name="_Toc21835"/>
      <w:bookmarkStart w:id="48" w:name="_Toc436739657"/>
      <w:bookmarkStart w:id="49" w:name="_Toc1251"/>
      <w:r>
        <w:rPr>
          <w:rFonts w:hint="eastAsia" w:eastAsia="黑体"/>
          <w:bCs/>
          <w:snapToGrid w:val="0"/>
          <w:color w:val="000000"/>
          <w:spacing w:val="6"/>
          <w:kern w:val="0"/>
          <w:sz w:val="32"/>
          <w:szCs w:val="32"/>
        </w:rPr>
        <w:t>第三十一节</w:t>
      </w:r>
      <w:r>
        <w:rPr>
          <w:rFonts w:hint="eastAsia" w:eastAsia="黑体"/>
          <w:bCs/>
          <w:snapToGrid w:val="0"/>
          <w:color w:val="000000"/>
          <w:spacing w:val="6"/>
          <w:kern w:val="0"/>
          <w:sz w:val="32"/>
          <w:szCs w:val="32"/>
          <w:lang w:val="en-US" w:eastAsia="zh-CN"/>
        </w:rPr>
        <w:t xml:space="preserve">  </w:t>
      </w:r>
      <w:r>
        <w:rPr>
          <w:rFonts w:hint="eastAsia" w:eastAsia="黑体"/>
          <w:bCs/>
          <w:snapToGrid w:val="0"/>
          <w:color w:val="000000"/>
          <w:spacing w:val="6"/>
          <w:kern w:val="0"/>
          <w:sz w:val="32"/>
          <w:szCs w:val="32"/>
        </w:rPr>
        <w:t>深化重点领域改革</w:t>
      </w:r>
      <w:bookmarkEnd w:id="47"/>
      <w:bookmarkEnd w:id="48"/>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eastAsia="仿宋_GB2312"/>
          <w:snapToGrid w:val="0"/>
          <w:color w:val="000000"/>
          <w:kern w:val="0"/>
          <w:sz w:val="32"/>
          <w:szCs w:val="32"/>
        </w:rPr>
      </w:pPr>
      <w:r>
        <w:rPr>
          <w:rFonts w:hint="eastAsia" w:eastAsia="仿宋_GB2312"/>
          <w:snapToGrid w:val="0"/>
          <w:color w:val="000000"/>
          <w:kern w:val="0"/>
          <w:sz w:val="32"/>
          <w:szCs w:val="32"/>
        </w:rPr>
        <w:t>紧紧围绕制约经济社会发展的突出问题，坚持顶层设计与基层探索相结合、整体推进与重点突破相结合、体制创新与法治规范相结合，在重点领域和关键环节改革上取得决定性成果，各方面制度更加成熟定型。</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eastAsia="仿宋_GB2312"/>
          <w:snapToGrid w:val="0"/>
          <w:color w:val="000000"/>
          <w:kern w:val="0"/>
          <w:sz w:val="32"/>
          <w:szCs w:val="32"/>
        </w:rPr>
      </w:pPr>
      <w:r>
        <w:rPr>
          <w:rFonts w:hint="eastAsia" w:eastAsia="仿宋_GB2312"/>
          <w:snapToGrid w:val="0"/>
          <w:color w:val="000000"/>
          <w:kern w:val="0"/>
          <w:sz w:val="32"/>
          <w:szCs w:val="32"/>
        </w:rPr>
        <w:t>充分发挥经济体制改革牵引作用，以提高国有资本效益、增强国有企业活力为中心，完善以管资本为主的经营性国有资产集中统一监管体系，分类推进国企改革，加快建立现代企业制度，做大做强国有企业。完善配套政策，优化政府服务，放宽市场准入，破解瓶颈制约，鼓励多种方式发展混合所有制经济，支持引导民营经济健康发展，提高民营经济发展的质量和水平。</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eastAsia="仿宋_GB2312"/>
          <w:snapToGrid w:val="0"/>
          <w:color w:val="000000"/>
          <w:kern w:val="0"/>
          <w:sz w:val="32"/>
          <w:szCs w:val="32"/>
        </w:rPr>
      </w:pPr>
      <w:r>
        <w:rPr>
          <w:rFonts w:hint="eastAsia" w:eastAsia="仿宋_GB2312"/>
          <w:snapToGrid w:val="0"/>
          <w:color w:val="000000"/>
          <w:kern w:val="0"/>
          <w:sz w:val="32"/>
          <w:szCs w:val="32"/>
        </w:rPr>
        <w:t>深入推进资源配置市场化，建立健全由市场决定的土地、资本、技术等要素市场体系，有序推进不动产登记</w:t>
      </w:r>
      <w:r>
        <w:rPr>
          <w:rFonts w:hint="eastAsia" w:eastAsia="仿宋_GB2312"/>
          <w:snapToGrid w:val="0"/>
          <w:color w:val="000000"/>
          <w:kern w:val="0"/>
          <w:sz w:val="32"/>
          <w:szCs w:val="32"/>
          <w:lang w:eastAsia="zh-CN"/>
        </w:rPr>
        <w:t>、管理和使用</w:t>
      </w:r>
      <w:r>
        <w:rPr>
          <w:rFonts w:hint="eastAsia" w:eastAsia="仿宋_GB2312"/>
          <w:snapToGrid w:val="0"/>
          <w:color w:val="000000"/>
          <w:kern w:val="0"/>
          <w:sz w:val="32"/>
          <w:szCs w:val="32"/>
        </w:rPr>
        <w:t>。深化财税、投融资体制改革，创新投融资模式，优化金融发展环境，加强金融监管，完善法人治理结构，提升金融发展水平，强化金融对实体经济的支撑作用。</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eastAsia="仿宋_GB2312"/>
          <w:snapToGrid w:val="0"/>
          <w:color w:val="000000"/>
          <w:kern w:val="0"/>
          <w:sz w:val="32"/>
          <w:szCs w:val="32"/>
          <w:lang w:eastAsia="zh-CN"/>
        </w:rPr>
      </w:pPr>
      <w:r>
        <w:rPr>
          <w:rFonts w:hint="eastAsia" w:eastAsia="仿宋_GB2312"/>
          <w:snapToGrid w:val="0"/>
          <w:color w:val="000000"/>
          <w:kern w:val="0"/>
          <w:sz w:val="32"/>
          <w:szCs w:val="32"/>
          <w:lang w:eastAsia="zh-CN"/>
        </w:rPr>
        <w:t>不断优化需求结构，发挥投资对稳增长的关键作用，引导各类资本投向新兴产业、现代服务业、公共服务、基础设施、生态环保等领域。着力增强消费对增长的基础性作用，培育信息网络、健康养老、休闲旅游、文化教育等新型消费业态，推动物质消费向服务消费升级。以魔芋产品为重点，积极扩大出口规模，增强出口对增长的促进作用。</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eastAsia="仿宋_GB2312"/>
          <w:snapToGrid w:val="0"/>
          <w:color w:val="000000"/>
          <w:kern w:val="0"/>
          <w:sz w:val="32"/>
          <w:szCs w:val="32"/>
          <w:lang w:eastAsia="zh-CN"/>
        </w:rPr>
      </w:pPr>
      <w:r>
        <w:rPr>
          <w:rFonts w:hint="eastAsia" w:eastAsia="仿宋_GB2312"/>
          <w:snapToGrid w:val="0"/>
          <w:color w:val="000000"/>
          <w:kern w:val="0"/>
          <w:sz w:val="32"/>
          <w:szCs w:val="32"/>
          <w:lang w:eastAsia="zh-CN"/>
        </w:rPr>
        <w:t>加大供给侧结构性改革力度。在适度扩大总需求的同时，去产能、去库存、去杠杆、降成本、补短板，开展降低实体经济企业成本和全要素生产率提升行动，鼓励企业采用新技术、新工艺，推动管理和组织创新，提高企业盈利能力和空间。实施高品质消费供给行动，适应个性化、多样化、安全性、高品质消费需求，努力增加服务产品有效供给，提高供给质量和效益。</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eastAsia="仿宋_GB2312"/>
          <w:snapToGrid w:val="0"/>
          <w:color w:val="000000"/>
          <w:kern w:val="0"/>
          <w:sz w:val="32"/>
          <w:szCs w:val="32"/>
        </w:rPr>
      </w:pPr>
      <w:r>
        <w:rPr>
          <w:rFonts w:hint="eastAsia" w:eastAsia="仿宋_GB2312"/>
          <w:snapToGrid w:val="0"/>
          <w:color w:val="000000"/>
          <w:kern w:val="0"/>
          <w:sz w:val="32"/>
          <w:szCs w:val="32"/>
        </w:rPr>
        <w:t>加快政府职能转变，推进政府机构改革，推行权力清单、责任清单、负面清单管理新模式，分类推进事业单位改革。开展县镇综合改革试点。切实增强改革定力，保持改革韧劲，注重政策协同，不断释放改革红利。</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eastAsia="仿宋_GB2312"/>
          <w:snapToGrid w:val="0"/>
          <w:color w:val="000000"/>
          <w:kern w:val="0"/>
          <w:sz w:val="32"/>
          <w:szCs w:val="32"/>
        </w:rPr>
      </w:pP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1"/>
        <w:rPr>
          <w:rFonts w:eastAsia="黑体"/>
          <w:bCs/>
          <w:snapToGrid w:val="0"/>
          <w:color w:val="000000"/>
          <w:spacing w:val="6"/>
          <w:kern w:val="0"/>
          <w:sz w:val="32"/>
          <w:szCs w:val="32"/>
        </w:rPr>
      </w:pPr>
      <w:bookmarkStart w:id="50" w:name="_Toc31664"/>
      <w:bookmarkStart w:id="51" w:name="_Toc436739658"/>
      <w:r>
        <w:rPr>
          <w:rFonts w:hint="eastAsia" w:eastAsia="黑体"/>
          <w:bCs/>
          <w:snapToGrid w:val="0"/>
          <w:color w:val="000000"/>
          <w:spacing w:val="6"/>
          <w:kern w:val="0"/>
          <w:sz w:val="32"/>
          <w:szCs w:val="32"/>
        </w:rPr>
        <w:t>第三十二节</w:t>
      </w:r>
      <w:r>
        <w:rPr>
          <w:rFonts w:hint="eastAsia" w:eastAsia="黑体"/>
          <w:bCs/>
          <w:snapToGrid w:val="0"/>
          <w:color w:val="000000"/>
          <w:spacing w:val="6"/>
          <w:kern w:val="0"/>
          <w:sz w:val="32"/>
          <w:szCs w:val="32"/>
          <w:lang w:val="en-US" w:eastAsia="zh-CN"/>
        </w:rPr>
        <w:t xml:space="preserve">  </w:t>
      </w:r>
      <w:r>
        <w:rPr>
          <w:rFonts w:hint="eastAsia" w:eastAsia="黑体"/>
          <w:bCs/>
          <w:snapToGrid w:val="0"/>
          <w:color w:val="000000"/>
          <w:spacing w:val="6"/>
          <w:kern w:val="0"/>
          <w:sz w:val="32"/>
          <w:szCs w:val="32"/>
        </w:rPr>
        <w:t>推进特色改革试点</w:t>
      </w:r>
      <w:bookmarkEnd w:id="50"/>
      <w:bookmarkEnd w:id="51"/>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eastAsia="仿宋_GB2312"/>
          <w:snapToGrid w:val="0"/>
          <w:color w:val="000000"/>
          <w:kern w:val="0"/>
          <w:sz w:val="32"/>
          <w:szCs w:val="32"/>
        </w:rPr>
      </w:pPr>
      <w:r>
        <w:rPr>
          <w:rFonts w:hint="eastAsia" w:eastAsia="仿宋_GB2312"/>
          <w:snapToGrid w:val="0"/>
          <w:color w:val="000000"/>
          <w:kern w:val="0"/>
          <w:sz w:val="32"/>
          <w:szCs w:val="32"/>
        </w:rPr>
        <w:t>加强试点示范，提高改革精确发力和精准落地能力，实现特色改革关键突破，努力为更大范围的改革实践提供可复制、可推广的经验。</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eastAsia="仿宋_GB2312"/>
          <w:snapToGrid w:val="0"/>
          <w:color w:val="000000"/>
          <w:kern w:val="0"/>
          <w:sz w:val="32"/>
          <w:szCs w:val="32"/>
        </w:rPr>
      </w:pPr>
      <w:r>
        <w:rPr>
          <w:rFonts w:hint="eastAsia" w:eastAsia="仿宋_GB2312"/>
          <w:snapToGrid w:val="0"/>
          <w:color w:val="000000"/>
          <w:kern w:val="0"/>
          <w:sz w:val="32"/>
          <w:szCs w:val="32"/>
        </w:rPr>
        <w:t>认真落实</w:t>
      </w:r>
      <w:r>
        <w:rPr>
          <w:rFonts w:hint="eastAsia" w:eastAsia="仿宋_GB2312"/>
          <w:snapToGrid w:val="0"/>
          <w:color w:val="000000"/>
          <w:kern w:val="0"/>
          <w:sz w:val="32"/>
          <w:szCs w:val="32"/>
          <w:lang w:eastAsia="zh-CN"/>
        </w:rPr>
        <w:t>国家主体功能区建设</w:t>
      </w:r>
      <w:r>
        <w:rPr>
          <w:rFonts w:hint="eastAsia" w:eastAsia="仿宋_GB2312"/>
          <w:snapToGrid w:val="0"/>
          <w:color w:val="000000"/>
          <w:kern w:val="0"/>
          <w:sz w:val="32"/>
          <w:szCs w:val="32"/>
        </w:rPr>
        <w:t>试点示范工作的各项具体要求，积极开展“保护优先、绿色发展、成果共享、优化布局、政策引导”五方面探索，以国家主体功能区建设试点示范促进生态文明体制改革干在实处、走在前列。抓牢政策机遇，坚持用约束和激励机制落实试点示范各项任务，进一步把试点示范工作向基层延伸，凝聚全社会力量和智慧，共同推进试点示范工作取得实质性成效，引领全省、示范全国。</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eastAsia="仿宋_GB2312"/>
          <w:snapToGrid w:val="0"/>
          <w:color w:val="000000"/>
          <w:kern w:val="0"/>
          <w:sz w:val="32"/>
          <w:szCs w:val="32"/>
        </w:rPr>
      </w:pPr>
      <w:r>
        <w:rPr>
          <w:rFonts w:hint="eastAsia" w:eastAsia="仿宋_GB2312"/>
          <w:snapToGrid w:val="0"/>
          <w:color w:val="000000"/>
          <w:kern w:val="0"/>
          <w:sz w:val="32"/>
          <w:szCs w:val="32"/>
        </w:rPr>
        <w:t>以农村体制改革试点弥补发展短板</w:t>
      </w:r>
      <w:r>
        <w:rPr>
          <w:rFonts w:hint="eastAsia" w:eastAsia="仿宋_GB2312"/>
          <w:snapToGrid w:val="0"/>
          <w:color w:val="000000"/>
          <w:kern w:val="0"/>
          <w:sz w:val="32"/>
          <w:szCs w:val="32"/>
          <w:lang w:eastAsia="zh-CN"/>
        </w:rPr>
        <w:t>，</w:t>
      </w:r>
      <w:r>
        <w:rPr>
          <w:rFonts w:hint="eastAsia" w:eastAsia="仿宋_GB2312"/>
          <w:snapToGrid w:val="0"/>
          <w:color w:val="000000"/>
          <w:kern w:val="0"/>
          <w:sz w:val="32"/>
          <w:szCs w:val="32"/>
        </w:rPr>
        <w:t>围绕突出问题，破题攻坚改革，重点在健全农村产权流转交易平台、实施陕南移民搬迁工程农村宅基地管理制度改革、</w:t>
      </w:r>
      <w:r>
        <w:rPr>
          <w:rFonts w:hint="eastAsia" w:eastAsia="仿宋_GB2312"/>
          <w:snapToGrid w:val="0"/>
          <w:color w:val="000000"/>
          <w:kern w:val="0"/>
          <w:sz w:val="32"/>
          <w:szCs w:val="32"/>
          <w:lang w:eastAsia="zh-CN"/>
        </w:rPr>
        <w:t>深化</w:t>
      </w:r>
      <w:r>
        <w:rPr>
          <w:rFonts w:hint="eastAsia" w:eastAsia="仿宋_GB2312"/>
          <w:snapToGrid w:val="0"/>
          <w:color w:val="000000"/>
          <w:kern w:val="0"/>
          <w:sz w:val="32"/>
          <w:szCs w:val="32"/>
        </w:rPr>
        <w:t>农村金融制度改革</w:t>
      </w:r>
      <w:r>
        <w:rPr>
          <w:rFonts w:hint="eastAsia" w:eastAsia="仿宋_GB2312"/>
          <w:snapToGrid w:val="0"/>
          <w:color w:val="000000"/>
          <w:kern w:val="0"/>
          <w:sz w:val="32"/>
          <w:szCs w:val="32"/>
          <w:lang w:eastAsia="zh-CN"/>
        </w:rPr>
        <w:t>、</w:t>
      </w:r>
      <w:r>
        <w:rPr>
          <w:rFonts w:hint="eastAsia" w:eastAsia="仿宋_GB2312"/>
          <w:snapToGrid w:val="0"/>
          <w:color w:val="000000"/>
          <w:kern w:val="0"/>
          <w:sz w:val="32"/>
          <w:szCs w:val="32"/>
        </w:rPr>
        <w:t>健全涉农担保和政策性农业保险体系</w:t>
      </w:r>
      <w:r>
        <w:rPr>
          <w:rFonts w:hint="eastAsia" w:eastAsia="仿宋_GB2312"/>
          <w:snapToGrid w:val="0"/>
          <w:color w:val="000000"/>
          <w:kern w:val="0"/>
          <w:sz w:val="32"/>
          <w:szCs w:val="32"/>
          <w:lang w:eastAsia="zh-CN"/>
        </w:rPr>
        <w:t>以及创新农村社会治理</w:t>
      </w:r>
      <w:r>
        <w:rPr>
          <w:rFonts w:hint="eastAsia" w:eastAsia="仿宋_GB2312"/>
          <w:snapToGrid w:val="0"/>
          <w:color w:val="000000"/>
          <w:kern w:val="0"/>
          <w:sz w:val="32"/>
          <w:szCs w:val="32"/>
        </w:rPr>
        <w:t>等方面积极探索，稳妥有序实施农村承包土地经营权、农民住房财产权等抵押贷款以及大宗特色农产品保险试点</w:t>
      </w:r>
      <w:r>
        <w:rPr>
          <w:rFonts w:hint="eastAsia" w:eastAsia="仿宋_GB2312"/>
          <w:snapToGrid w:val="0"/>
          <w:color w:val="000000"/>
          <w:kern w:val="0"/>
          <w:sz w:val="32"/>
          <w:szCs w:val="32"/>
          <w:lang w:eastAsia="zh-CN"/>
        </w:rPr>
        <w:t>，不断增强农村发展活力</w:t>
      </w:r>
      <w:r>
        <w:rPr>
          <w:rFonts w:hint="eastAsia" w:eastAsia="仿宋_GB2312"/>
          <w:snapToGrid w:val="0"/>
          <w:color w:val="000000"/>
          <w:kern w:val="0"/>
          <w:sz w:val="32"/>
          <w:szCs w:val="32"/>
        </w:rPr>
        <w:t>。</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eastAsia="仿宋_GB2312"/>
          <w:snapToGrid w:val="0"/>
          <w:color w:val="000000"/>
          <w:kern w:val="0"/>
          <w:sz w:val="32"/>
          <w:szCs w:val="32"/>
        </w:rPr>
      </w:pPr>
      <w:r>
        <w:rPr>
          <w:rFonts w:hint="eastAsia" w:eastAsia="仿宋_GB2312"/>
          <w:snapToGrid w:val="0"/>
          <w:color w:val="000000"/>
          <w:kern w:val="0"/>
          <w:sz w:val="32"/>
          <w:szCs w:val="32"/>
        </w:rPr>
        <w:t>以纪检监察“统派直管”改革解决基层执纪监督机构“稻草人”现象。通过整合重组盘活现有资源、体制变革激发工作活力、制度创新提升监督实效，解决“两个责任”落实不力、同体执纪监督乏力等问题</w:t>
      </w:r>
      <w:r>
        <w:rPr>
          <w:rFonts w:hint="eastAsia" w:eastAsia="仿宋_GB2312"/>
          <w:snapToGrid w:val="0"/>
          <w:color w:val="000000"/>
          <w:kern w:val="0"/>
          <w:sz w:val="32"/>
          <w:szCs w:val="32"/>
          <w:lang w:eastAsia="zh-CN"/>
        </w:rPr>
        <w:t>，</w:t>
      </w:r>
      <w:r>
        <w:rPr>
          <w:rFonts w:hint="eastAsia" w:eastAsia="仿宋_GB2312"/>
          <w:snapToGrid w:val="0"/>
          <w:color w:val="000000"/>
          <w:kern w:val="0"/>
          <w:sz w:val="32"/>
          <w:szCs w:val="32"/>
        </w:rPr>
        <w:t>为服务</w:t>
      </w:r>
      <w:r>
        <w:rPr>
          <w:rFonts w:hint="eastAsia" w:eastAsia="仿宋_GB2312"/>
          <w:snapToGrid w:val="0"/>
          <w:color w:val="000000"/>
          <w:kern w:val="0"/>
          <w:sz w:val="32"/>
          <w:szCs w:val="32"/>
          <w:lang w:eastAsia="zh-CN"/>
        </w:rPr>
        <w:t>、</w:t>
      </w:r>
      <w:r>
        <w:rPr>
          <w:rFonts w:hint="eastAsia" w:eastAsia="仿宋_GB2312"/>
          <w:snapToGrid w:val="0"/>
          <w:color w:val="000000"/>
          <w:kern w:val="0"/>
          <w:sz w:val="32"/>
          <w:szCs w:val="32"/>
        </w:rPr>
        <w:t>保障和推动科学发展重大战略部署提供坚强的纪律保证</w:t>
      </w:r>
      <w:r>
        <w:rPr>
          <w:rFonts w:hint="eastAsia" w:eastAsia="仿宋_GB2312"/>
          <w:snapToGrid w:val="0"/>
          <w:color w:val="000000"/>
          <w:kern w:val="0"/>
          <w:sz w:val="32"/>
          <w:szCs w:val="32"/>
          <w:lang w:eastAsia="zh-CN"/>
        </w:rPr>
        <w:t>。</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eastAsia="仿宋_GB2312"/>
          <w:snapToGrid w:val="0"/>
          <w:color w:val="000000"/>
          <w:kern w:val="0"/>
          <w:sz w:val="32"/>
          <w:szCs w:val="32"/>
        </w:rPr>
      </w:pPr>
      <w:r>
        <w:rPr>
          <w:rFonts w:hint="eastAsia" w:eastAsia="仿宋_GB2312"/>
          <w:snapToGrid w:val="0"/>
          <w:color w:val="000000"/>
          <w:kern w:val="0"/>
          <w:sz w:val="32"/>
          <w:szCs w:val="32"/>
        </w:rPr>
        <w:t>积极拓展林权制度改革等特色改革新领域，在建设林权管理服务体系、扩大林权抵押贷款规模、壮大新型林业经营主体、强化森林保险工作等方面推动改革进程，努力走在全国林业综合改革前列。</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eastAsia="仿宋_GB2312"/>
          <w:snapToGrid w:val="0"/>
          <w:color w:val="000000"/>
          <w:kern w:val="0"/>
          <w:sz w:val="32"/>
          <w:szCs w:val="32"/>
        </w:rPr>
      </w:pP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1"/>
        <w:rPr>
          <w:rFonts w:eastAsia="黑体"/>
          <w:bCs/>
          <w:snapToGrid w:val="0"/>
          <w:color w:val="000000"/>
          <w:spacing w:val="6"/>
          <w:kern w:val="0"/>
          <w:sz w:val="32"/>
          <w:szCs w:val="32"/>
        </w:rPr>
      </w:pPr>
      <w:bookmarkStart w:id="52" w:name="_Toc1527"/>
      <w:bookmarkStart w:id="53" w:name="_Toc436739659"/>
      <w:r>
        <w:rPr>
          <w:rFonts w:hint="eastAsia" w:eastAsia="黑体"/>
          <w:bCs/>
          <w:snapToGrid w:val="0"/>
          <w:color w:val="000000"/>
          <w:spacing w:val="6"/>
          <w:kern w:val="0"/>
          <w:sz w:val="32"/>
          <w:szCs w:val="32"/>
        </w:rPr>
        <w:t>第三十三节</w:t>
      </w:r>
      <w:r>
        <w:rPr>
          <w:rFonts w:hint="eastAsia" w:eastAsia="黑体"/>
          <w:bCs/>
          <w:snapToGrid w:val="0"/>
          <w:color w:val="000000"/>
          <w:spacing w:val="6"/>
          <w:kern w:val="0"/>
          <w:sz w:val="32"/>
          <w:szCs w:val="32"/>
          <w:lang w:val="en-US" w:eastAsia="zh-CN"/>
        </w:rPr>
        <w:t xml:space="preserve">  </w:t>
      </w:r>
      <w:r>
        <w:rPr>
          <w:rFonts w:hint="eastAsia" w:eastAsia="黑体"/>
          <w:bCs/>
          <w:snapToGrid w:val="0"/>
          <w:color w:val="000000"/>
          <w:spacing w:val="6"/>
          <w:kern w:val="0"/>
          <w:sz w:val="32"/>
          <w:szCs w:val="32"/>
        </w:rPr>
        <w:t>提升开放协作水平</w:t>
      </w:r>
      <w:bookmarkEnd w:id="52"/>
      <w:bookmarkEnd w:id="53"/>
    </w:p>
    <w:bookmarkEnd w:id="49"/>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eastAsia="仿宋_GB2312"/>
          <w:snapToGrid w:val="0"/>
          <w:color w:val="000000"/>
          <w:kern w:val="0"/>
          <w:sz w:val="32"/>
          <w:szCs w:val="32"/>
        </w:rPr>
      </w:pPr>
      <w:r>
        <w:rPr>
          <w:rFonts w:hint="eastAsia" w:eastAsia="仿宋_GB2312"/>
          <w:snapToGrid w:val="0"/>
          <w:color w:val="000000"/>
          <w:kern w:val="0"/>
          <w:sz w:val="32"/>
          <w:szCs w:val="32"/>
        </w:rPr>
        <w:t>制订和完善引资引智、拓展市场、人文交流、民间互动等规划，大力开创开放新空间</w:t>
      </w:r>
      <w:r>
        <w:rPr>
          <w:rFonts w:hint="eastAsia" w:eastAsia="仿宋_GB2312"/>
          <w:snapToGrid w:val="0"/>
          <w:color w:val="000000"/>
          <w:kern w:val="0"/>
          <w:sz w:val="32"/>
          <w:szCs w:val="32"/>
          <w:lang w:eastAsia="zh-CN"/>
        </w:rPr>
        <w:t>。依托交通枢纽和区位优势，</w:t>
      </w:r>
      <w:r>
        <w:rPr>
          <w:rFonts w:hint="eastAsia" w:eastAsia="仿宋_GB2312"/>
          <w:snapToGrid w:val="0"/>
          <w:color w:val="000000"/>
          <w:kern w:val="0"/>
          <w:sz w:val="32"/>
          <w:szCs w:val="32"/>
        </w:rPr>
        <w:t>找准定位、主动作为，</w:t>
      </w:r>
      <w:r>
        <w:rPr>
          <w:rFonts w:hint="eastAsia" w:eastAsia="仿宋_GB2312"/>
          <w:snapToGrid w:val="0"/>
          <w:color w:val="000000"/>
          <w:kern w:val="0"/>
          <w:sz w:val="32"/>
          <w:szCs w:val="32"/>
          <w:lang w:eastAsia="zh-CN"/>
        </w:rPr>
        <w:t>坚持“引进来”与“走出去”相结合，创新适应“一带一路”的体制机制，</w:t>
      </w:r>
      <w:r>
        <w:rPr>
          <w:rFonts w:hint="eastAsia" w:eastAsia="仿宋_GB2312"/>
          <w:snapToGrid w:val="0"/>
          <w:color w:val="000000"/>
          <w:kern w:val="0"/>
          <w:sz w:val="32"/>
          <w:szCs w:val="32"/>
        </w:rPr>
        <w:t>积极融入长江经济带</w:t>
      </w:r>
      <w:r>
        <w:rPr>
          <w:rFonts w:hint="eastAsia" w:eastAsia="仿宋_GB2312"/>
          <w:snapToGrid w:val="0"/>
          <w:color w:val="000000"/>
          <w:kern w:val="0"/>
          <w:sz w:val="32"/>
          <w:szCs w:val="32"/>
          <w:lang w:eastAsia="zh-CN"/>
        </w:rPr>
        <w:t>、</w:t>
      </w:r>
      <w:r>
        <w:rPr>
          <w:rFonts w:hint="eastAsia" w:eastAsia="仿宋_GB2312"/>
          <w:snapToGrid w:val="0"/>
          <w:color w:val="000000"/>
          <w:kern w:val="0"/>
          <w:sz w:val="32"/>
          <w:szCs w:val="32"/>
        </w:rPr>
        <w:t>丝绸之路经济带</w:t>
      </w:r>
      <w:r>
        <w:rPr>
          <w:rFonts w:hint="eastAsia" w:eastAsia="仿宋_GB2312"/>
          <w:snapToGrid w:val="0"/>
          <w:color w:val="000000"/>
          <w:kern w:val="0"/>
          <w:sz w:val="32"/>
          <w:szCs w:val="32"/>
          <w:lang w:eastAsia="zh-CN"/>
        </w:rPr>
        <w:t>、京津冀一体化等</w:t>
      </w:r>
      <w:r>
        <w:rPr>
          <w:rFonts w:hint="eastAsia" w:eastAsia="仿宋_GB2312"/>
          <w:snapToGrid w:val="0"/>
          <w:color w:val="000000"/>
          <w:kern w:val="0"/>
          <w:sz w:val="32"/>
          <w:szCs w:val="32"/>
        </w:rPr>
        <w:t>国家战略，</w:t>
      </w:r>
      <w:r>
        <w:rPr>
          <w:rFonts w:hint="eastAsia" w:eastAsia="仿宋_GB2312"/>
          <w:snapToGrid w:val="0"/>
          <w:color w:val="000000"/>
          <w:kern w:val="0"/>
          <w:sz w:val="32"/>
          <w:szCs w:val="32"/>
          <w:lang w:eastAsia="zh-CN"/>
        </w:rPr>
        <w:t>加强特色产业、文化旅游、扶贫开发、生态环保、商贸协作和人文交流等领域合作，</w:t>
      </w:r>
      <w:r>
        <w:rPr>
          <w:rFonts w:hint="eastAsia" w:eastAsia="仿宋_GB2312"/>
          <w:snapToGrid w:val="0"/>
          <w:color w:val="000000"/>
          <w:kern w:val="0"/>
          <w:sz w:val="32"/>
          <w:szCs w:val="32"/>
        </w:rPr>
        <w:t>推动安康在更大范围、更广领域、更高水平上对外开放。</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eastAsia="仿宋_GB2312"/>
          <w:snapToGrid w:val="0"/>
          <w:color w:val="000000"/>
          <w:kern w:val="0"/>
          <w:sz w:val="32"/>
          <w:szCs w:val="32"/>
        </w:rPr>
      </w:pPr>
      <w:r>
        <w:rPr>
          <w:rFonts w:hint="eastAsia" w:eastAsia="仿宋_GB2312"/>
          <w:snapToGrid w:val="0"/>
          <w:color w:val="000000"/>
          <w:kern w:val="0"/>
          <w:sz w:val="32"/>
          <w:szCs w:val="32"/>
        </w:rPr>
        <w:t>充分发挥区位、资源、产业优势，</w:t>
      </w:r>
      <w:r>
        <w:rPr>
          <w:rFonts w:hint="eastAsia" w:eastAsia="仿宋_GB2312"/>
          <w:snapToGrid w:val="0"/>
          <w:color w:val="000000"/>
          <w:kern w:val="0"/>
          <w:sz w:val="32"/>
          <w:szCs w:val="32"/>
          <w:lang w:eastAsia="zh-CN"/>
        </w:rPr>
        <w:t>依托高铁、高速大通道，</w:t>
      </w:r>
      <w:r>
        <w:rPr>
          <w:rFonts w:hint="eastAsia" w:eastAsia="仿宋_GB2312"/>
          <w:snapToGrid w:val="0"/>
          <w:color w:val="000000"/>
          <w:kern w:val="0"/>
          <w:sz w:val="32"/>
          <w:szCs w:val="32"/>
        </w:rPr>
        <w:t>按照“西联、东出、北开、南融”的思路，加强与毗邻地区的合作</w:t>
      </w:r>
      <w:r>
        <w:rPr>
          <w:rFonts w:hint="eastAsia" w:eastAsia="仿宋_GB2312"/>
          <w:snapToGrid w:val="0"/>
          <w:color w:val="000000"/>
          <w:kern w:val="0"/>
          <w:sz w:val="32"/>
          <w:szCs w:val="32"/>
          <w:lang w:eastAsia="zh-CN"/>
        </w:rPr>
        <w:t>，</w:t>
      </w:r>
      <w:r>
        <w:rPr>
          <w:rFonts w:hint="eastAsia" w:eastAsia="仿宋_GB2312"/>
          <w:snapToGrid w:val="0"/>
          <w:color w:val="000000"/>
          <w:kern w:val="0"/>
          <w:sz w:val="32"/>
          <w:szCs w:val="32"/>
        </w:rPr>
        <w:t>对接西安、重庆、十堰等周边地区以及东部沿海地区产业转移，主动承接关天、成渝、江汉经济区</w:t>
      </w:r>
      <w:r>
        <w:rPr>
          <w:rFonts w:hint="eastAsia" w:eastAsia="仿宋_GB2312"/>
          <w:snapToGrid w:val="0"/>
          <w:color w:val="000000"/>
          <w:kern w:val="0"/>
          <w:sz w:val="32"/>
          <w:szCs w:val="32"/>
          <w:lang w:eastAsia="zh-CN"/>
        </w:rPr>
        <w:t>（城市圈）</w:t>
      </w:r>
      <w:r>
        <w:rPr>
          <w:rFonts w:hint="eastAsia" w:eastAsia="仿宋_GB2312"/>
          <w:snapToGrid w:val="0"/>
          <w:color w:val="000000"/>
          <w:kern w:val="0"/>
          <w:sz w:val="32"/>
          <w:szCs w:val="32"/>
        </w:rPr>
        <w:t>产业辐射，</w:t>
      </w:r>
      <w:r>
        <w:rPr>
          <w:rFonts w:hint="eastAsia" w:eastAsia="仿宋_GB2312"/>
          <w:snapToGrid w:val="0"/>
          <w:color w:val="000000"/>
          <w:kern w:val="0"/>
          <w:sz w:val="32"/>
          <w:szCs w:val="32"/>
          <w:lang w:eastAsia="zh-CN"/>
        </w:rPr>
        <w:t>积极谋划融入“西三角”经济区</w:t>
      </w:r>
      <w:r>
        <w:rPr>
          <w:rFonts w:hint="eastAsia" w:eastAsia="仿宋_GB2312"/>
          <w:snapToGrid w:val="0"/>
          <w:color w:val="000000"/>
          <w:kern w:val="0"/>
          <w:sz w:val="32"/>
          <w:szCs w:val="32"/>
        </w:rPr>
        <w:t>，形成大协作、大开放、大融合的区域合作新格局。</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eastAsia="仿宋_GB2312"/>
          <w:snapToGrid w:val="0"/>
          <w:color w:val="000000"/>
          <w:kern w:val="0"/>
          <w:sz w:val="32"/>
          <w:szCs w:val="32"/>
        </w:rPr>
      </w:pPr>
      <w:r>
        <w:rPr>
          <w:rFonts w:hint="eastAsia" w:eastAsia="仿宋_GB2312"/>
          <w:snapToGrid w:val="0"/>
          <w:color w:val="000000"/>
          <w:kern w:val="0"/>
          <w:sz w:val="32"/>
          <w:szCs w:val="32"/>
        </w:rPr>
        <w:t>加强与省内以及湖北、河南周边地区的合作</w:t>
      </w:r>
      <w:r>
        <w:rPr>
          <w:rFonts w:hint="eastAsia"/>
          <w:sz w:val="28"/>
          <w:szCs w:val="28"/>
        </w:rPr>
        <w:t>，</w:t>
      </w:r>
      <w:r>
        <w:rPr>
          <w:rFonts w:hint="eastAsia" w:eastAsia="仿宋_GB2312"/>
          <w:snapToGrid w:val="0"/>
          <w:color w:val="000000"/>
          <w:kern w:val="0"/>
          <w:sz w:val="32"/>
          <w:szCs w:val="32"/>
        </w:rPr>
        <w:t>推进基础设施互联互通、</w:t>
      </w:r>
      <w:r>
        <w:rPr>
          <w:rFonts w:hint="eastAsia" w:eastAsia="仿宋_GB2312"/>
          <w:snapToGrid w:val="0"/>
          <w:color w:val="000000"/>
          <w:kern w:val="0"/>
          <w:sz w:val="32"/>
          <w:szCs w:val="32"/>
          <w:lang w:eastAsia="zh-CN"/>
        </w:rPr>
        <w:t>特色产业良性互动、</w:t>
      </w:r>
      <w:r>
        <w:rPr>
          <w:rFonts w:hint="eastAsia" w:eastAsia="仿宋_GB2312"/>
          <w:snapToGrid w:val="0"/>
          <w:color w:val="000000"/>
          <w:kern w:val="0"/>
          <w:sz w:val="32"/>
          <w:szCs w:val="32"/>
        </w:rPr>
        <w:t>生产要素顺畅流动、生态环境互保共治，推动汉江流域联动发展，协同打造汉江生态经济带。围绕丹江口库区及上游地区对口协作、院（校）地合作及西洽会暨丝博会、硒博会、杨凌农高会等大型展会，拓宽交流合作渠道。加快安康二类口岸和海关出入境检验检疫机构建设，构筑全方位开放平台。</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eastAsia="仿宋_GB2312"/>
          <w:snapToGrid w:val="0"/>
          <w:color w:val="000000"/>
          <w:kern w:val="0"/>
          <w:sz w:val="32"/>
          <w:szCs w:val="32"/>
          <w:lang w:eastAsia="zh-CN"/>
        </w:rPr>
      </w:pPr>
      <w:r>
        <w:rPr>
          <w:rFonts w:hint="eastAsia" w:eastAsia="仿宋_GB2312"/>
          <w:snapToGrid w:val="0"/>
          <w:color w:val="000000"/>
          <w:kern w:val="0"/>
          <w:sz w:val="32"/>
          <w:szCs w:val="32"/>
          <w:lang w:eastAsia="zh-CN"/>
        </w:rPr>
        <w:t>把握国际分工和区域合作日益加深新趋势，不断扩大国际合作交流。广泛利用驻外机构、国际机构、外海侨胞、社团组织等，扩大与发达国家同等城市及“一带一路”沿线城市的交流合作，并与其使领馆、重点企业、商会协会、贸易振兴机构、产业服务机构建立交流合作机制。</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eastAsia="仿宋_GB2312"/>
          <w:snapToGrid w:val="0"/>
          <w:color w:val="000000"/>
          <w:kern w:val="0"/>
          <w:sz w:val="32"/>
          <w:szCs w:val="32"/>
          <w:lang w:eastAsia="zh-CN"/>
        </w:rPr>
      </w:pPr>
      <w:r>
        <w:rPr>
          <w:rFonts w:hint="eastAsia" w:eastAsia="仿宋_GB2312"/>
          <w:snapToGrid w:val="0"/>
          <w:color w:val="000000"/>
          <w:kern w:val="0"/>
          <w:sz w:val="32"/>
          <w:szCs w:val="32"/>
          <w:lang w:eastAsia="zh-CN"/>
        </w:rPr>
        <w:t>发挥开发区（园区、示范区）开放引领作用，鼓励、支持安康高新区等重点开发区建立跨区域联动发展机制，共建产业园区，增强核心竞争力。统筹开发区产业布局、交流合作和机制创新，努力将各类开发区打造成为推动体制创新、科技引领、产城融合、改革开放的重要载体。</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eastAsia="仿宋_GB2312"/>
          <w:snapToGrid w:val="0"/>
          <w:color w:val="000000"/>
          <w:kern w:val="0"/>
          <w:sz w:val="32"/>
          <w:szCs w:val="32"/>
        </w:rPr>
      </w:pPr>
      <w:r>
        <w:rPr>
          <w:rFonts w:hint="eastAsia" w:eastAsia="仿宋_GB2312"/>
          <w:snapToGrid w:val="0"/>
          <w:color w:val="000000"/>
          <w:kern w:val="0"/>
          <w:sz w:val="32"/>
          <w:szCs w:val="32"/>
        </w:rPr>
        <w:t>创新招商工作机制，把招商引资同优化产业结构、提高技术水平和扩大对外经济贸易有机结合起来。坚持引进来和走出去并重、引资和引技引智并举，</w:t>
      </w:r>
      <w:r>
        <w:rPr>
          <w:rFonts w:hint="eastAsia" w:eastAsia="仿宋_GB2312"/>
          <w:snapToGrid w:val="0"/>
          <w:color w:val="000000"/>
          <w:kern w:val="0"/>
          <w:sz w:val="32"/>
          <w:szCs w:val="32"/>
          <w:lang w:eastAsia="zh-CN"/>
        </w:rPr>
        <w:t>及时跟进世界</w:t>
      </w:r>
      <w:r>
        <w:rPr>
          <w:rFonts w:hint="eastAsia" w:eastAsia="仿宋_GB2312"/>
          <w:snapToGrid w:val="0"/>
          <w:color w:val="000000"/>
          <w:kern w:val="0"/>
          <w:sz w:val="32"/>
          <w:szCs w:val="32"/>
          <w:lang w:val="en-US" w:eastAsia="zh-CN"/>
        </w:rPr>
        <w:t>和国内500强等境内外知名企业转移信息和合作意向，瞄准珠三角、长三角、环渤海地区以及“一带一路”和南水北调中线沿线地区，突出特色化、专业化招商，</w:t>
      </w:r>
      <w:r>
        <w:rPr>
          <w:rFonts w:hint="eastAsia" w:eastAsia="仿宋_GB2312"/>
          <w:snapToGrid w:val="0"/>
          <w:color w:val="000000"/>
          <w:kern w:val="0"/>
          <w:sz w:val="32"/>
          <w:szCs w:val="32"/>
        </w:rPr>
        <w:t>进一步扩大合作交流范围，发展更高层次的开放型经济，培育全面开放竞争新优势。</w:t>
      </w:r>
      <w:r>
        <w:rPr>
          <w:rFonts w:hint="eastAsia" w:eastAsia="仿宋_GB2312"/>
          <w:snapToGrid w:val="0"/>
          <w:color w:val="000000"/>
          <w:kern w:val="0"/>
          <w:sz w:val="32"/>
          <w:szCs w:val="32"/>
          <w:lang w:eastAsia="zh-CN"/>
        </w:rPr>
        <w:t>五年累计招商引资到位资</w:t>
      </w:r>
      <w:r>
        <w:rPr>
          <w:rFonts w:hint="eastAsia" w:ascii="仿宋_GB2312" w:hAnsi="仿宋_GB2312" w:eastAsia="仿宋_GB2312" w:cs="仿宋_GB2312"/>
          <w:snapToGrid w:val="0"/>
          <w:color w:val="000000"/>
          <w:kern w:val="0"/>
          <w:sz w:val="32"/>
          <w:szCs w:val="32"/>
          <w:lang w:eastAsia="zh-CN"/>
        </w:rPr>
        <w:t>金</w:t>
      </w:r>
      <w:r>
        <w:rPr>
          <w:rFonts w:hint="eastAsia" w:ascii="仿宋_GB2312" w:hAnsi="仿宋_GB2312" w:eastAsia="仿宋_GB2312" w:cs="仿宋_GB2312"/>
          <w:snapToGrid w:val="0"/>
          <w:color w:val="000000"/>
          <w:kern w:val="0"/>
          <w:sz w:val="32"/>
          <w:szCs w:val="32"/>
          <w:lang w:val="en-US" w:eastAsia="zh-CN"/>
        </w:rPr>
        <w:t>3200亿元。</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eastAsia="仿宋_GB2312"/>
          <w:snapToGrid w:val="0"/>
          <w:color w:val="000000"/>
          <w:kern w:val="0"/>
          <w:sz w:val="32"/>
          <w:szCs w:val="32"/>
        </w:rPr>
      </w:pP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0"/>
        <w:rPr>
          <w:rFonts w:hint="eastAsia" w:ascii="方正小标宋简体" w:hAnsi="黑体" w:eastAsia="方正小标宋简体" w:cs="黑体"/>
          <w:color w:val="000000"/>
          <w:sz w:val="36"/>
          <w:szCs w:val="36"/>
        </w:rPr>
      </w:pPr>
      <w:bookmarkStart w:id="54" w:name="_Toc26157"/>
      <w:r>
        <w:rPr>
          <w:rFonts w:hint="eastAsia" w:ascii="方正小标宋简体" w:hAnsi="黑体" w:eastAsia="方正小标宋简体" w:cs="黑体"/>
          <w:color w:val="000000"/>
          <w:sz w:val="36"/>
          <w:szCs w:val="36"/>
        </w:rPr>
        <w:t>第九章</w:t>
      </w:r>
      <w:r>
        <w:rPr>
          <w:rFonts w:hint="eastAsia" w:ascii="方正小标宋简体" w:hAnsi="黑体" w:eastAsia="方正小标宋简体" w:cs="黑体"/>
          <w:color w:val="000000"/>
          <w:sz w:val="36"/>
          <w:szCs w:val="36"/>
          <w:lang w:val="en-US" w:eastAsia="zh-CN"/>
        </w:rPr>
        <w:t xml:space="preserve">  共建</w:t>
      </w:r>
      <w:r>
        <w:rPr>
          <w:rFonts w:hint="eastAsia" w:ascii="方正小标宋简体" w:hAnsi="黑体" w:eastAsia="方正小标宋简体" w:cs="黑体"/>
          <w:color w:val="000000"/>
          <w:sz w:val="36"/>
          <w:szCs w:val="36"/>
        </w:rPr>
        <w:t>共享　持续保障改善民生</w:t>
      </w:r>
      <w:bookmarkEnd w:id="44"/>
      <w:bookmarkEnd w:id="54"/>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0"/>
        <w:rPr>
          <w:rFonts w:hint="eastAsia" w:eastAsia="方正小标宋简体"/>
          <w:color w:val="000000"/>
          <w:sz w:val="32"/>
          <w:szCs w:val="56"/>
        </w:rPr>
      </w:pP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eastAsia="仿宋_GB2312"/>
          <w:snapToGrid w:val="0"/>
          <w:color w:val="000000"/>
          <w:kern w:val="0"/>
          <w:sz w:val="32"/>
          <w:szCs w:val="32"/>
        </w:rPr>
      </w:pPr>
      <w:r>
        <w:rPr>
          <w:rFonts w:hint="eastAsia" w:eastAsia="仿宋_GB2312"/>
          <w:snapToGrid w:val="0"/>
          <w:color w:val="000000"/>
          <w:kern w:val="0"/>
          <w:sz w:val="32"/>
          <w:szCs w:val="32"/>
        </w:rPr>
        <w:t>按照人人参与、人人尽力、人人享有的要求，坚持保基本、兜底线，持续加大社会事业投入力度，实施重点领域民生工程，着力增进人民福祉，使发展成果更多、更公平惠及广大人民群众。</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rPr>
          <w:rFonts w:hint="eastAsia" w:eastAsia="仿宋_GB2312"/>
          <w:snapToGrid w:val="0"/>
          <w:color w:val="000000"/>
          <w:kern w:val="0"/>
          <w:sz w:val="32"/>
          <w:szCs w:val="32"/>
        </w:rPr>
      </w:pP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1"/>
        <w:rPr>
          <w:rFonts w:hint="eastAsia" w:eastAsia="黑体"/>
          <w:bCs/>
          <w:snapToGrid w:val="0"/>
          <w:color w:val="000000"/>
          <w:spacing w:val="6"/>
          <w:kern w:val="0"/>
          <w:sz w:val="32"/>
          <w:szCs w:val="32"/>
        </w:rPr>
      </w:pPr>
      <w:bookmarkStart w:id="55" w:name="_Toc436739647"/>
      <w:bookmarkStart w:id="56" w:name="_Toc8732"/>
      <w:r>
        <w:rPr>
          <w:rFonts w:hint="eastAsia" w:eastAsia="黑体"/>
          <w:bCs/>
          <w:snapToGrid w:val="0"/>
          <w:color w:val="000000"/>
          <w:spacing w:val="6"/>
          <w:kern w:val="0"/>
          <w:sz w:val="32"/>
          <w:szCs w:val="32"/>
        </w:rPr>
        <w:t>第三十四节</w:t>
      </w:r>
      <w:r>
        <w:rPr>
          <w:rFonts w:hint="eastAsia" w:eastAsia="黑体"/>
          <w:bCs/>
          <w:snapToGrid w:val="0"/>
          <w:color w:val="000000"/>
          <w:spacing w:val="6"/>
          <w:kern w:val="0"/>
          <w:sz w:val="32"/>
          <w:szCs w:val="32"/>
          <w:lang w:val="en-US" w:eastAsia="zh-CN"/>
        </w:rPr>
        <w:t xml:space="preserve">  </w:t>
      </w:r>
      <w:r>
        <w:rPr>
          <w:rFonts w:hint="eastAsia" w:eastAsia="黑体"/>
          <w:bCs/>
          <w:snapToGrid w:val="0"/>
          <w:color w:val="000000"/>
          <w:spacing w:val="6"/>
          <w:kern w:val="0"/>
          <w:sz w:val="32"/>
          <w:szCs w:val="32"/>
        </w:rPr>
        <w:t>优先发展教育事业</w:t>
      </w:r>
      <w:bookmarkEnd w:id="55"/>
      <w:bookmarkEnd w:id="56"/>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仿宋_GB2312" w:eastAsia="仿宋_GB2312"/>
          <w:snapToGrid w:val="0"/>
          <w:color w:val="000000"/>
          <w:kern w:val="0"/>
          <w:sz w:val="32"/>
          <w:szCs w:val="32"/>
        </w:rPr>
      </w:pPr>
      <w:r>
        <w:rPr>
          <w:rFonts w:hint="eastAsia" w:eastAsia="仿宋_GB2312"/>
          <w:snapToGrid w:val="0"/>
          <w:color w:val="000000"/>
          <w:kern w:val="0"/>
          <w:sz w:val="32"/>
          <w:szCs w:val="32"/>
        </w:rPr>
        <w:t>坚持教育优先发展，以办好人民满意教育为宗旨，以公平优质为目标，深化教育改</w:t>
      </w:r>
      <w:r>
        <w:rPr>
          <w:rFonts w:hint="eastAsia" w:ascii="仿宋_GB2312" w:eastAsia="仿宋_GB2312"/>
          <w:snapToGrid w:val="0"/>
          <w:color w:val="000000"/>
          <w:kern w:val="0"/>
          <w:sz w:val="32"/>
          <w:szCs w:val="32"/>
        </w:rPr>
        <w:t>革，加大投入力度，优化布局结构，合理配置资源，启动实施从学前1年到高中阶段13年免费教育，实施特殊教育提升计划，支持民办教育发展，构建符合发展需要和人民需求的现代教育体系。</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仿宋_GB2312" w:eastAsia="仿宋_GB2312"/>
          <w:snapToGrid w:val="0"/>
          <w:color w:val="000000"/>
          <w:kern w:val="0"/>
          <w:sz w:val="32"/>
          <w:szCs w:val="32"/>
        </w:rPr>
      </w:pPr>
      <w:r>
        <w:rPr>
          <w:rFonts w:hint="eastAsia" w:ascii="仿宋_GB2312" w:eastAsia="仿宋_GB2312"/>
          <w:snapToGrid w:val="0"/>
          <w:color w:val="000000"/>
          <w:kern w:val="0"/>
          <w:sz w:val="32"/>
          <w:szCs w:val="32"/>
        </w:rPr>
        <w:t>加强学前教育。大力建设公办幼儿园，扶持普惠性民办幼儿园，扩充学前教育资源总量和覆盖面，提高公办学前教育比重。坚持质量与规模并重，提高幼儿教师素质和科学保教能力。</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仿宋_GB2312" w:eastAsia="仿宋_GB2312"/>
          <w:snapToGrid w:val="0"/>
          <w:color w:val="000000"/>
          <w:kern w:val="0"/>
          <w:sz w:val="32"/>
          <w:szCs w:val="32"/>
        </w:rPr>
      </w:pPr>
      <w:r>
        <w:rPr>
          <w:rFonts w:hint="eastAsia" w:ascii="仿宋_GB2312" w:eastAsia="仿宋_GB2312"/>
          <w:snapToGrid w:val="0"/>
          <w:color w:val="000000"/>
          <w:kern w:val="0"/>
          <w:sz w:val="32"/>
          <w:szCs w:val="32"/>
        </w:rPr>
        <w:t>提升义务教育。实施薄弱学校改造计划，加强县城以上城区中小学建设。整合教育资源，妥善解决城镇学校“大班额”和“择校”难题。改善农村薄弱学校办学条件，推进学校标准化建设，保障农村学校教育资源满足发展需要。</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仿宋_GB2312" w:eastAsia="仿宋_GB2312"/>
          <w:snapToGrid w:val="0"/>
          <w:color w:val="000000"/>
          <w:kern w:val="0"/>
          <w:sz w:val="32"/>
          <w:szCs w:val="32"/>
        </w:rPr>
      </w:pPr>
      <w:r>
        <w:rPr>
          <w:rFonts w:hint="eastAsia" w:ascii="仿宋_GB2312" w:eastAsia="仿宋_GB2312"/>
          <w:snapToGrid w:val="0"/>
          <w:color w:val="000000"/>
          <w:kern w:val="0"/>
          <w:sz w:val="32"/>
          <w:szCs w:val="32"/>
        </w:rPr>
        <w:t>普及高中阶段教育。率先从建档立卡的家庭经济困难学生实施普通高中免除学杂费，实现家庭经济困难学生资助全覆盖。优化整合职业教育资源，提升中职办学水平，推动职业教育和普通教育融合，建立产教融合、校企合作机制，实现中职与高职、应用型本科教育有机衔接。</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仿宋_GB2312" w:eastAsia="仿宋_GB2312"/>
          <w:snapToGrid w:val="0"/>
          <w:color w:val="000000"/>
          <w:kern w:val="0"/>
          <w:sz w:val="32"/>
          <w:szCs w:val="32"/>
        </w:rPr>
      </w:pPr>
      <w:r>
        <w:rPr>
          <w:rFonts w:hint="eastAsia" w:ascii="仿宋_GB2312" w:eastAsia="仿宋_GB2312"/>
          <w:snapToGrid w:val="0"/>
          <w:color w:val="000000"/>
          <w:kern w:val="0"/>
          <w:sz w:val="32"/>
          <w:szCs w:val="32"/>
        </w:rPr>
        <w:t>发展高等教育。支持安康学院、安康职业技术学院发展，面向服务地方经济社会发展调整办学方向、优化专业设置，加强重点学科和专业建设，提高人才培养质量，推动内涵式发展。</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eastAsia="仿宋_GB2312"/>
          <w:snapToGrid w:val="0"/>
          <w:color w:val="000000"/>
          <w:kern w:val="0"/>
          <w:sz w:val="32"/>
          <w:szCs w:val="32"/>
        </w:rPr>
      </w:pPr>
      <w:r>
        <w:rPr>
          <w:rFonts w:hint="eastAsia" w:ascii="仿宋_GB2312" w:eastAsia="仿宋_GB2312"/>
          <w:snapToGrid w:val="0"/>
          <w:color w:val="000000"/>
          <w:kern w:val="0"/>
          <w:sz w:val="32"/>
          <w:szCs w:val="32"/>
        </w:rPr>
        <w:t>深化综合改革。推进教育管办评分离改革，加强教育督导。深化“三区一体化”、高效课堂、招生制度、交流轮岗等改革，全面推行中小学教师职称制度改</w:t>
      </w:r>
      <w:r>
        <w:rPr>
          <w:rFonts w:hint="eastAsia" w:eastAsia="仿宋_GB2312"/>
          <w:snapToGrid w:val="0"/>
          <w:color w:val="000000"/>
          <w:kern w:val="0"/>
          <w:sz w:val="32"/>
          <w:szCs w:val="32"/>
        </w:rPr>
        <w:t>革，落实“国培计划”和乡村教师支持计划。</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eastAsia="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到2020年，学前三年毛入园率达98%，义务教育均衡发展，高中阶段毛入学率达98%，现</w:t>
      </w:r>
      <w:r>
        <w:rPr>
          <w:rFonts w:eastAsia="仿宋_GB2312"/>
          <w:snapToGrid w:val="0"/>
          <w:color w:val="000000"/>
          <w:kern w:val="0"/>
          <w:sz w:val="32"/>
          <w:szCs w:val="32"/>
        </w:rPr>
        <w:t>代职业教育体系健全完善</w:t>
      </w:r>
      <w:r>
        <w:rPr>
          <w:rFonts w:hint="eastAsia" w:eastAsia="仿宋_GB2312"/>
          <w:snapToGrid w:val="0"/>
          <w:color w:val="000000"/>
          <w:kern w:val="0"/>
          <w:sz w:val="32"/>
          <w:szCs w:val="32"/>
        </w:rPr>
        <w:t>，</w:t>
      </w:r>
      <w:r>
        <w:rPr>
          <w:rFonts w:eastAsia="仿宋_GB2312"/>
          <w:snapToGrid w:val="0"/>
          <w:color w:val="000000"/>
          <w:kern w:val="0"/>
          <w:sz w:val="32"/>
          <w:szCs w:val="32"/>
        </w:rPr>
        <w:t>各类学校办学条件</w:t>
      </w:r>
      <w:r>
        <w:rPr>
          <w:rFonts w:hint="eastAsia" w:eastAsia="仿宋_GB2312"/>
          <w:snapToGrid w:val="0"/>
          <w:color w:val="000000"/>
          <w:kern w:val="0"/>
          <w:sz w:val="32"/>
          <w:szCs w:val="32"/>
        </w:rPr>
        <w:t>明显</w:t>
      </w:r>
      <w:r>
        <w:rPr>
          <w:rFonts w:eastAsia="仿宋_GB2312"/>
          <w:snapToGrid w:val="0"/>
          <w:color w:val="000000"/>
          <w:kern w:val="0"/>
          <w:sz w:val="32"/>
          <w:szCs w:val="32"/>
        </w:rPr>
        <w:t>改善，教育结构和学校布点更加合理，优质教育资源</w:t>
      </w:r>
      <w:r>
        <w:rPr>
          <w:rFonts w:hint="eastAsia" w:eastAsia="仿宋_GB2312"/>
          <w:snapToGrid w:val="0"/>
          <w:color w:val="000000"/>
          <w:kern w:val="0"/>
          <w:sz w:val="32"/>
          <w:szCs w:val="32"/>
        </w:rPr>
        <w:t>大幅增加</w:t>
      </w:r>
      <w:r>
        <w:rPr>
          <w:rFonts w:eastAsia="仿宋_GB2312"/>
          <w:snapToGrid w:val="0"/>
          <w:color w:val="000000"/>
          <w:kern w:val="0"/>
          <w:sz w:val="32"/>
          <w:szCs w:val="32"/>
        </w:rPr>
        <w:t>，</w:t>
      </w:r>
      <w:r>
        <w:rPr>
          <w:rFonts w:hint="eastAsia" w:eastAsia="仿宋_GB2312"/>
          <w:snapToGrid w:val="0"/>
          <w:color w:val="000000"/>
          <w:kern w:val="0"/>
          <w:sz w:val="32"/>
          <w:szCs w:val="32"/>
        </w:rPr>
        <w:t>人民群众对教育满意度进一步提升。</w:t>
      </w:r>
    </w:p>
    <w:p>
      <w:pPr>
        <w:spacing w:line="560" w:lineRule="exact"/>
        <w:jc w:val="center"/>
        <w:rPr>
          <w:rFonts w:hint="eastAsia" w:ascii="黑体" w:hAnsi="黑体" w:eastAsia="黑体" w:cs="黑体"/>
          <w:bCs/>
          <w:color w:val="000000"/>
          <w:sz w:val="28"/>
          <w:szCs w:val="56"/>
        </w:rPr>
      </w:pPr>
      <w:r>
        <w:rPr>
          <w:rFonts w:hint="eastAsia" w:ascii="黑体" w:hAnsi="黑体" w:eastAsia="黑体" w:cs="黑体"/>
          <w:bCs/>
          <w:color w:val="000000"/>
          <w:sz w:val="28"/>
          <w:szCs w:val="56"/>
        </w:rPr>
        <w:t>专栏15</w:t>
      </w:r>
      <w:r>
        <w:rPr>
          <w:rFonts w:hint="eastAsia" w:ascii="黑体" w:hAnsi="黑体" w:eastAsia="黑体" w:cs="黑体"/>
          <w:bCs/>
          <w:color w:val="000000"/>
          <w:sz w:val="28"/>
          <w:szCs w:val="56"/>
          <w:lang w:val="en-US" w:eastAsia="zh-CN"/>
        </w:rPr>
        <w:t xml:space="preserve">  </w:t>
      </w:r>
      <w:r>
        <w:rPr>
          <w:rFonts w:hint="eastAsia" w:ascii="黑体" w:hAnsi="黑体" w:eastAsia="黑体" w:cs="黑体"/>
          <w:bCs/>
          <w:color w:val="000000"/>
          <w:sz w:val="28"/>
          <w:szCs w:val="56"/>
        </w:rPr>
        <w:t>教育事业发展重点工程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004"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2" w:firstLineChars="200"/>
              <w:jc w:val="left"/>
              <w:textAlignment w:val="auto"/>
              <w:outlineLvl w:val="9"/>
              <w:rPr>
                <w:rFonts w:ascii="宋体" w:hAnsi="宋体" w:cs="宋体"/>
                <w:bCs/>
                <w:snapToGrid w:val="0"/>
                <w:color w:val="000000"/>
                <w:sz w:val="24"/>
                <w:szCs w:val="21"/>
              </w:rPr>
            </w:pPr>
            <w:r>
              <w:rPr>
                <w:rFonts w:hint="eastAsia" w:ascii="宋体" w:hAnsi="宋体" w:cs="宋体"/>
                <w:b/>
                <w:snapToGrid w:val="0"/>
                <w:color w:val="000000"/>
                <w:sz w:val="24"/>
                <w:szCs w:val="21"/>
              </w:rPr>
              <w:t>学前教育推进工程：</w:t>
            </w:r>
            <w:r>
              <w:rPr>
                <w:rFonts w:hint="eastAsia" w:ascii="宋体" w:hAnsi="宋体" w:cs="宋体"/>
                <w:bCs/>
                <w:snapToGrid w:val="0"/>
                <w:color w:val="000000"/>
                <w:sz w:val="24"/>
                <w:szCs w:val="21"/>
              </w:rPr>
              <w:t>建设公办幼儿园</w:t>
            </w:r>
            <w:r>
              <w:rPr>
                <w:rFonts w:ascii="宋体" w:hAnsi="宋体" w:cs="宋体"/>
                <w:bCs/>
                <w:snapToGrid w:val="0"/>
                <w:color w:val="000000"/>
                <w:sz w:val="24"/>
                <w:szCs w:val="21"/>
              </w:rPr>
              <w:t>296</w:t>
            </w:r>
            <w:r>
              <w:rPr>
                <w:rFonts w:hint="eastAsia" w:ascii="宋体" w:hAnsi="宋体" w:cs="宋体"/>
                <w:bCs/>
                <w:snapToGrid w:val="0"/>
                <w:color w:val="000000"/>
                <w:sz w:val="24"/>
                <w:szCs w:val="21"/>
              </w:rPr>
              <w:t>所，其中独立园</w:t>
            </w:r>
            <w:r>
              <w:rPr>
                <w:rFonts w:ascii="宋体" w:hAnsi="宋体" w:cs="宋体"/>
                <w:bCs/>
                <w:snapToGrid w:val="0"/>
                <w:color w:val="000000"/>
                <w:sz w:val="24"/>
                <w:szCs w:val="21"/>
              </w:rPr>
              <w:t>202</w:t>
            </w:r>
            <w:r>
              <w:rPr>
                <w:rFonts w:hint="eastAsia" w:ascii="宋体" w:hAnsi="宋体" w:cs="宋体"/>
                <w:bCs/>
                <w:snapToGrid w:val="0"/>
                <w:color w:val="000000"/>
                <w:sz w:val="24"/>
                <w:szCs w:val="21"/>
              </w:rPr>
              <w:t>所、小学附属园</w:t>
            </w:r>
            <w:r>
              <w:rPr>
                <w:rFonts w:ascii="宋体" w:hAnsi="宋体" w:cs="宋体"/>
                <w:bCs/>
                <w:snapToGrid w:val="0"/>
                <w:color w:val="000000"/>
                <w:sz w:val="24"/>
                <w:szCs w:val="21"/>
              </w:rPr>
              <w:t>94</w:t>
            </w:r>
            <w:r>
              <w:rPr>
                <w:rFonts w:hint="eastAsia" w:ascii="宋体" w:hAnsi="宋体" w:cs="宋体"/>
                <w:bCs/>
                <w:snapToGrid w:val="0"/>
                <w:color w:val="000000"/>
                <w:sz w:val="24"/>
                <w:szCs w:val="21"/>
              </w:rPr>
              <w:t>所。</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2" w:firstLineChars="200"/>
              <w:jc w:val="left"/>
              <w:textAlignment w:val="auto"/>
              <w:outlineLvl w:val="9"/>
              <w:rPr>
                <w:rFonts w:ascii="宋体" w:cs="宋体"/>
                <w:bCs/>
                <w:snapToGrid w:val="0"/>
                <w:color w:val="000000"/>
                <w:sz w:val="24"/>
                <w:szCs w:val="21"/>
              </w:rPr>
            </w:pPr>
            <w:r>
              <w:rPr>
                <w:rFonts w:hint="eastAsia" w:ascii="宋体" w:hAnsi="宋体" w:cs="宋体"/>
                <w:b/>
                <w:snapToGrid w:val="0"/>
                <w:color w:val="000000"/>
                <w:sz w:val="24"/>
                <w:szCs w:val="21"/>
              </w:rPr>
              <w:t>义务教育标准化建设工程：</w:t>
            </w:r>
            <w:r>
              <w:rPr>
                <w:rFonts w:hint="eastAsia" w:ascii="宋体" w:hAnsi="宋体" w:cs="宋体"/>
                <w:bCs/>
                <w:snapToGrid w:val="0"/>
                <w:color w:val="000000"/>
                <w:sz w:val="24"/>
                <w:szCs w:val="21"/>
              </w:rPr>
              <w:t>建设中小学</w:t>
            </w:r>
            <w:r>
              <w:rPr>
                <w:rFonts w:ascii="宋体" w:hAnsi="宋体" w:cs="宋体"/>
                <w:bCs/>
                <w:snapToGrid w:val="0"/>
                <w:color w:val="000000"/>
                <w:sz w:val="24"/>
                <w:szCs w:val="21"/>
              </w:rPr>
              <w:t>789</w:t>
            </w:r>
            <w:r>
              <w:rPr>
                <w:rFonts w:hint="eastAsia" w:ascii="宋体" w:hAnsi="宋体" w:cs="宋体"/>
                <w:bCs/>
                <w:snapToGrid w:val="0"/>
                <w:color w:val="000000"/>
                <w:sz w:val="24"/>
                <w:szCs w:val="21"/>
              </w:rPr>
              <w:t>所，其中初级中学</w:t>
            </w:r>
            <w:r>
              <w:rPr>
                <w:rFonts w:ascii="宋体" w:hAnsi="宋体" w:cs="宋体"/>
                <w:bCs/>
                <w:snapToGrid w:val="0"/>
                <w:color w:val="000000"/>
                <w:sz w:val="24"/>
                <w:szCs w:val="21"/>
              </w:rPr>
              <w:t>96</w:t>
            </w:r>
            <w:r>
              <w:rPr>
                <w:rFonts w:hint="eastAsia" w:ascii="宋体" w:hAnsi="宋体" w:cs="宋体"/>
                <w:bCs/>
                <w:snapToGrid w:val="0"/>
                <w:color w:val="000000"/>
                <w:sz w:val="24"/>
                <w:szCs w:val="21"/>
              </w:rPr>
              <w:t>所、九年制学校</w:t>
            </w:r>
            <w:r>
              <w:rPr>
                <w:rFonts w:ascii="宋体" w:hAnsi="宋体" w:cs="宋体"/>
                <w:bCs/>
                <w:snapToGrid w:val="0"/>
                <w:color w:val="000000"/>
                <w:sz w:val="24"/>
                <w:szCs w:val="21"/>
              </w:rPr>
              <w:t>65</w:t>
            </w:r>
            <w:r>
              <w:rPr>
                <w:rFonts w:hint="eastAsia" w:ascii="宋体" w:hAnsi="宋体" w:cs="宋体"/>
                <w:bCs/>
                <w:snapToGrid w:val="0"/>
                <w:color w:val="000000"/>
                <w:sz w:val="24"/>
                <w:szCs w:val="21"/>
              </w:rPr>
              <w:t>所、完全小学</w:t>
            </w:r>
            <w:r>
              <w:rPr>
                <w:rFonts w:ascii="宋体" w:hAnsi="宋体" w:cs="宋体"/>
                <w:bCs/>
                <w:snapToGrid w:val="0"/>
                <w:color w:val="000000"/>
                <w:sz w:val="24"/>
                <w:szCs w:val="21"/>
              </w:rPr>
              <w:t>478</w:t>
            </w:r>
            <w:r>
              <w:rPr>
                <w:rFonts w:hint="eastAsia" w:ascii="宋体" w:hAnsi="宋体" w:cs="宋体"/>
                <w:bCs/>
                <w:snapToGrid w:val="0"/>
                <w:color w:val="000000"/>
                <w:sz w:val="24"/>
                <w:szCs w:val="21"/>
              </w:rPr>
              <w:t>所、教学点</w:t>
            </w:r>
            <w:r>
              <w:rPr>
                <w:rFonts w:ascii="宋体" w:hAnsi="宋体" w:cs="宋体"/>
                <w:bCs/>
                <w:snapToGrid w:val="0"/>
                <w:color w:val="000000"/>
                <w:sz w:val="24"/>
                <w:szCs w:val="21"/>
              </w:rPr>
              <w:t>150</w:t>
            </w:r>
            <w:r>
              <w:rPr>
                <w:rFonts w:hint="eastAsia" w:ascii="宋体" w:hAnsi="宋体" w:cs="宋体"/>
                <w:bCs/>
                <w:snapToGrid w:val="0"/>
                <w:color w:val="000000"/>
                <w:sz w:val="24"/>
                <w:szCs w:val="21"/>
              </w:rPr>
              <w:t>个。实施县城以上城区中小学建设工程。</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2" w:firstLineChars="200"/>
              <w:jc w:val="left"/>
              <w:textAlignment w:val="auto"/>
              <w:outlineLvl w:val="9"/>
              <w:rPr>
                <w:rFonts w:ascii="宋体" w:hAnsi="宋体" w:cs="宋体"/>
                <w:bCs/>
                <w:snapToGrid w:val="0"/>
                <w:color w:val="000000"/>
                <w:sz w:val="24"/>
                <w:szCs w:val="21"/>
              </w:rPr>
            </w:pPr>
            <w:r>
              <w:rPr>
                <w:rFonts w:hint="eastAsia" w:ascii="宋体" w:hAnsi="宋体" w:cs="宋体"/>
                <w:b/>
                <w:snapToGrid w:val="0"/>
                <w:color w:val="000000"/>
                <w:sz w:val="24"/>
                <w:szCs w:val="21"/>
              </w:rPr>
              <w:t>高中阶段教育质量提升工程：</w:t>
            </w:r>
            <w:r>
              <w:rPr>
                <w:rFonts w:hint="eastAsia" w:ascii="宋体" w:hAnsi="宋体" w:cs="宋体"/>
                <w:bCs/>
                <w:snapToGrid w:val="0"/>
                <w:color w:val="000000"/>
                <w:sz w:val="24"/>
                <w:szCs w:val="21"/>
              </w:rPr>
              <w:t>建设普通高中</w:t>
            </w:r>
            <w:r>
              <w:rPr>
                <w:rFonts w:ascii="宋体" w:hAnsi="宋体" w:cs="宋体"/>
                <w:bCs/>
                <w:snapToGrid w:val="0"/>
                <w:color w:val="000000"/>
                <w:sz w:val="24"/>
                <w:szCs w:val="21"/>
              </w:rPr>
              <w:t>22</w:t>
            </w:r>
            <w:r>
              <w:rPr>
                <w:rFonts w:hint="eastAsia" w:ascii="宋体" w:hAnsi="宋体" w:cs="宋体"/>
                <w:bCs/>
                <w:snapToGrid w:val="0"/>
                <w:color w:val="000000"/>
                <w:sz w:val="24"/>
                <w:szCs w:val="21"/>
              </w:rPr>
              <w:t>所，其中高级中学</w:t>
            </w:r>
            <w:r>
              <w:rPr>
                <w:rFonts w:ascii="宋体" w:hAnsi="宋体" w:cs="宋体"/>
                <w:bCs/>
                <w:snapToGrid w:val="0"/>
                <w:color w:val="000000"/>
                <w:sz w:val="24"/>
                <w:szCs w:val="21"/>
              </w:rPr>
              <w:t>13</w:t>
            </w:r>
            <w:r>
              <w:rPr>
                <w:rFonts w:hint="eastAsia" w:ascii="宋体" w:hAnsi="宋体" w:cs="宋体"/>
                <w:bCs/>
                <w:snapToGrid w:val="0"/>
                <w:color w:val="000000"/>
                <w:sz w:val="24"/>
                <w:szCs w:val="21"/>
              </w:rPr>
              <w:t>所，完全中学</w:t>
            </w:r>
            <w:r>
              <w:rPr>
                <w:rFonts w:ascii="宋体" w:hAnsi="宋体" w:cs="宋体"/>
                <w:bCs/>
                <w:snapToGrid w:val="0"/>
                <w:color w:val="000000"/>
                <w:sz w:val="24"/>
                <w:szCs w:val="21"/>
              </w:rPr>
              <w:t>9</w:t>
            </w:r>
            <w:r>
              <w:rPr>
                <w:rFonts w:hint="eastAsia" w:ascii="宋体" w:hAnsi="宋体" w:cs="宋体"/>
                <w:bCs/>
                <w:snapToGrid w:val="0"/>
                <w:color w:val="000000"/>
                <w:sz w:val="24"/>
                <w:szCs w:val="21"/>
              </w:rPr>
              <w:t>所；实施旬阳县第二中学新建、镇坪中学迁建、安康中学、安康第二中学改扩建工程。建设中等职业学校</w:t>
            </w:r>
            <w:r>
              <w:rPr>
                <w:rFonts w:ascii="宋体" w:hAnsi="宋体" w:cs="宋体"/>
                <w:bCs/>
                <w:snapToGrid w:val="0"/>
                <w:color w:val="000000"/>
                <w:sz w:val="24"/>
                <w:szCs w:val="21"/>
              </w:rPr>
              <w:t>10</w:t>
            </w:r>
            <w:r>
              <w:rPr>
                <w:rFonts w:hint="eastAsia" w:ascii="宋体" w:hAnsi="宋体" w:cs="宋体"/>
                <w:bCs/>
                <w:snapToGrid w:val="0"/>
                <w:color w:val="000000"/>
                <w:sz w:val="24"/>
                <w:szCs w:val="21"/>
              </w:rPr>
              <w:t>所。</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2" w:firstLineChars="200"/>
              <w:jc w:val="left"/>
              <w:textAlignment w:val="auto"/>
              <w:outlineLvl w:val="9"/>
              <w:rPr>
                <w:rFonts w:hint="eastAsia" w:ascii="宋体" w:hAnsi="宋体" w:eastAsia="宋体" w:cs="宋体"/>
                <w:bCs/>
                <w:snapToGrid w:val="0"/>
                <w:color w:val="000000"/>
                <w:sz w:val="24"/>
                <w:szCs w:val="21"/>
              </w:rPr>
            </w:pPr>
            <w:r>
              <w:rPr>
                <w:rFonts w:hint="eastAsia" w:ascii="宋体" w:hAnsi="宋体" w:cs="宋体"/>
                <w:b/>
                <w:snapToGrid w:val="0"/>
                <w:color w:val="000000"/>
                <w:sz w:val="24"/>
                <w:szCs w:val="21"/>
              </w:rPr>
              <w:t>高等教育提升工程：</w:t>
            </w:r>
            <w:r>
              <w:rPr>
                <w:rFonts w:hint="eastAsia" w:ascii="宋体" w:hAnsi="宋体" w:cs="宋体"/>
                <w:bCs/>
                <w:snapToGrid w:val="0"/>
                <w:color w:val="000000"/>
                <w:sz w:val="24"/>
                <w:szCs w:val="21"/>
              </w:rPr>
              <w:t>建设安康学院文化艺术传播中心、特色农业研究中心、体育运动中心；建设安康职业技术学院体育馆、信息化校园网。</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left"/>
              <w:textAlignment w:val="auto"/>
              <w:outlineLvl w:val="9"/>
              <w:rPr>
                <w:rFonts w:hint="eastAsia" w:ascii="黑体" w:hAnsi="黑体" w:eastAsia="黑体" w:cs="黑体"/>
                <w:bCs/>
                <w:color w:val="000000"/>
                <w:sz w:val="28"/>
                <w:szCs w:val="56"/>
                <w:vertAlign w:val="baseline"/>
              </w:rPr>
            </w:pPr>
            <w:r>
              <w:rPr>
                <w:rFonts w:hint="eastAsia" w:ascii="宋体" w:hAnsi="宋体" w:cs="宋体"/>
                <w:b/>
                <w:snapToGrid w:val="0"/>
                <w:color w:val="000000"/>
                <w:sz w:val="24"/>
                <w:szCs w:val="21"/>
                <w:lang w:val="en-US" w:eastAsia="zh-CN"/>
              </w:rPr>
              <w:t xml:space="preserve">    </w:t>
            </w:r>
            <w:r>
              <w:rPr>
                <w:rFonts w:hint="eastAsia" w:ascii="宋体" w:hAnsi="宋体" w:cs="宋体"/>
                <w:b/>
                <w:snapToGrid w:val="0"/>
                <w:color w:val="000000"/>
                <w:sz w:val="24"/>
                <w:szCs w:val="21"/>
              </w:rPr>
              <w:t>教育信息化建设工程</w:t>
            </w:r>
            <w:r>
              <w:rPr>
                <w:rFonts w:hint="eastAsia" w:ascii="宋体" w:hAnsi="宋体" w:cs="宋体"/>
                <w:b/>
                <w:snapToGrid w:val="0"/>
                <w:color w:val="000000"/>
                <w:sz w:val="24"/>
                <w:szCs w:val="21"/>
                <w:lang w:eastAsia="zh-CN"/>
              </w:rPr>
              <w:t>：</w:t>
            </w:r>
            <w:r>
              <w:rPr>
                <w:rFonts w:hint="eastAsia" w:ascii="宋体" w:hAnsi="宋体" w:cs="宋体"/>
                <w:bCs/>
                <w:snapToGrid w:val="0"/>
                <w:color w:val="000000"/>
                <w:sz w:val="24"/>
                <w:szCs w:val="21"/>
              </w:rPr>
              <w:t>加强学校教育信息化“三通两平台”建设，促进优质教育资源普及共享，推进信息技术与教育教学深度融合。</w:t>
            </w:r>
          </w:p>
        </w:tc>
      </w:tr>
    </w:tbl>
    <w:p>
      <w:pPr>
        <w:spacing w:line="560" w:lineRule="exact"/>
        <w:jc w:val="center"/>
        <w:rPr>
          <w:rFonts w:hint="eastAsia" w:ascii="黑体" w:hAnsi="黑体" w:eastAsia="黑体" w:cs="黑体"/>
          <w:bCs/>
          <w:color w:val="000000"/>
          <w:sz w:val="28"/>
          <w:szCs w:val="56"/>
        </w:rPr>
      </w:pPr>
    </w:p>
    <w:p>
      <w:pPr>
        <w:spacing w:line="560" w:lineRule="exact"/>
        <w:jc w:val="center"/>
        <w:outlineLvl w:val="1"/>
        <w:rPr>
          <w:rFonts w:eastAsia="黑体"/>
          <w:bCs/>
          <w:snapToGrid w:val="0"/>
          <w:color w:val="000000"/>
          <w:spacing w:val="6"/>
          <w:kern w:val="0"/>
          <w:sz w:val="32"/>
          <w:szCs w:val="32"/>
        </w:rPr>
      </w:pPr>
      <w:bookmarkStart w:id="57" w:name="_Toc436739648"/>
      <w:bookmarkStart w:id="58" w:name="_Toc2958"/>
      <w:r>
        <w:rPr>
          <w:rFonts w:hint="eastAsia" w:eastAsia="黑体"/>
          <w:bCs/>
          <w:snapToGrid w:val="0"/>
          <w:color w:val="000000"/>
          <w:spacing w:val="6"/>
          <w:kern w:val="0"/>
          <w:sz w:val="32"/>
          <w:szCs w:val="32"/>
        </w:rPr>
        <w:t>第三十五节</w:t>
      </w:r>
      <w:r>
        <w:rPr>
          <w:rFonts w:hint="eastAsia" w:eastAsia="黑体"/>
          <w:bCs/>
          <w:snapToGrid w:val="0"/>
          <w:color w:val="000000"/>
          <w:spacing w:val="6"/>
          <w:kern w:val="0"/>
          <w:sz w:val="32"/>
          <w:szCs w:val="32"/>
          <w:lang w:val="en-US" w:eastAsia="zh-CN"/>
        </w:rPr>
        <w:t xml:space="preserve">  </w:t>
      </w:r>
      <w:r>
        <w:rPr>
          <w:rFonts w:hint="eastAsia" w:eastAsia="黑体"/>
          <w:bCs/>
          <w:snapToGrid w:val="0"/>
          <w:color w:val="000000"/>
          <w:spacing w:val="6"/>
          <w:kern w:val="0"/>
          <w:sz w:val="32"/>
          <w:szCs w:val="32"/>
        </w:rPr>
        <w:t>扩大就业鼓励创业</w:t>
      </w:r>
      <w:bookmarkEnd w:id="57"/>
      <w:bookmarkEnd w:id="58"/>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eastAsia="仿宋_GB2312"/>
          <w:snapToGrid w:val="0"/>
          <w:color w:val="000000"/>
          <w:kern w:val="0"/>
          <w:sz w:val="32"/>
          <w:szCs w:val="32"/>
        </w:rPr>
      </w:pPr>
      <w:r>
        <w:rPr>
          <w:rFonts w:hint="eastAsia" w:eastAsia="仿宋_GB2312"/>
          <w:snapToGrid w:val="0"/>
          <w:color w:val="000000"/>
          <w:kern w:val="0"/>
          <w:sz w:val="32"/>
          <w:szCs w:val="32"/>
        </w:rPr>
        <w:t>实施更加积极的就业创业政策，支持“大众创业、万众创新”，以创业促进就业，创建省级创业型城市。</w:t>
      </w:r>
      <w:r>
        <w:rPr>
          <w:rFonts w:hint="eastAsia" w:ascii="仿宋_GB2312" w:hAnsi="仿宋_GB2312" w:eastAsia="仿宋_GB2312" w:cs="仿宋_GB2312"/>
          <w:color w:val="333333"/>
          <w:sz w:val="32"/>
          <w:szCs w:val="32"/>
        </w:rPr>
        <w:t>整合各类培训资源，开展有针对性的职业技能</w:t>
      </w:r>
      <w:r>
        <w:rPr>
          <w:rFonts w:hint="eastAsia" w:eastAsia="仿宋_GB2312"/>
          <w:snapToGrid w:val="0"/>
          <w:color w:val="000000"/>
          <w:kern w:val="0"/>
          <w:sz w:val="32"/>
          <w:szCs w:val="32"/>
        </w:rPr>
        <w:t>培训</w:t>
      </w:r>
      <w:r>
        <w:rPr>
          <w:rFonts w:hint="eastAsia" w:eastAsia="仿宋_GB2312"/>
          <w:snapToGrid w:val="0"/>
          <w:color w:val="000000"/>
          <w:kern w:val="0"/>
          <w:sz w:val="32"/>
          <w:szCs w:val="32"/>
          <w:lang w:eastAsia="zh-CN"/>
        </w:rPr>
        <w:t>，鼓励发展面向大众、服务中小微企业的低成本、便利化、开放式服务平台。</w:t>
      </w:r>
      <w:r>
        <w:rPr>
          <w:rFonts w:hint="eastAsia" w:eastAsia="仿宋_GB2312"/>
          <w:snapToGrid w:val="0"/>
          <w:color w:val="000000"/>
          <w:kern w:val="0"/>
          <w:sz w:val="32"/>
          <w:szCs w:val="32"/>
        </w:rPr>
        <w:t>以高校毕业生就业创业为重点，统筹做好城镇就业困难人员、农村转移劳动力、退役军人等群体就业工作。</w:t>
      </w:r>
      <w:r>
        <w:rPr>
          <w:rFonts w:hint="eastAsia" w:eastAsia="仿宋_GB2312"/>
          <w:snapToGrid w:val="0"/>
          <w:color w:val="000000"/>
          <w:kern w:val="0"/>
          <w:sz w:val="32"/>
          <w:szCs w:val="32"/>
          <w:lang w:eastAsia="zh-CN"/>
        </w:rPr>
        <w:t>加快</w:t>
      </w:r>
      <w:r>
        <w:rPr>
          <w:rFonts w:hint="eastAsia" w:eastAsia="仿宋_GB2312"/>
          <w:snapToGrid w:val="0"/>
          <w:color w:val="000000"/>
          <w:kern w:val="0"/>
          <w:sz w:val="32"/>
          <w:szCs w:val="32"/>
        </w:rPr>
        <w:t>建设创业园区或创业孵化基地，鼓励外出务工人员回乡创业</w:t>
      </w:r>
      <w:r>
        <w:rPr>
          <w:rFonts w:hint="eastAsia" w:eastAsia="仿宋_GB2312"/>
          <w:snapToGrid w:val="0"/>
          <w:color w:val="000000"/>
          <w:kern w:val="0"/>
          <w:sz w:val="32"/>
          <w:szCs w:val="32"/>
          <w:lang w:eastAsia="zh-CN"/>
        </w:rPr>
        <w:t>，</w:t>
      </w:r>
      <w:r>
        <w:rPr>
          <w:rFonts w:hint="eastAsia" w:eastAsia="仿宋_GB2312"/>
          <w:snapToGrid w:val="0"/>
          <w:color w:val="000000"/>
          <w:kern w:val="0"/>
          <w:sz w:val="32"/>
          <w:szCs w:val="32"/>
        </w:rPr>
        <w:t>积极创建西部农民创业试点县和农民工回乡创业示范县，新增农民</w:t>
      </w:r>
      <w:r>
        <w:rPr>
          <w:rFonts w:hint="eastAsia" w:ascii="仿宋_GB2312" w:hAnsi="仿宋_GB2312" w:eastAsia="仿宋_GB2312" w:cs="仿宋_GB2312"/>
          <w:snapToGrid w:val="0"/>
          <w:color w:val="000000"/>
          <w:kern w:val="0"/>
          <w:sz w:val="32"/>
          <w:szCs w:val="32"/>
        </w:rPr>
        <w:t>创业1万人，建成农民工回乡创业示范县5个、农民创业孵化示范基地（园区）10个。</w:t>
      </w:r>
      <w:r>
        <w:rPr>
          <w:rFonts w:hint="eastAsia" w:eastAsia="仿宋_GB2312"/>
          <w:snapToGrid w:val="0"/>
          <w:color w:val="000000"/>
          <w:kern w:val="0"/>
          <w:sz w:val="32"/>
          <w:szCs w:val="32"/>
        </w:rPr>
        <w:t>建立“众创空间”孵化体系，加快建设市县创业园区、孵化基地。健全人力资源市场，做好就业援助、失业预防和调控，开展贫困家庭子女、未升学初高中毕业生等群体免费职业培训，构建劳动者终身职业培训体系，提升公共就业服务能力。</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eastAsia="仿宋_GB2312"/>
          <w:snapToGrid w:val="0"/>
          <w:color w:val="000000"/>
          <w:kern w:val="0"/>
          <w:sz w:val="32"/>
          <w:szCs w:val="32"/>
        </w:rPr>
      </w:pP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1"/>
        <w:rPr>
          <w:rFonts w:eastAsia="黑体"/>
          <w:bCs/>
          <w:snapToGrid w:val="0"/>
          <w:color w:val="000000"/>
          <w:spacing w:val="6"/>
          <w:kern w:val="0"/>
          <w:sz w:val="32"/>
          <w:szCs w:val="32"/>
        </w:rPr>
      </w:pPr>
      <w:bookmarkStart w:id="59" w:name="_Toc436739649"/>
      <w:bookmarkStart w:id="60" w:name="_Toc7848"/>
      <w:r>
        <w:rPr>
          <w:rFonts w:hint="eastAsia" w:eastAsia="黑体"/>
          <w:bCs/>
          <w:snapToGrid w:val="0"/>
          <w:color w:val="000000"/>
          <w:spacing w:val="6"/>
          <w:kern w:val="0"/>
          <w:sz w:val="32"/>
          <w:szCs w:val="32"/>
        </w:rPr>
        <w:t>第三十六节</w:t>
      </w:r>
      <w:r>
        <w:rPr>
          <w:rFonts w:hint="eastAsia" w:eastAsia="黑体"/>
          <w:bCs/>
          <w:snapToGrid w:val="0"/>
          <w:color w:val="000000"/>
          <w:spacing w:val="6"/>
          <w:kern w:val="0"/>
          <w:sz w:val="32"/>
          <w:szCs w:val="32"/>
          <w:lang w:val="en-US" w:eastAsia="zh-CN"/>
        </w:rPr>
        <w:t xml:space="preserve">  </w:t>
      </w:r>
      <w:r>
        <w:rPr>
          <w:rFonts w:hint="eastAsia" w:eastAsia="黑体"/>
          <w:bCs/>
          <w:snapToGrid w:val="0"/>
          <w:color w:val="000000"/>
          <w:spacing w:val="6"/>
          <w:kern w:val="0"/>
          <w:sz w:val="32"/>
          <w:szCs w:val="32"/>
        </w:rPr>
        <w:t>增加</w:t>
      </w:r>
      <w:r>
        <w:rPr>
          <w:rFonts w:hint="eastAsia" w:eastAsia="黑体"/>
          <w:bCs/>
          <w:snapToGrid w:val="0"/>
          <w:color w:val="000000"/>
          <w:spacing w:val="6"/>
          <w:kern w:val="0"/>
          <w:sz w:val="32"/>
          <w:szCs w:val="32"/>
          <w:lang w:eastAsia="zh-CN"/>
        </w:rPr>
        <w:t>城乡居民</w:t>
      </w:r>
      <w:r>
        <w:rPr>
          <w:rFonts w:hint="eastAsia" w:eastAsia="黑体"/>
          <w:bCs/>
          <w:snapToGrid w:val="0"/>
          <w:color w:val="000000"/>
          <w:spacing w:val="6"/>
          <w:kern w:val="0"/>
          <w:sz w:val="32"/>
          <w:szCs w:val="32"/>
        </w:rPr>
        <w:t>收入</w:t>
      </w:r>
      <w:bookmarkEnd w:id="59"/>
      <w:bookmarkEnd w:id="60"/>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eastAsia="仿宋_GB2312"/>
          <w:snapToGrid w:val="0"/>
          <w:color w:val="000000"/>
          <w:kern w:val="0"/>
          <w:sz w:val="32"/>
          <w:szCs w:val="32"/>
        </w:rPr>
      </w:pPr>
      <w:r>
        <w:rPr>
          <w:rFonts w:hint="eastAsia" w:eastAsia="仿宋_GB2312"/>
          <w:snapToGrid w:val="0"/>
          <w:color w:val="000000"/>
          <w:kern w:val="0"/>
          <w:sz w:val="32"/>
          <w:szCs w:val="32"/>
        </w:rPr>
        <w:t>建立居民收入增长和经济增长同步、劳动报酬提高和劳动生产率提高同步的长效机制，持续增加城乡居民收入。实施城乡居民收入倍增计划，促进中低收入职工工资合理增长。落实机关事业单位工资和津贴补贴制度，落实体现专业技术类和行政执法类公务员特点的工资制度，实施职务与职级并行制度。落实符合各类事业单位特点、体现岗位绩效分级管理的薪酬制度。充分挖掘农业内部增长潜力，开发农村二、三产业增收空间，赋予农民住房、承包地经营权抵押、担保、转让等权利，拓宽农民增收渠道。健全以市场为基础的收入初次分配和再分配机制，增加低收入者收入，扩大中等收入群体，缩小城乡、区域、行业、群体之间收入差距。完善机关、企事业单位工资增长机制，推进同城同酬、同工同酬。</w:t>
      </w:r>
      <w:r>
        <w:rPr>
          <w:rFonts w:hint="eastAsia" w:ascii="仿宋_GB2312" w:hAnsi="仿宋_GB2312" w:eastAsia="仿宋_GB2312" w:cs="仿宋_GB2312"/>
          <w:snapToGrid w:val="0"/>
          <w:color w:val="000000"/>
          <w:kern w:val="0"/>
          <w:sz w:val="32"/>
          <w:szCs w:val="32"/>
        </w:rPr>
        <w:t>到</w:t>
      </w:r>
      <w:r>
        <w:rPr>
          <w:rFonts w:ascii="仿宋_GB2312" w:hAnsi="仿宋_GB2312" w:eastAsia="仿宋_GB2312" w:cs="仿宋_GB2312"/>
          <w:snapToGrid w:val="0"/>
          <w:color w:val="000000"/>
          <w:kern w:val="0"/>
          <w:sz w:val="32"/>
          <w:szCs w:val="32"/>
        </w:rPr>
        <w:t>2020</w:t>
      </w:r>
      <w:r>
        <w:rPr>
          <w:rFonts w:hint="eastAsia" w:ascii="仿宋_GB2312" w:hAnsi="仿宋_GB2312" w:eastAsia="仿宋_GB2312" w:cs="仿宋_GB2312"/>
          <w:snapToGrid w:val="0"/>
          <w:color w:val="000000"/>
          <w:kern w:val="0"/>
          <w:sz w:val="32"/>
          <w:szCs w:val="32"/>
        </w:rPr>
        <w:t>年</w:t>
      </w:r>
      <w:r>
        <w:rPr>
          <w:rFonts w:hint="eastAsia" w:eastAsia="仿宋_GB2312"/>
          <w:snapToGrid w:val="0"/>
          <w:color w:val="000000"/>
          <w:kern w:val="0"/>
          <w:sz w:val="32"/>
          <w:szCs w:val="32"/>
        </w:rPr>
        <w:t>，全市</w:t>
      </w:r>
      <w:r>
        <w:rPr>
          <w:rFonts w:hint="eastAsia" w:eastAsia="仿宋_GB2312"/>
          <w:snapToGrid w:val="0"/>
          <w:color w:val="000000"/>
          <w:kern w:val="0"/>
          <w:sz w:val="32"/>
          <w:szCs w:val="32"/>
          <w:lang w:eastAsia="zh-CN"/>
        </w:rPr>
        <w:t>城镇和农村</w:t>
      </w:r>
      <w:r>
        <w:rPr>
          <w:rFonts w:hint="eastAsia" w:eastAsia="仿宋_GB2312"/>
          <w:snapToGrid w:val="0"/>
          <w:color w:val="000000"/>
          <w:kern w:val="0"/>
          <w:sz w:val="32"/>
          <w:szCs w:val="32"/>
        </w:rPr>
        <w:t>居民</w:t>
      </w:r>
      <w:r>
        <w:rPr>
          <w:rFonts w:hint="eastAsia" w:eastAsia="仿宋_GB2312"/>
          <w:snapToGrid w:val="0"/>
          <w:color w:val="000000"/>
          <w:kern w:val="0"/>
          <w:sz w:val="32"/>
          <w:szCs w:val="32"/>
          <w:lang w:eastAsia="zh-CN"/>
        </w:rPr>
        <w:t>人均可支配</w:t>
      </w:r>
      <w:r>
        <w:rPr>
          <w:rFonts w:hint="eastAsia" w:eastAsia="仿宋_GB2312"/>
          <w:snapToGrid w:val="0"/>
          <w:color w:val="000000"/>
          <w:kern w:val="0"/>
          <w:sz w:val="32"/>
          <w:szCs w:val="32"/>
        </w:rPr>
        <w:t>收入分别达到</w:t>
      </w:r>
      <w:r>
        <w:rPr>
          <w:rFonts w:hint="eastAsia" w:ascii="仿宋_GB2312" w:hAnsi="仿宋_GB2312" w:eastAsia="仿宋_GB2312" w:cs="仿宋_GB2312"/>
          <w:snapToGrid w:val="0"/>
          <w:color w:val="000000"/>
          <w:kern w:val="0"/>
          <w:sz w:val="32"/>
          <w:szCs w:val="32"/>
          <w:lang w:val="en-US" w:eastAsia="zh-CN"/>
        </w:rPr>
        <w:t>36900</w:t>
      </w:r>
      <w:r>
        <w:rPr>
          <w:rFonts w:hint="eastAsia" w:ascii="仿宋_GB2312" w:hAnsi="仿宋_GB2312" w:eastAsia="仿宋_GB2312" w:cs="仿宋_GB2312"/>
          <w:snapToGrid w:val="0"/>
          <w:color w:val="000000"/>
          <w:kern w:val="0"/>
          <w:sz w:val="32"/>
          <w:szCs w:val="32"/>
        </w:rPr>
        <w:t>元和</w:t>
      </w:r>
      <w:r>
        <w:rPr>
          <w:rFonts w:ascii="仿宋_GB2312" w:hAnsi="仿宋_GB2312" w:eastAsia="仿宋_GB2312" w:cs="仿宋_GB2312"/>
          <w:snapToGrid w:val="0"/>
          <w:color w:val="000000"/>
          <w:kern w:val="0"/>
          <w:sz w:val="32"/>
          <w:szCs w:val="32"/>
        </w:rPr>
        <w:t>1</w:t>
      </w:r>
      <w:r>
        <w:rPr>
          <w:rFonts w:hint="eastAsia" w:ascii="仿宋_GB2312" w:hAnsi="仿宋_GB2312" w:eastAsia="仿宋_GB2312" w:cs="仿宋_GB2312"/>
          <w:snapToGrid w:val="0"/>
          <w:color w:val="000000"/>
          <w:kern w:val="0"/>
          <w:sz w:val="32"/>
          <w:szCs w:val="32"/>
          <w:lang w:val="en-US" w:eastAsia="zh-CN"/>
        </w:rPr>
        <w:t>3300</w:t>
      </w:r>
      <w:r>
        <w:rPr>
          <w:rFonts w:hint="eastAsia" w:ascii="仿宋_GB2312" w:hAnsi="仿宋_GB2312" w:eastAsia="仿宋_GB2312" w:cs="仿宋_GB2312"/>
          <w:snapToGrid w:val="0"/>
          <w:color w:val="000000"/>
          <w:kern w:val="0"/>
          <w:sz w:val="32"/>
          <w:szCs w:val="32"/>
        </w:rPr>
        <w:t>元，城乡居民收入比缩小至</w:t>
      </w:r>
      <w:r>
        <w:rPr>
          <w:rFonts w:hint="eastAsia" w:ascii="仿宋_GB2312" w:hAnsi="仿宋_GB2312" w:eastAsia="仿宋_GB2312" w:cs="仿宋_GB2312"/>
          <w:snapToGrid w:val="0"/>
          <w:color w:val="000000"/>
          <w:kern w:val="0"/>
          <w:sz w:val="32"/>
          <w:szCs w:val="32"/>
          <w:lang w:val="en-US" w:eastAsia="zh-CN"/>
        </w:rPr>
        <w:t>2.8</w:t>
      </w:r>
      <w:r>
        <w:rPr>
          <w:rFonts w:hint="eastAsia" w:ascii="仿宋_GB2312" w:hAnsi="仿宋_GB2312" w:eastAsia="仿宋_GB2312" w:cs="仿宋_GB2312"/>
          <w:snapToGrid w:val="0"/>
          <w:color w:val="000000"/>
          <w:kern w:val="0"/>
          <w:sz w:val="32"/>
          <w:szCs w:val="32"/>
        </w:rPr>
        <w:t>:1</w:t>
      </w:r>
      <w:r>
        <w:rPr>
          <w:rFonts w:hint="eastAsia" w:eastAsia="仿宋_GB2312"/>
          <w:snapToGrid w:val="0"/>
          <w:color w:val="000000"/>
          <w:kern w:val="0"/>
          <w:sz w:val="32"/>
          <w:szCs w:val="32"/>
        </w:rPr>
        <w:t>。</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eastAsia="仿宋_GB2312"/>
          <w:snapToGrid w:val="0"/>
          <w:color w:val="000000"/>
          <w:kern w:val="0"/>
          <w:sz w:val="32"/>
          <w:szCs w:val="32"/>
        </w:rPr>
      </w:pP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1"/>
        <w:rPr>
          <w:rFonts w:eastAsia="黑体"/>
          <w:bCs/>
          <w:snapToGrid w:val="0"/>
          <w:color w:val="000000"/>
          <w:spacing w:val="6"/>
          <w:kern w:val="0"/>
          <w:sz w:val="32"/>
          <w:szCs w:val="32"/>
        </w:rPr>
      </w:pPr>
      <w:bookmarkStart w:id="61" w:name="_Toc16763"/>
      <w:bookmarkStart w:id="62" w:name="_Toc436739650"/>
      <w:r>
        <w:rPr>
          <w:rFonts w:hint="eastAsia" w:eastAsia="黑体"/>
          <w:bCs/>
          <w:snapToGrid w:val="0"/>
          <w:color w:val="000000"/>
          <w:spacing w:val="6"/>
          <w:kern w:val="0"/>
          <w:sz w:val="32"/>
          <w:szCs w:val="32"/>
        </w:rPr>
        <w:t>第三十七节</w:t>
      </w:r>
      <w:r>
        <w:rPr>
          <w:rFonts w:hint="eastAsia" w:eastAsia="黑体"/>
          <w:bCs/>
          <w:snapToGrid w:val="0"/>
          <w:color w:val="000000"/>
          <w:spacing w:val="6"/>
          <w:kern w:val="0"/>
          <w:sz w:val="32"/>
          <w:szCs w:val="32"/>
          <w:lang w:val="en-US" w:eastAsia="zh-CN"/>
        </w:rPr>
        <w:t xml:space="preserve">  </w:t>
      </w:r>
      <w:r>
        <w:rPr>
          <w:rFonts w:hint="eastAsia" w:eastAsia="黑体"/>
          <w:bCs/>
          <w:snapToGrid w:val="0"/>
          <w:color w:val="000000"/>
          <w:spacing w:val="6"/>
          <w:kern w:val="0"/>
          <w:sz w:val="32"/>
          <w:szCs w:val="32"/>
        </w:rPr>
        <w:t>健全社会保障体系</w:t>
      </w:r>
      <w:bookmarkEnd w:id="61"/>
      <w:bookmarkEnd w:id="62"/>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eastAsia="仿宋_GB2312"/>
          <w:snapToGrid w:val="0"/>
          <w:color w:val="000000"/>
          <w:kern w:val="0"/>
          <w:sz w:val="32"/>
          <w:szCs w:val="32"/>
        </w:rPr>
      </w:pPr>
      <w:r>
        <w:rPr>
          <w:rFonts w:hint="eastAsia" w:eastAsia="仿宋_GB2312"/>
          <w:snapToGrid w:val="0"/>
          <w:color w:val="000000"/>
          <w:kern w:val="0"/>
          <w:sz w:val="32"/>
          <w:szCs w:val="32"/>
        </w:rPr>
        <w:t>实施全民参保计划。坚持全覆盖、保基本、多层次、可持续，构建以社会保险、社会救助、社会福利为基础，以基本养老、基本医疗、最低生活保障等制度为重点，以商业保险、慈善事业、职业年金、企业年金等为补充的社会保障体系</w:t>
      </w:r>
      <w:r>
        <w:rPr>
          <w:rFonts w:hint="eastAsia" w:eastAsia="仿宋_GB2312"/>
          <w:snapToGrid w:val="0"/>
          <w:color w:val="000000"/>
          <w:kern w:val="0"/>
          <w:sz w:val="32"/>
          <w:szCs w:val="32"/>
          <w:lang w:eastAsia="zh-CN"/>
        </w:rPr>
        <w:t>。</w:t>
      </w:r>
      <w:r>
        <w:rPr>
          <w:rFonts w:hint="eastAsia" w:eastAsia="仿宋_GB2312"/>
          <w:snapToGrid w:val="0"/>
          <w:color w:val="000000"/>
          <w:kern w:val="0"/>
          <w:sz w:val="32"/>
          <w:szCs w:val="32"/>
        </w:rPr>
        <w:t>加快推进社保“一卡通”建设，扩大覆盖范围，提高保障水平。健全基本医保、大病救助、职工互助和社会保险相结合的医疗保障体系。全面推进机关事业单位养老保险制度改革，完善基本养老保险关系转移衔接政策。全面实施城乡居民大病保险制度，落实医疗保险关系转移接续政策，全面实现省内异地就医即时结算。扩大筹资渠道，增加财政投入，加强社保资金监管和服务。</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eastAsia="仿宋_GB2312"/>
          <w:snapToGrid w:val="0"/>
          <w:color w:val="000000"/>
          <w:kern w:val="0"/>
          <w:sz w:val="32"/>
          <w:szCs w:val="32"/>
        </w:rPr>
      </w:pPr>
      <w:r>
        <w:rPr>
          <w:rFonts w:hint="eastAsia" w:eastAsia="仿宋_GB2312"/>
          <w:snapToGrid w:val="0"/>
          <w:color w:val="000000"/>
          <w:kern w:val="0"/>
          <w:sz w:val="32"/>
          <w:szCs w:val="32"/>
        </w:rPr>
        <w:t>健全社会服务体系。统筹衔接各类社会救助制度，做好最低生活保障、特困人员供养，加强受灾、医疗、教育、住房、就业和临时救助，完善农村留守儿童、妇女、老年人关爱政策，保障残疾人权益，提高优抚安置</w:t>
      </w:r>
      <w:r>
        <w:rPr>
          <w:rFonts w:hint="eastAsia" w:eastAsia="仿宋_GB2312"/>
          <w:snapToGrid w:val="0"/>
          <w:color w:val="000000"/>
          <w:kern w:val="0"/>
          <w:sz w:val="32"/>
          <w:szCs w:val="32"/>
          <w:lang w:eastAsia="zh-CN"/>
        </w:rPr>
        <w:t>和社会</w:t>
      </w:r>
      <w:r>
        <w:rPr>
          <w:rFonts w:hint="eastAsia" w:eastAsia="仿宋_GB2312"/>
          <w:snapToGrid w:val="0"/>
          <w:color w:val="000000"/>
          <w:kern w:val="0"/>
          <w:sz w:val="32"/>
          <w:szCs w:val="32"/>
        </w:rPr>
        <w:t>保障水平。加强民政服务基础设施、信息化建设。稳步推进殡葬改革，落实殡葬惠民政策。</w:t>
      </w: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1"/>
        <w:rPr>
          <w:rFonts w:hint="eastAsia" w:eastAsia="黑体"/>
          <w:bCs/>
          <w:snapToGrid w:val="0"/>
          <w:color w:val="000000"/>
          <w:spacing w:val="6"/>
          <w:kern w:val="0"/>
          <w:sz w:val="32"/>
          <w:szCs w:val="32"/>
        </w:rPr>
      </w:pPr>
      <w:bookmarkStart w:id="63" w:name="_Toc9553"/>
      <w:bookmarkStart w:id="64" w:name="_Toc436739651"/>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1"/>
        <w:rPr>
          <w:rFonts w:eastAsia="黑体"/>
          <w:bCs/>
          <w:snapToGrid w:val="0"/>
          <w:color w:val="000000"/>
          <w:spacing w:val="6"/>
          <w:kern w:val="0"/>
          <w:sz w:val="32"/>
          <w:szCs w:val="32"/>
        </w:rPr>
      </w:pPr>
      <w:r>
        <w:rPr>
          <w:rFonts w:hint="eastAsia" w:eastAsia="黑体"/>
          <w:bCs/>
          <w:snapToGrid w:val="0"/>
          <w:color w:val="000000"/>
          <w:spacing w:val="6"/>
          <w:kern w:val="0"/>
          <w:sz w:val="32"/>
          <w:szCs w:val="32"/>
        </w:rPr>
        <w:t>第三十八节</w:t>
      </w:r>
      <w:r>
        <w:rPr>
          <w:rFonts w:hint="eastAsia" w:eastAsia="黑体"/>
          <w:bCs/>
          <w:snapToGrid w:val="0"/>
          <w:color w:val="000000"/>
          <w:spacing w:val="6"/>
          <w:kern w:val="0"/>
          <w:sz w:val="32"/>
          <w:szCs w:val="32"/>
          <w:lang w:val="en-US" w:eastAsia="zh-CN"/>
        </w:rPr>
        <w:t xml:space="preserve">  </w:t>
      </w:r>
      <w:r>
        <w:rPr>
          <w:rFonts w:hint="eastAsia" w:eastAsia="黑体"/>
          <w:bCs/>
          <w:snapToGrid w:val="0"/>
          <w:color w:val="000000"/>
          <w:spacing w:val="6"/>
          <w:kern w:val="0"/>
          <w:sz w:val="32"/>
          <w:szCs w:val="32"/>
        </w:rPr>
        <w:t>改善城乡居民住房</w:t>
      </w:r>
      <w:bookmarkEnd w:id="63"/>
      <w:bookmarkEnd w:id="64"/>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2"/>
        <w:rPr>
          <w:rFonts w:eastAsia="仿宋_GB2312"/>
          <w:snapToGrid w:val="0"/>
          <w:color w:val="000000"/>
          <w:kern w:val="0"/>
          <w:sz w:val="32"/>
          <w:szCs w:val="32"/>
        </w:rPr>
      </w:pPr>
      <w:bookmarkStart w:id="65" w:name="_Toc13011"/>
      <w:r>
        <w:rPr>
          <w:rFonts w:hint="eastAsia" w:eastAsia="仿宋_GB2312"/>
          <w:snapToGrid w:val="0"/>
          <w:color w:val="000000"/>
          <w:kern w:val="0"/>
          <w:sz w:val="32"/>
          <w:szCs w:val="32"/>
          <w:lang w:eastAsia="zh-CN"/>
        </w:rPr>
        <w:t>以解决城镇新居民住房需求为出发点，以建立购租并举的住房制度为主要方向，</w:t>
      </w:r>
      <w:r>
        <w:rPr>
          <w:rFonts w:hint="eastAsia" w:eastAsia="仿宋_GB2312"/>
          <w:snapToGrid w:val="0"/>
          <w:color w:val="000000"/>
          <w:kern w:val="0"/>
          <w:sz w:val="32"/>
          <w:szCs w:val="32"/>
        </w:rPr>
        <w:t>完善符合市情的基本住房保障制度，构建以政府提供基本保障、满足多层次需求的住房供应体系。推进公租房与廉租房、经济适用房与限价房并轨，继续实施以棚户区改造和农村危房改造为重点的保障性安居工程建设，抓好</w:t>
      </w:r>
      <w:r>
        <w:rPr>
          <w:rFonts w:hint="eastAsia" w:eastAsia="仿宋_GB2312"/>
          <w:snapToGrid w:val="0"/>
          <w:color w:val="000000"/>
          <w:kern w:val="0"/>
          <w:sz w:val="32"/>
          <w:szCs w:val="32"/>
          <w:lang w:eastAsia="zh-CN"/>
        </w:rPr>
        <w:t>棚户区改造</w:t>
      </w:r>
      <w:r>
        <w:rPr>
          <w:rFonts w:hint="eastAsia" w:eastAsia="仿宋_GB2312"/>
          <w:snapToGrid w:val="0"/>
          <w:color w:val="000000"/>
          <w:kern w:val="0"/>
          <w:sz w:val="32"/>
          <w:szCs w:val="32"/>
        </w:rPr>
        <w:t>货币化安置、公租房入住和后续管理工作。以推进避灾扶贫搬迁工程为抓手，改善农村居民住房，提高公共设施配套水平。支持居民自住和改善性住房需求，加快城乡居民住房权属登记工作，大力促进二手住宅市场交易。落实好房地产调控政策措施，化解房地产库存，推动房地产业健康发展。</w:t>
      </w:r>
      <w:r>
        <w:rPr>
          <w:rFonts w:hint="eastAsia" w:ascii="仿宋_GB2312" w:hAnsi="仿宋_GB2312" w:eastAsia="仿宋_GB2312" w:cs="仿宋_GB2312"/>
          <w:snapToGrid w:val="0"/>
          <w:color w:val="000000"/>
          <w:kern w:val="0"/>
          <w:sz w:val="32"/>
          <w:szCs w:val="32"/>
        </w:rPr>
        <w:t>到2020年，全市</w:t>
      </w:r>
      <w:r>
        <w:rPr>
          <w:rFonts w:hint="eastAsia" w:ascii="仿宋_GB2312" w:hAnsi="仿宋_GB2312" w:eastAsia="仿宋_GB2312" w:cs="仿宋_GB2312"/>
          <w:color w:val="000000"/>
          <w:sz w:val="32"/>
          <w:szCs w:val="32"/>
        </w:rPr>
        <w:t>人均住房建筑面积</w:t>
      </w:r>
      <w:r>
        <w:rPr>
          <w:rFonts w:hint="eastAsia" w:ascii="仿宋_GB2312" w:hAnsi="仿宋_GB2312" w:eastAsia="仿宋_GB2312" w:cs="仿宋_GB2312"/>
          <w:color w:val="000000"/>
          <w:sz w:val="32"/>
          <w:szCs w:val="32"/>
          <w:lang w:eastAsia="zh-CN"/>
        </w:rPr>
        <w:t>达到</w:t>
      </w:r>
      <w:r>
        <w:rPr>
          <w:rFonts w:hint="eastAsia" w:ascii="仿宋_GB2312" w:hAnsi="仿宋_GB2312" w:eastAsia="仿宋_GB2312" w:cs="仿宋_GB2312"/>
          <w:color w:val="000000"/>
          <w:sz w:val="32"/>
          <w:szCs w:val="32"/>
        </w:rPr>
        <w:t>35平方米。</w:t>
      </w:r>
      <w:bookmarkEnd w:id="65"/>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eastAsia="仿宋_GB2312"/>
          <w:snapToGrid w:val="0"/>
          <w:color w:val="000000"/>
          <w:kern w:val="0"/>
          <w:sz w:val="32"/>
          <w:szCs w:val="32"/>
        </w:rPr>
      </w:pP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1"/>
        <w:rPr>
          <w:rFonts w:eastAsia="黑体"/>
          <w:bCs/>
          <w:snapToGrid w:val="0"/>
          <w:color w:val="000000"/>
          <w:spacing w:val="6"/>
          <w:kern w:val="0"/>
          <w:sz w:val="32"/>
          <w:szCs w:val="32"/>
        </w:rPr>
      </w:pPr>
      <w:bookmarkStart w:id="66" w:name="_Toc436739652"/>
      <w:bookmarkStart w:id="67" w:name="_Toc17777"/>
      <w:r>
        <w:rPr>
          <w:rFonts w:hint="eastAsia" w:eastAsia="黑体"/>
          <w:bCs/>
          <w:snapToGrid w:val="0"/>
          <w:color w:val="000000"/>
          <w:spacing w:val="6"/>
          <w:kern w:val="0"/>
          <w:sz w:val="32"/>
          <w:szCs w:val="32"/>
        </w:rPr>
        <w:t>第三十九节</w:t>
      </w:r>
      <w:r>
        <w:rPr>
          <w:rFonts w:hint="eastAsia" w:eastAsia="黑体"/>
          <w:bCs/>
          <w:snapToGrid w:val="0"/>
          <w:color w:val="000000"/>
          <w:spacing w:val="6"/>
          <w:kern w:val="0"/>
          <w:sz w:val="32"/>
          <w:szCs w:val="32"/>
          <w:lang w:val="en-US" w:eastAsia="zh-CN"/>
        </w:rPr>
        <w:t xml:space="preserve">  </w:t>
      </w:r>
      <w:r>
        <w:rPr>
          <w:rFonts w:hint="eastAsia" w:eastAsia="黑体"/>
          <w:bCs/>
          <w:snapToGrid w:val="0"/>
          <w:color w:val="000000"/>
          <w:spacing w:val="6"/>
          <w:kern w:val="0"/>
          <w:sz w:val="32"/>
          <w:szCs w:val="32"/>
        </w:rPr>
        <w:t>推进健康安康建设</w:t>
      </w:r>
      <w:bookmarkEnd w:id="66"/>
      <w:bookmarkEnd w:id="67"/>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eastAsia="仿宋_GB2312"/>
          <w:snapToGrid w:val="0"/>
          <w:color w:val="000000"/>
          <w:kern w:val="0"/>
          <w:sz w:val="32"/>
          <w:szCs w:val="32"/>
        </w:rPr>
      </w:pPr>
      <w:r>
        <w:rPr>
          <w:rFonts w:hint="eastAsia" w:eastAsia="仿宋_GB2312"/>
          <w:snapToGrid w:val="0"/>
          <w:color w:val="000000"/>
          <w:kern w:val="0"/>
          <w:sz w:val="32"/>
          <w:szCs w:val="32"/>
        </w:rPr>
        <w:t>以保障人民健康为目标，着力解决危害健康的主要问题，统筹推进公共卫生、医疗服务、医疗保障、药品供应、监管体制、支撑保障六大体系建设，整合各类资源，推进医疗、保健、养老等多业态融合发展，构建覆盖全生命周期的健康服务体系，不断满足人民群众多层次、多样化的健康需求。</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eastAsia="仿宋_GB2312"/>
          <w:snapToGrid w:val="0"/>
          <w:color w:val="000000"/>
          <w:kern w:val="0"/>
          <w:sz w:val="32"/>
          <w:szCs w:val="32"/>
        </w:rPr>
      </w:pPr>
      <w:r>
        <w:rPr>
          <w:rFonts w:hint="eastAsia" w:eastAsia="仿宋_GB2312"/>
          <w:snapToGrid w:val="0"/>
          <w:color w:val="000000"/>
          <w:kern w:val="0"/>
          <w:sz w:val="32"/>
          <w:szCs w:val="32"/>
        </w:rPr>
        <w:t>深化医药卫生体制改革，推进公立医院综合改革</w:t>
      </w:r>
      <w:r>
        <w:rPr>
          <w:rFonts w:hint="eastAsia" w:eastAsia="仿宋_GB2312"/>
          <w:snapToGrid w:val="0"/>
          <w:color w:val="000000"/>
          <w:kern w:val="0"/>
          <w:sz w:val="32"/>
          <w:szCs w:val="32"/>
          <w:lang w:eastAsia="zh-CN"/>
        </w:rPr>
        <w:t>。</w:t>
      </w:r>
      <w:r>
        <w:rPr>
          <w:rFonts w:hint="eastAsia" w:eastAsia="仿宋_GB2312"/>
          <w:snapToGrid w:val="0"/>
          <w:color w:val="000000"/>
          <w:kern w:val="0"/>
          <w:sz w:val="32"/>
          <w:szCs w:val="32"/>
        </w:rPr>
        <w:t>加强县</w:t>
      </w:r>
      <w:r>
        <w:rPr>
          <w:rFonts w:hint="eastAsia" w:eastAsia="仿宋_GB2312"/>
          <w:snapToGrid w:val="0"/>
          <w:color w:val="000000"/>
          <w:kern w:val="0"/>
          <w:sz w:val="32"/>
          <w:szCs w:val="32"/>
          <w:lang w:eastAsia="zh-CN"/>
        </w:rPr>
        <w:t>镇</w:t>
      </w:r>
      <w:r>
        <w:rPr>
          <w:rFonts w:hint="eastAsia" w:eastAsia="仿宋_GB2312"/>
          <w:snapToGrid w:val="0"/>
          <w:color w:val="000000"/>
          <w:kern w:val="0"/>
          <w:sz w:val="32"/>
          <w:szCs w:val="32"/>
        </w:rPr>
        <w:t>村三级医疗卫生服务网络标准化建设</w:t>
      </w:r>
      <w:r>
        <w:rPr>
          <w:rFonts w:hint="eastAsia" w:eastAsia="仿宋_GB2312"/>
          <w:snapToGrid w:val="0"/>
          <w:color w:val="000000"/>
          <w:kern w:val="0"/>
          <w:sz w:val="32"/>
          <w:szCs w:val="32"/>
          <w:lang w:eastAsia="zh-CN"/>
        </w:rPr>
        <w:t>。</w:t>
      </w:r>
      <w:r>
        <w:rPr>
          <w:rFonts w:hint="eastAsia" w:eastAsia="仿宋_GB2312"/>
          <w:snapToGrid w:val="0"/>
          <w:color w:val="000000"/>
          <w:kern w:val="0"/>
          <w:sz w:val="32"/>
          <w:szCs w:val="32"/>
        </w:rPr>
        <w:t>加强人才队伍建设，实施全科医生和专科医生特设岗位计划</w:t>
      </w:r>
      <w:r>
        <w:rPr>
          <w:rFonts w:hint="eastAsia" w:eastAsia="仿宋_GB2312"/>
          <w:snapToGrid w:val="0"/>
          <w:color w:val="000000"/>
          <w:kern w:val="0"/>
          <w:sz w:val="32"/>
          <w:szCs w:val="32"/>
          <w:lang w:eastAsia="zh-CN"/>
        </w:rPr>
        <w:t>。</w:t>
      </w:r>
      <w:r>
        <w:rPr>
          <w:rFonts w:hint="eastAsia" w:eastAsia="仿宋_GB2312"/>
          <w:snapToGrid w:val="0"/>
          <w:color w:val="000000"/>
          <w:kern w:val="0"/>
          <w:sz w:val="32"/>
          <w:szCs w:val="32"/>
        </w:rPr>
        <w:t>完善基本药物制度，提升中医药服务能力，鼓励社会办医，推行就医分级诊疗，县域就诊率达</w:t>
      </w:r>
      <w:r>
        <w:rPr>
          <w:rFonts w:hint="eastAsia" w:ascii="仿宋_GB2312" w:hAnsi="仿宋_GB2312" w:eastAsia="仿宋_GB2312" w:cs="仿宋_GB2312"/>
          <w:snapToGrid w:val="0"/>
          <w:color w:val="000000"/>
          <w:kern w:val="0"/>
          <w:sz w:val="32"/>
          <w:szCs w:val="32"/>
        </w:rPr>
        <w:t>90%</w:t>
      </w:r>
      <w:r>
        <w:rPr>
          <w:rFonts w:hint="eastAsia" w:eastAsia="仿宋_GB2312"/>
          <w:snapToGrid w:val="0"/>
          <w:color w:val="000000"/>
          <w:kern w:val="0"/>
          <w:sz w:val="32"/>
          <w:szCs w:val="32"/>
        </w:rPr>
        <w:t>左右。强化医疗卫生质量安全管理，构建和谐医患关系。</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eastAsia="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到2020年</w:t>
      </w:r>
      <w:r>
        <w:rPr>
          <w:rFonts w:hint="eastAsia" w:ascii="仿宋_GB2312" w:eastAsia="仿宋_GB2312" w:cs="宋体"/>
          <w:kern w:val="0"/>
          <w:sz w:val="32"/>
          <w:szCs w:val="32"/>
        </w:rPr>
        <w:t>，基本建立覆盖城乡居民的基本医疗卫生制度</w:t>
      </w:r>
      <w:r>
        <w:rPr>
          <w:rFonts w:hint="eastAsia" w:ascii="仿宋_GB2312" w:eastAsia="仿宋_GB2312" w:cs="宋体"/>
          <w:kern w:val="0"/>
          <w:sz w:val="32"/>
          <w:szCs w:val="32"/>
          <w:lang w:eastAsia="zh-CN"/>
        </w:rPr>
        <w:t>，</w:t>
      </w:r>
      <w:r>
        <w:rPr>
          <w:rFonts w:hint="eastAsia" w:ascii="仿宋_GB2312" w:eastAsia="仿宋_GB2312" w:cs="宋体"/>
          <w:kern w:val="0"/>
          <w:sz w:val="32"/>
          <w:szCs w:val="32"/>
        </w:rPr>
        <w:t>医疗卫生服务水平全面提高，居民享有的医疗卫生计生保健水平和主要健康指标达到全省平均水平</w:t>
      </w:r>
      <w:r>
        <w:rPr>
          <w:rFonts w:hint="eastAsia" w:ascii="仿宋_GB2312" w:eastAsia="仿宋_GB2312" w:cs="宋体"/>
          <w:kern w:val="0"/>
          <w:sz w:val="32"/>
          <w:szCs w:val="32"/>
          <w:lang w:eastAsia="zh-CN"/>
        </w:rPr>
        <w:t>，</w:t>
      </w:r>
      <w:r>
        <w:rPr>
          <w:rFonts w:hint="eastAsia" w:ascii="仿宋_GB2312" w:hAnsi="仿宋_GB2312" w:eastAsia="仿宋_GB2312" w:cs="仿宋_GB2312"/>
          <w:snapToGrid w:val="0"/>
          <w:color w:val="000000"/>
          <w:kern w:val="0"/>
          <w:sz w:val="32"/>
          <w:szCs w:val="32"/>
        </w:rPr>
        <w:t>全市每千人拥有执业医师数和病床数分别达到2.5人和5.5</w:t>
      </w:r>
      <w:r>
        <w:rPr>
          <w:rFonts w:hint="eastAsia" w:eastAsia="仿宋_GB2312"/>
          <w:snapToGrid w:val="0"/>
          <w:color w:val="000000"/>
          <w:kern w:val="0"/>
          <w:sz w:val="32"/>
          <w:szCs w:val="32"/>
        </w:rPr>
        <w:t>张</w:t>
      </w:r>
      <w:r>
        <w:rPr>
          <w:rFonts w:hint="eastAsia" w:ascii="仿宋_GB2312" w:eastAsia="仿宋_GB2312" w:cs="宋体"/>
          <w:kern w:val="0"/>
          <w:sz w:val="32"/>
          <w:szCs w:val="32"/>
        </w:rPr>
        <w:t>，新型农村合作医疗政策范围内住院费用报销比例达到85%左右</w:t>
      </w:r>
      <w:r>
        <w:rPr>
          <w:rFonts w:hint="eastAsia" w:eastAsia="仿宋_GB2312"/>
          <w:snapToGrid w:val="0"/>
          <w:color w:val="000000"/>
          <w:kern w:val="0"/>
          <w:sz w:val="32"/>
          <w:szCs w:val="32"/>
        </w:rPr>
        <w:t>。</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实行最严格的食品、药品安全监管制度，强化属地管理责任。健全药品供应保障机制，提高药品质量，确保用药安全。实施食品安全战略，形成严密高效、社会共治的食品安全治理体系，让人民群众吃得放心。</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eastAsia="仿宋_GB2312"/>
          <w:snapToGrid w:val="0"/>
          <w:color w:val="000000"/>
          <w:kern w:val="0"/>
          <w:sz w:val="32"/>
          <w:szCs w:val="32"/>
        </w:rPr>
      </w:pPr>
      <w:r>
        <w:rPr>
          <w:rFonts w:hint="eastAsia" w:eastAsia="仿宋_GB2312"/>
          <w:snapToGrid w:val="0"/>
          <w:color w:val="000000"/>
          <w:kern w:val="0"/>
          <w:sz w:val="32"/>
          <w:szCs w:val="32"/>
        </w:rPr>
        <w:t>促进人口均衡发展，坚持计划生育基本国策，全面实施一对夫妇二孩政策，加强对计划生育特殊家庭的扶持关怀，推进流动人口卫生计生基本公共服务均等化。切实保障妇女</w:t>
      </w:r>
      <w:r>
        <w:rPr>
          <w:rFonts w:hint="eastAsia" w:eastAsia="仿宋_GB2312"/>
          <w:snapToGrid w:val="0"/>
          <w:color w:val="000000"/>
          <w:kern w:val="0"/>
          <w:sz w:val="32"/>
          <w:szCs w:val="32"/>
          <w:lang w:eastAsia="zh-CN"/>
        </w:rPr>
        <w:t>、</w:t>
      </w:r>
      <w:r>
        <w:rPr>
          <w:rFonts w:hint="eastAsia" w:eastAsia="仿宋_GB2312"/>
          <w:snapToGrid w:val="0"/>
          <w:color w:val="000000"/>
          <w:kern w:val="0"/>
          <w:sz w:val="32"/>
          <w:szCs w:val="32"/>
        </w:rPr>
        <w:t>儿童的合法权益，加强未成年人保护，改善儿童成长环境，完善老年人福利制度。推进人口发展信息化建设。</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eastAsia="仿宋_GB2312"/>
          <w:snapToGrid w:val="0"/>
          <w:color w:val="000000"/>
          <w:kern w:val="0"/>
          <w:sz w:val="32"/>
          <w:szCs w:val="32"/>
        </w:rPr>
      </w:pPr>
      <w:r>
        <w:rPr>
          <w:rFonts w:hint="eastAsia" w:eastAsia="仿宋_GB2312"/>
          <w:snapToGrid w:val="0"/>
          <w:color w:val="000000"/>
          <w:kern w:val="0"/>
          <w:sz w:val="32"/>
          <w:szCs w:val="32"/>
        </w:rPr>
        <w:t>大力发展体育事业，实施体育惠民工程，推进全民健身，增强人民体质。增加公共体育活动场地，推进体育场馆免费开放。鼓励举办集赛事、表演、民俗、旅游、餐饮等休闲元素于一体的体育活动。广泛开展足球运动。</w:t>
      </w:r>
    </w:p>
    <w:p>
      <w:pPr>
        <w:spacing w:line="560" w:lineRule="exact"/>
        <w:jc w:val="center"/>
        <w:rPr>
          <w:rFonts w:hint="eastAsia" w:ascii="黑体" w:hAnsi="黑体" w:eastAsia="黑体" w:cs="黑体"/>
          <w:bCs/>
          <w:color w:val="000000"/>
          <w:sz w:val="28"/>
          <w:szCs w:val="56"/>
        </w:rPr>
      </w:pPr>
      <w:r>
        <w:rPr>
          <w:rFonts w:hint="eastAsia" w:ascii="黑体" w:hAnsi="黑体" w:eastAsia="黑体" w:cs="黑体"/>
          <w:bCs/>
          <w:color w:val="000000"/>
          <w:sz w:val="28"/>
          <w:szCs w:val="56"/>
        </w:rPr>
        <w:t>专栏16</w:t>
      </w:r>
      <w:r>
        <w:rPr>
          <w:rFonts w:hint="eastAsia" w:ascii="黑体" w:hAnsi="黑体" w:eastAsia="黑体" w:cs="黑体"/>
          <w:bCs/>
          <w:color w:val="000000"/>
          <w:sz w:val="28"/>
          <w:szCs w:val="56"/>
          <w:lang w:val="en-US" w:eastAsia="zh-CN"/>
        </w:rPr>
        <w:t xml:space="preserve">  </w:t>
      </w:r>
      <w:r>
        <w:rPr>
          <w:rFonts w:hint="eastAsia" w:ascii="黑体" w:hAnsi="黑体" w:eastAsia="黑体" w:cs="黑体"/>
          <w:bCs/>
          <w:color w:val="000000"/>
          <w:sz w:val="28"/>
          <w:szCs w:val="56"/>
        </w:rPr>
        <w:t>健康安康建设重点工程</w:t>
      </w:r>
    </w:p>
    <w:tbl>
      <w:tblPr>
        <w:tblStyle w:val="20"/>
        <w:tblW w:w="0" w:type="auto"/>
        <w:jc w:val="center"/>
        <w:tblLayout w:type="fixed"/>
        <w:tblCellMar>
          <w:top w:w="0" w:type="dxa"/>
          <w:left w:w="0" w:type="dxa"/>
          <w:bottom w:w="0" w:type="dxa"/>
          <w:right w:w="0" w:type="dxa"/>
        </w:tblCellMar>
      </w:tblPr>
      <w:tblGrid>
        <w:gridCol w:w="8789"/>
      </w:tblGrid>
      <w:tr>
        <w:tblPrEx>
          <w:tblCellMar>
            <w:top w:w="0" w:type="dxa"/>
            <w:left w:w="0" w:type="dxa"/>
            <w:bottom w:w="0" w:type="dxa"/>
            <w:right w:w="0" w:type="dxa"/>
          </w:tblCellMar>
        </w:tblPrEx>
        <w:trPr>
          <w:trHeight w:val="90" w:hRule="atLeast"/>
          <w:jc w:val="center"/>
        </w:trPr>
        <w:tc>
          <w:tcPr>
            <w:tcW w:w="878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2" w:firstLineChars="200"/>
              <w:jc w:val="left"/>
              <w:textAlignment w:val="auto"/>
              <w:outlineLvl w:val="9"/>
              <w:rPr>
                <w:rFonts w:ascii="宋体" w:cs="宋体"/>
                <w:b/>
                <w:snapToGrid w:val="0"/>
                <w:color w:val="000000"/>
                <w:sz w:val="24"/>
                <w:szCs w:val="21"/>
              </w:rPr>
            </w:pPr>
            <w:r>
              <w:rPr>
                <w:rFonts w:hint="eastAsia" w:ascii="宋体" w:hAnsi="宋体" w:cs="宋体"/>
                <w:b/>
                <w:snapToGrid w:val="0"/>
                <w:color w:val="000000"/>
                <w:sz w:val="24"/>
                <w:szCs w:val="21"/>
              </w:rPr>
              <w:t>中医药服务体系建设工程：</w:t>
            </w:r>
            <w:r>
              <w:rPr>
                <w:rFonts w:hint="eastAsia" w:ascii="宋体" w:hAnsi="宋体" w:cs="宋体"/>
                <w:bCs/>
                <w:snapToGrid w:val="0"/>
                <w:color w:val="000000"/>
                <w:sz w:val="24"/>
                <w:szCs w:val="21"/>
              </w:rPr>
              <w:t>组建安康中医药基地，建设</w:t>
            </w:r>
            <w:r>
              <w:rPr>
                <w:rFonts w:ascii="宋体" w:hAnsi="宋体" w:cs="宋体"/>
                <w:bCs/>
                <w:snapToGrid w:val="0"/>
                <w:color w:val="000000"/>
                <w:sz w:val="24"/>
                <w:szCs w:val="21"/>
              </w:rPr>
              <w:t>3-5</w:t>
            </w:r>
            <w:r>
              <w:rPr>
                <w:rFonts w:hint="eastAsia" w:ascii="宋体" w:hAnsi="宋体" w:cs="宋体"/>
                <w:bCs/>
                <w:snapToGrid w:val="0"/>
                <w:color w:val="000000"/>
                <w:sz w:val="24"/>
                <w:szCs w:val="21"/>
              </w:rPr>
              <w:t>个县级标准化中医院，涵盖中医诊疗、康复、保健、养生及养老服务；完善中医药预防保健体系，推进中医药健康服务业、产业发展和科研创新，促进医养结合。</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2" w:firstLineChars="200"/>
              <w:jc w:val="left"/>
              <w:textAlignment w:val="auto"/>
              <w:outlineLvl w:val="9"/>
              <w:rPr>
                <w:rFonts w:ascii="宋体" w:eastAsia="宋体" w:cs="宋体"/>
                <w:bCs/>
                <w:snapToGrid w:val="0"/>
                <w:color w:val="000000"/>
                <w:sz w:val="24"/>
                <w:szCs w:val="21"/>
              </w:rPr>
            </w:pPr>
            <w:r>
              <w:rPr>
                <w:rFonts w:hint="eastAsia" w:ascii="宋体" w:hAnsi="宋体" w:cs="宋体"/>
                <w:b/>
                <w:snapToGrid w:val="0"/>
                <w:color w:val="000000"/>
                <w:sz w:val="24"/>
                <w:szCs w:val="21"/>
              </w:rPr>
              <w:t>市级医院能力提升工程：</w:t>
            </w:r>
            <w:r>
              <w:rPr>
                <w:rFonts w:hint="eastAsia" w:ascii="宋体" w:hAnsi="宋体" w:cs="宋体"/>
                <w:bCs/>
                <w:snapToGrid w:val="0"/>
                <w:color w:val="000000"/>
                <w:sz w:val="24"/>
                <w:szCs w:val="21"/>
              </w:rPr>
              <w:t>提升改造市中心医院总院，新建门诊综合楼、外科综合楼、心脑血管专科医院；提升市中医医院，打造秦巴区域中医诊疗中心；依托市人民医院建设肿瘤康复专科医院，新建医技楼、公寓楼、改建外科住院楼；建设市妇女儿童康复保健中心</w:t>
            </w:r>
            <w:r>
              <w:rPr>
                <w:rFonts w:hint="eastAsia" w:ascii="宋体" w:hAnsi="宋体" w:eastAsia="宋体" w:cs="宋体"/>
                <w:bCs/>
                <w:snapToGrid w:val="0"/>
                <w:color w:val="000000"/>
                <w:sz w:val="24"/>
                <w:szCs w:val="21"/>
              </w:rPr>
              <w:t>、</w:t>
            </w:r>
            <w:r>
              <w:rPr>
                <w:rFonts w:hint="eastAsia" w:ascii="宋体" w:hAnsi="宋体" w:cs="宋体"/>
                <w:bCs/>
                <w:snapToGrid w:val="0"/>
                <w:color w:val="000000"/>
                <w:sz w:val="24"/>
                <w:szCs w:val="21"/>
              </w:rPr>
              <w:t>市生殖健康服务中心</w:t>
            </w:r>
            <w:r>
              <w:rPr>
                <w:rFonts w:hint="eastAsia" w:ascii="宋体" w:hAnsi="宋体" w:eastAsia="宋体" w:cs="宋体"/>
                <w:bCs/>
                <w:snapToGrid w:val="0"/>
                <w:color w:val="000000"/>
                <w:sz w:val="24"/>
                <w:szCs w:val="21"/>
              </w:rPr>
              <w:t>、</w:t>
            </w:r>
            <w:r>
              <w:rPr>
                <w:rFonts w:hint="eastAsia" w:ascii="宋体" w:eastAsia="宋体" w:cs="宋体"/>
                <w:bCs/>
                <w:snapToGrid w:val="0"/>
                <w:color w:val="000000"/>
                <w:sz w:val="24"/>
                <w:szCs w:val="21"/>
              </w:rPr>
              <w:t>秦巴山区急救应急中心。</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2" w:firstLineChars="200"/>
              <w:jc w:val="left"/>
              <w:textAlignment w:val="auto"/>
              <w:outlineLvl w:val="9"/>
              <w:rPr>
                <w:rFonts w:hint="eastAsia" w:ascii="宋体" w:hAnsi="宋体" w:cs="宋体"/>
                <w:bCs/>
                <w:snapToGrid w:val="0"/>
                <w:color w:val="000000"/>
                <w:sz w:val="24"/>
                <w:szCs w:val="21"/>
              </w:rPr>
            </w:pPr>
            <w:r>
              <w:rPr>
                <w:rFonts w:hint="eastAsia" w:ascii="宋体" w:hAnsi="宋体" w:cs="宋体"/>
                <w:b/>
                <w:snapToGrid w:val="0"/>
                <w:color w:val="000000"/>
                <w:sz w:val="24"/>
                <w:szCs w:val="21"/>
              </w:rPr>
              <w:t>专科医院健全完善工程：</w:t>
            </w:r>
            <w:r>
              <w:rPr>
                <w:rFonts w:hint="eastAsia" w:ascii="宋体" w:hAnsi="宋体" w:cs="宋体"/>
                <w:bCs/>
                <w:snapToGrid w:val="0"/>
                <w:color w:val="000000"/>
                <w:sz w:val="24"/>
                <w:szCs w:val="21"/>
              </w:rPr>
              <w:t>建设市针灸康复中心、市治未病中心、市肿廇医院、市老年病医院、市儿童脑病康复中心、市眼科医院。</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2" w:firstLineChars="200"/>
              <w:jc w:val="left"/>
              <w:textAlignment w:val="auto"/>
              <w:outlineLvl w:val="9"/>
              <w:rPr>
                <w:rFonts w:ascii="宋体" w:cs="宋体"/>
                <w:bCs/>
                <w:snapToGrid w:val="0"/>
                <w:color w:val="000000"/>
                <w:sz w:val="24"/>
                <w:szCs w:val="21"/>
              </w:rPr>
            </w:pPr>
            <w:r>
              <w:rPr>
                <w:rFonts w:hint="eastAsia" w:ascii="宋体" w:hAnsi="宋体" w:cs="宋体"/>
                <w:b/>
                <w:snapToGrid w:val="0"/>
                <w:color w:val="000000"/>
                <w:sz w:val="24"/>
                <w:szCs w:val="21"/>
              </w:rPr>
              <w:t>基层医疗服务体系建设工程</w:t>
            </w:r>
            <w:r>
              <w:rPr>
                <w:rFonts w:hint="eastAsia" w:ascii="宋体" w:hAnsi="宋体" w:cs="宋体"/>
                <w:bCs/>
                <w:snapToGrid w:val="0"/>
                <w:color w:val="000000"/>
                <w:sz w:val="24"/>
                <w:szCs w:val="21"/>
              </w:rPr>
              <w:t>：建设专科医院</w:t>
            </w:r>
            <w:r>
              <w:rPr>
                <w:rFonts w:ascii="宋体" w:hAnsi="宋体" w:cs="宋体"/>
                <w:bCs/>
                <w:snapToGrid w:val="0"/>
                <w:color w:val="000000"/>
                <w:sz w:val="24"/>
                <w:szCs w:val="21"/>
              </w:rPr>
              <w:t>10-15</w:t>
            </w:r>
            <w:r>
              <w:rPr>
                <w:rFonts w:hint="eastAsia" w:ascii="宋体" w:hAnsi="宋体" w:cs="宋体"/>
                <w:bCs/>
                <w:snapToGrid w:val="0"/>
                <w:color w:val="000000"/>
                <w:sz w:val="24"/>
                <w:szCs w:val="21"/>
              </w:rPr>
              <w:t>所、镇卫生院</w:t>
            </w:r>
            <w:r>
              <w:rPr>
                <w:rFonts w:ascii="宋体" w:hAnsi="宋体" w:cs="宋体"/>
                <w:bCs/>
                <w:snapToGrid w:val="0"/>
                <w:color w:val="000000"/>
                <w:sz w:val="24"/>
                <w:szCs w:val="21"/>
              </w:rPr>
              <w:t>62</w:t>
            </w:r>
            <w:r>
              <w:rPr>
                <w:rFonts w:hint="eastAsia" w:ascii="宋体" w:hAnsi="宋体" w:cs="宋体"/>
                <w:bCs/>
                <w:snapToGrid w:val="0"/>
                <w:color w:val="000000"/>
                <w:sz w:val="24"/>
                <w:szCs w:val="21"/>
              </w:rPr>
              <w:t>个、社区卫生服务中心</w:t>
            </w:r>
            <w:r>
              <w:rPr>
                <w:rFonts w:ascii="宋体" w:hAnsi="宋体" w:cs="宋体"/>
                <w:bCs/>
                <w:snapToGrid w:val="0"/>
                <w:color w:val="000000"/>
                <w:sz w:val="24"/>
                <w:szCs w:val="21"/>
              </w:rPr>
              <w:t>5</w:t>
            </w:r>
            <w:r>
              <w:rPr>
                <w:rFonts w:hint="eastAsia" w:ascii="宋体" w:hAnsi="宋体" w:cs="宋体"/>
                <w:bCs/>
                <w:snapToGrid w:val="0"/>
                <w:color w:val="000000"/>
                <w:sz w:val="24"/>
                <w:szCs w:val="21"/>
              </w:rPr>
              <w:t>个、村卫生室</w:t>
            </w:r>
            <w:r>
              <w:rPr>
                <w:rFonts w:ascii="宋体" w:hAnsi="宋体" w:cs="宋体"/>
                <w:bCs/>
                <w:snapToGrid w:val="0"/>
                <w:color w:val="000000"/>
                <w:sz w:val="24"/>
                <w:szCs w:val="21"/>
              </w:rPr>
              <w:t>1100</w:t>
            </w:r>
            <w:r>
              <w:rPr>
                <w:rFonts w:hint="eastAsia" w:ascii="宋体" w:hAnsi="宋体" w:cs="宋体"/>
                <w:bCs/>
                <w:snapToGrid w:val="0"/>
                <w:color w:val="000000"/>
                <w:sz w:val="24"/>
                <w:szCs w:val="21"/>
              </w:rPr>
              <w:t>个。</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2" w:firstLineChars="200"/>
              <w:jc w:val="left"/>
              <w:textAlignment w:val="auto"/>
              <w:outlineLvl w:val="9"/>
              <w:rPr>
                <w:rFonts w:ascii="宋体" w:hAnsi="宋体" w:cs="宋体"/>
                <w:bCs/>
                <w:snapToGrid w:val="0"/>
                <w:color w:val="000000"/>
                <w:sz w:val="24"/>
                <w:szCs w:val="21"/>
              </w:rPr>
            </w:pPr>
            <w:r>
              <w:rPr>
                <w:rFonts w:hint="eastAsia" w:ascii="宋体" w:hAnsi="宋体" w:cs="宋体"/>
                <w:b/>
                <w:snapToGrid w:val="0"/>
                <w:color w:val="000000"/>
                <w:sz w:val="24"/>
                <w:szCs w:val="21"/>
              </w:rPr>
              <w:t>公共卫生体系建设工程</w:t>
            </w:r>
            <w:r>
              <w:rPr>
                <w:rFonts w:hint="eastAsia" w:ascii="宋体" w:hAnsi="宋体" w:cs="宋体"/>
                <w:bCs/>
                <w:snapToGrid w:val="0"/>
                <w:color w:val="000000"/>
                <w:sz w:val="24"/>
                <w:szCs w:val="21"/>
              </w:rPr>
              <w:t>：建设市级精神卫生中心、县级疾控中心</w:t>
            </w:r>
            <w:r>
              <w:rPr>
                <w:rFonts w:ascii="宋体" w:hAnsi="宋体" w:cs="宋体"/>
                <w:bCs/>
                <w:snapToGrid w:val="0"/>
                <w:color w:val="000000"/>
                <w:sz w:val="24"/>
                <w:szCs w:val="21"/>
              </w:rPr>
              <w:t>3</w:t>
            </w:r>
            <w:r>
              <w:rPr>
                <w:rFonts w:hint="eastAsia" w:ascii="宋体" w:hAnsi="宋体" w:cs="宋体"/>
                <w:bCs/>
                <w:snapToGrid w:val="0"/>
                <w:color w:val="000000"/>
                <w:sz w:val="24"/>
                <w:szCs w:val="21"/>
              </w:rPr>
              <w:t>个、县级妇幼保健机构</w:t>
            </w:r>
            <w:r>
              <w:rPr>
                <w:rFonts w:ascii="宋体" w:hAnsi="宋体" w:cs="宋体"/>
                <w:bCs/>
                <w:snapToGrid w:val="0"/>
                <w:color w:val="000000"/>
                <w:sz w:val="24"/>
                <w:szCs w:val="21"/>
              </w:rPr>
              <w:t>3</w:t>
            </w:r>
            <w:r>
              <w:rPr>
                <w:rFonts w:hint="eastAsia" w:ascii="宋体" w:hAnsi="宋体" w:cs="宋体"/>
                <w:bCs/>
                <w:snapToGrid w:val="0"/>
                <w:color w:val="000000"/>
                <w:sz w:val="24"/>
                <w:szCs w:val="21"/>
              </w:rPr>
              <w:t>个，建设卫生应急指挥决策系统。</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2" w:firstLineChars="200"/>
              <w:jc w:val="left"/>
              <w:textAlignment w:val="auto"/>
              <w:outlineLvl w:val="9"/>
              <w:rPr>
                <w:rFonts w:ascii="宋体" w:cs="宋体"/>
                <w:bCs/>
                <w:snapToGrid w:val="0"/>
                <w:color w:val="000000"/>
                <w:sz w:val="24"/>
                <w:szCs w:val="21"/>
              </w:rPr>
            </w:pPr>
            <w:r>
              <w:rPr>
                <w:rFonts w:hint="eastAsia" w:ascii="宋体" w:hAnsi="宋体" w:cs="宋体"/>
                <w:b/>
                <w:snapToGrid w:val="0"/>
                <w:color w:val="000000"/>
                <w:sz w:val="24"/>
                <w:szCs w:val="21"/>
              </w:rPr>
              <w:t>民营医疗机构发展提升工程</w:t>
            </w:r>
            <w:r>
              <w:rPr>
                <w:rFonts w:hint="eastAsia" w:ascii="宋体" w:hAnsi="宋体" w:cs="宋体"/>
                <w:bCs/>
                <w:snapToGrid w:val="0"/>
                <w:color w:val="000000"/>
                <w:sz w:val="24"/>
                <w:szCs w:val="21"/>
              </w:rPr>
              <w:t>：新建</w:t>
            </w:r>
            <w:r>
              <w:rPr>
                <w:rFonts w:ascii="宋体" w:hAnsi="宋体" w:cs="宋体"/>
                <w:bCs/>
                <w:snapToGrid w:val="0"/>
                <w:color w:val="000000"/>
                <w:sz w:val="24"/>
                <w:szCs w:val="21"/>
              </w:rPr>
              <w:t>100</w:t>
            </w:r>
            <w:r>
              <w:rPr>
                <w:rFonts w:hint="eastAsia" w:ascii="宋体" w:hAnsi="宋体" w:cs="宋体"/>
                <w:bCs/>
                <w:snapToGrid w:val="0"/>
                <w:color w:val="000000"/>
                <w:sz w:val="24"/>
                <w:szCs w:val="21"/>
              </w:rPr>
              <w:t>张床位以上民营医疗机构</w:t>
            </w:r>
            <w:r>
              <w:rPr>
                <w:rFonts w:ascii="宋体" w:hAnsi="宋体" w:cs="宋体"/>
                <w:bCs/>
                <w:snapToGrid w:val="0"/>
                <w:color w:val="000000"/>
                <w:sz w:val="24"/>
                <w:szCs w:val="21"/>
              </w:rPr>
              <w:t>10</w:t>
            </w:r>
            <w:r>
              <w:rPr>
                <w:rFonts w:hint="eastAsia" w:ascii="宋体" w:hAnsi="宋体" w:cs="宋体"/>
                <w:bCs/>
                <w:snapToGrid w:val="0"/>
                <w:color w:val="000000"/>
                <w:sz w:val="24"/>
                <w:szCs w:val="21"/>
                <w:lang w:val="en-US" w:eastAsia="zh-CN"/>
              </w:rPr>
              <w:t>-</w:t>
            </w:r>
            <w:r>
              <w:rPr>
                <w:rFonts w:ascii="宋体" w:hAnsi="宋体" w:cs="宋体"/>
                <w:bCs/>
                <w:snapToGrid w:val="0"/>
                <w:color w:val="000000"/>
                <w:sz w:val="24"/>
                <w:szCs w:val="21"/>
              </w:rPr>
              <w:t>20</w:t>
            </w:r>
            <w:r>
              <w:rPr>
                <w:rFonts w:hint="eastAsia" w:ascii="宋体" w:hAnsi="宋体" w:cs="宋体"/>
                <w:bCs/>
                <w:snapToGrid w:val="0"/>
                <w:color w:val="000000"/>
                <w:sz w:val="24"/>
                <w:szCs w:val="21"/>
              </w:rPr>
              <w:t>所。</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2" w:firstLineChars="200"/>
              <w:jc w:val="left"/>
              <w:textAlignment w:val="auto"/>
              <w:outlineLvl w:val="9"/>
              <w:rPr>
                <w:rFonts w:hint="eastAsia" w:ascii="宋体" w:hAnsi="宋体" w:eastAsia="宋体" w:cs="宋体"/>
                <w:bCs/>
                <w:snapToGrid w:val="0"/>
                <w:color w:val="000000"/>
                <w:spacing w:val="-6"/>
                <w:sz w:val="24"/>
              </w:rPr>
            </w:pPr>
            <w:r>
              <w:rPr>
                <w:rFonts w:hint="eastAsia" w:ascii="宋体" w:hAnsi="宋体" w:cs="宋体"/>
                <w:b/>
                <w:snapToGrid w:val="0"/>
                <w:color w:val="000000"/>
                <w:sz w:val="24"/>
                <w:szCs w:val="21"/>
              </w:rPr>
              <w:t>卫生信息化建设工程：</w:t>
            </w:r>
            <w:r>
              <w:rPr>
                <w:rFonts w:hint="eastAsia" w:ascii="宋体" w:hAnsi="宋体" w:cs="宋体"/>
                <w:bCs/>
                <w:snapToGrid w:val="0"/>
                <w:color w:val="000000"/>
                <w:spacing w:val="-6"/>
                <w:sz w:val="24"/>
              </w:rPr>
              <w:t>组建市、县区域卫生信息平台，建设覆盖市、县、镇、村四级卫生信息网络。</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left"/>
              <w:textAlignment w:val="auto"/>
              <w:outlineLvl w:val="9"/>
              <w:rPr>
                <w:rFonts w:ascii="宋体" w:hAnsi="宋体" w:cs="宋体"/>
                <w:color w:val="000000"/>
                <w:kern w:val="0"/>
                <w:sz w:val="24"/>
              </w:rPr>
            </w:pPr>
            <w:r>
              <w:rPr>
                <w:rFonts w:hint="eastAsia" w:ascii="宋体" w:hAnsi="宋体" w:cs="宋体"/>
                <w:b/>
                <w:snapToGrid w:val="0"/>
                <w:color w:val="000000"/>
                <w:sz w:val="24"/>
                <w:szCs w:val="21"/>
                <w:lang w:val="en-US" w:eastAsia="zh-CN"/>
              </w:rPr>
              <w:t xml:space="preserve">    </w:t>
            </w:r>
            <w:r>
              <w:rPr>
                <w:rFonts w:hint="eastAsia" w:ascii="宋体" w:hAnsi="宋体" w:cs="宋体"/>
                <w:b/>
                <w:snapToGrid w:val="0"/>
                <w:color w:val="000000"/>
                <w:sz w:val="24"/>
                <w:szCs w:val="21"/>
              </w:rPr>
              <w:t>体育健身运动工程：</w:t>
            </w:r>
            <w:r>
              <w:rPr>
                <w:rFonts w:hint="eastAsia" w:ascii="宋体" w:hAnsi="宋体" w:eastAsia="宋体" w:cs="宋体"/>
                <w:snapToGrid w:val="0"/>
                <w:color w:val="000000"/>
                <w:sz w:val="24"/>
                <w:szCs w:val="21"/>
              </w:rPr>
              <w:t>建设</w:t>
            </w:r>
            <w:r>
              <w:rPr>
                <w:rFonts w:hint="eastAsia" w:ascii="宋体" w:hAnsi="宋体" w:eastAsia="宋体" w:cs="宋体"/>
                <w:bCs/>
                <w:snapToGrid w:val="0"/>
                <w:color w:val="000000"/>
                <w:sz w:val="24"/>
                <w:szCs w:val="21"/>
              </w:rPr>
              <w:t>安康体育馆、</w:t>
            </w:r>
            <w:r>
              <w:rPr>
                <w:rFonts w:hint="eastAsia" w:ascii="宋体" w:hAnsi="宋体" w:eastAsia="宋体" w:cs="宋体"/>
                <w:snapToGrid w:val="0"/>
                <w:color w:val="000000"/>
                <w:sz w:val="24"/>
                <w:szCs w:val="21"/>
              </w:rPr>
              <w:t>安康游泳馆、安康水上运动中心和县级全民健身中心9个、标准化体育场8个、足球运动</w:t>
            </w:r>
            <w:r>
              <w:rPr>
                <w:rFonts w:hint="eastAsia" w:ascii="宋体" w:hAnsi="宋体" w:eastAsia="宋体" w:cs="宋体"/>
                <w:snapToGrid w:val="0"/>
                <w:color w:val="000000"/>
                <w:sz w:val="24"/>
                <w:szCs w:val="21"/>
                <w:lang w:eastAsia="zh-CN"/>
              </w:rPr>
              <w:t>场地</w:t>
            </w:r>
            <w:r>
              <w:rPr>
                <w:rFonts w:hint="eastAsia" w:ascii="宋体" w:hAnsi="宋体" w:eastAsia="宋体" w:cs="宋体"/>
                <w:snapToGrid w:val="0"/>
                <w:color w:val="000000"/>
                <w:sz w:val="24"/>
                <w:szCs w:val="21"/>
              </w:rPr>
              <w:t>150个，实施镇村体育运动工程。</w:t>
            </w:r>
          </w:p>
        </w:tc>
      </w:tr>
    </w:tbl>
    <w:p>
      <w:pPr>
        <w:spacing w:line="560" w:lineRule="exact"/>
        <w:jc w:val="center"/>
        <w:rPr>
          <w:rFonts w:hint="eastAsia" w:ascii="黑体" w:hAnsi="黑体" w:eastAsia="黑体" w:cs="黑体"/>
          <w:bCs/>
          <w:color w:val="000000"/>
          <w:sz w:val="28"/>
          <w:szCs w:val="56"/>
        </w:rPr>
      </w:pP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1"/>
        <w:rPr>
          <w:rFonts w:eastAsia="黑体"/>
          <w:bCs/>
          <w:snapToGrid w:val="0"/>
          <w:color w:val="000000"/>
          <w:spacing w:val="6"/>
          <w:kern w:val="0"/>
          <w:sz w:val="32"/>
          <w:szCs w:val="32"/>
        </w:rPr>
      </w:pPr>
      <w:bookmarkStart w:id="68" w:name="_Toc436739653"/>
      <w:bookmarkStart w:id="69" w:name="_Toc27031"/>
      <w:r>
        <w:rPr>
          <w:rFonts w:hint="eastAsia" w:eastAsia="黑体"/>
          <w:bCs/>
          <w:snapToGrid w:val="0"/>
          <w:color w:val="000000"/>
          <w:spacing w:val="6"/>
          <w:kern w:val="0"/>
          <w:sz w:val="32"/>
          <w:szCs w:val="32"/>
        </w:rPr>
        <w:t>第四十节</w:t>
      </w:r>
      <w:r>
        <w:rPr>
          <w:rFonts w:hint="eastAsia" w:eastAsia="黑体"/>
          <w:bCs/>
          <w:snapToGrid w:val="0"/>
          <w:color w:val="000000"/>
          <w:spacing w:val="6"/>
          <w:kern w:val="0"/>
          <w:sz w:val="32"/>
          <w:szCs w:val="32"/>
          <w:lang w:val="en-US" w:eastAsia="zh-CN"/>
        </w:rPr>
        <w:t xml:space="preserve">  </w:t>
      </w:r>
      <w:r>
        <w:rPr>
          <w:rFonts w:hint="eastAsia" w:eastAsia="黑体"/>
          <w:bCs/>
          <w:snapToGrid w:val="0"/>
          <w:color w:val="000000"/>
          <w:spacing w:val="6"/>
          <w:kern w:val="0"/>
          <w:sz w:val="32"/>
          <w:szCs w:val="32"/>
        </w:rPr>
        <w:t>加强公共文化服务</w:t>
      </w:r>
      <w:bookmarkEnd w:id="68"/>
      <w:bookmarkEnd w:id="69"/>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7" w:firstLineChars="196"/>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围绕标准化、均等化目标，加快构建现代公共文化服务体系，保障人民群众基本文化权益。到2020年，基本建成覆盖城乡、便捷高效、保基本、促公平的现代公共文化服务体系。</w:t>
      </w:r>
    </w:p>
    <w:p>
      <w:pPr>
        <w:pStyle w:val="6"/>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27" w:firstLineChars="196"/>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以市、县公共文化设施为骨干，以镇、村（社区）基层文化设施为基础，建设覆盖城乡、布局合理、功能健全、实用高效的公共文化设施网络。新建香溪书院、汉江大剧院、安康美术馆</w:t>
      </w:r>
      <w:r>
        <w:rPr>
          <w:rFonts w:hint="eastAsia" w:ascii="仿宋_GB2312" w:hAnsi="仿宋" w:eastAsia="仿宋_GB2312"/>
          <w:color w:val="000000"/>
          <w:sz w:val="32"/>
          <w:szCs w:val="32"/>
          <w:lang w:eastAsia="zh-CN"/>
        </w:rPr>
        <w:t>，建设</w:t>
      </w:r>
      <w:r>
        <w:rPr>
          <w:rFonts w:hint="eastAsia" w:ascii="仿宋_GB2312" w:hAnsi="仿宋" w:eastAsia="仿宋_GB2312"/>
          <w:color w:val="000000"/>
          <w:sz w:val="32"/>
          <w:szCs w:val="32"/>
        </w:rPr>
        <w:t>高新区文化馆和恒口示范区图书馆、文化馆、影剧院，推进全市图书馆、文化馆、镇综合文化站全部达到国家标准。新建或改扩建县级博物馆、影剧院，实现县区博物馆、影剧院全覆盖。整合基层宣传文化、党员教育、科技普及、普法教育、体育健身等资源，镇、村（社区）建设综合性文化服务中心，配套建设戏（舞）台和文体活动场地。加强广播电视发射、监测台站建设，提高广播电视覆盖率。坚持设施建设和运行管理并重，健全各类公共文化设施运行管理和服务标准体系，提高公共文化服务水平。</w:t>
      </w:r>
    </w:p>
    <w:p>
      <w:pPr>
        <w:pStyle w:val="6"/>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27" w:firstLineChars="196"/>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坚持以人民为中心，按照“兜底线、补短板、保基本”的思路，丰富公共文化服务产品供给，加强文艺精品创作和群众性文艺创作。深入实施文化惠民工程，广泛开展群众性文化活动。建立健全政府购买公共文化服务机制，大力推进公共文化服务社会化、数字化和效能化。实施中心城市“文化大本营”工程，探索现代公共文化服务体系建设“安康模式”。</w:t>
      </w:r>
    </w:p>
    <w:p>
      <w:pPr>
        <w:pStyle w:val="6"/>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27" w:firstLineChars="196"/>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加强文化遗产保护与传承，加强文化与旅游有机融合，扩大汉水文化影响力。扎实做好文物保护，以陕南特色民居群、秦蜀古道安康段、汉江古会馆群保护为重点，推进“汉水人文生态”博物馆群建设。建立非物质文化遗产保护体系，争取更多文化遗产项目进入中省名录。深入推进汉剧振兴，扩大对外文化交流，弘扬安康优秀传统文化。</w:t>
      </w:r>
      <w:r>
        <w:rPr>
          <w:rFonts w:hint="eastAsia" w:ascii="仿宋_GB2312" w:hAnsi="仿宋" w:eastAsia="仿宋_GB2312"/>
          <w:color w:val="000000"/>
          <w:sz w:val="32"/>
          <w:szCs w:val="32"/>
          <w:lang w:eastAsia="zh-CN"/>
        </w:rPr>
        <w:t>重视修史修志工作。</w:t>
      </w:r>
    </w:p>
    <w:p>
      <w:pPr>
        <w:spacing w:line="560" w:lineRule="exact"/>
        <w:jc w:val="center"/>
        <w:rPr>
          <w:rFonts w:hint="eastAsia" w:ascii="黑体" w:hAnsi="黑体" w:eastAsia="黑体" w:cs="黑体"/>
          <w:bCs/>
          <w:color w:val="000000"/>
          <w:sz w:val="28"/>
          <w:szCs w:val="56"/>
        </w:rPr>
      </w:pPr>
    </w:p>
    <w:p>
      <w:pPr>
        <w:spacing w:line="560" w:lineRule="exact"/>
        <w:jc w:val="center"/>
        <w:rPr>
          <w:rFonts w:ascii="黑体" w:hAnsi="黑体" w:eastAsia="黑体" w:cs="黑体"/>
          <w:bCs/>
          <w:color w:val="000000"/>
          <w:sz w:val="28"/>
          <w:szCs w:val="56"/>
        </w:rPr>
      </w:pPr>
      <w:r>
        <w:rPr>
          <w:rFonts w:hint="eastAsia" w:ascii="黑体" w:hAnsi="黑体" w:eastAsia="黑体" w:cs="黑体"/>
          <w:bCs/>
          <w:color w:val="000000"/>
          <w:sz w:val="28"/>
          <w:szCs w:val="56"/>
        </w:rPr>
        <w:t>专栏17</w:t>
      </w:r>
      <w:r>
        <w:rPr>
          <w:rFonts w:hint="eastAsia" w:ascii="黑体" w:hAnsi="黑体" w:eastAsia="黑体" w:cs="黑体"/>
          <w:bCs/>
          <w:color w:val="000000"/>
          <w:sz w:val="28"/>
          <w:szCs w:val="56"/>
          <w:lang w:val="en-US" w:eastAsia="zh-CN"/>
        </w:rPr>
        <w:t xml:space="preserve">  </w:t>
      </w:r>
      <w:r>
        <w:rPr>
          <w:rFonts w:hint="eastAsia" w:ascii="黑体" w:hAnsi="黑体" w:eastAsia="黑体" w:cs="黑体"/>
          <w:bCs/>
          <w:color w:val="000000"/>
          <w:sz w:val="28"/>
          <w:szCs w:val="56"/>
        </w:rPr>
        <w:t>公共文化事业发展重点工程</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738" w:hRule="atLeast"/>
          <w:jc w:val="center"/>
        </w:trPr>
        <w:tc>
          <w:tcPr>
            <w:tcW w:w="864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left"/>
              <w:textAlignment w:val="auto"/>
              <w:outlineLvl w:val="9"/>
              <w:rPr>
                <w:rFonts w:ascii="宋体" w:cs="宋体"/>
                <w:bCs/>
                <w:snapToGrid w:val="0"/>
                <w:color w:val="000000"/>
                <w:sz w:val="24"/>
                <w:szCs w:val="21"/>
              </w:rPr>
            </w:pPr>
            <w:r>
              <w:rPr>
                <w:rFonts w:hint="eastAsia" w:ascii="宋体" w:hAnsi="宋体" w:cs="宋体"/>
                <w:b/>
                <w:snapToGrid w:val="0"/>
                <w:color w:val="000000"/>
                <w:sz w:val="24"/>
                <w:szCs w:val="21"/>
                <w:lang w:val="en-US" w:eastAsia="zh-CN"/>
              </w:rPr>
              <w:t xml:space="preserve">    </w:t>
            </w:r>
            <w:r>
              <w:rPr>
                <w:rFonts w:hint="eastAsia" w:ascii="宋体" w:hAnsi="宋体" w:cs="宋体"/>
                <w:b/>
                <w:snapToGrid w:val="0"/>
                <w:color w:val="000000"/>
                <w:sz w:val="24"/>
                <w:szCs w:val="21"/>
              </w:rPr>
              <w:t>中心城市公共文化重点工程</w:t>
            </w:r>
            <w:r>
              <w:rPr>
                <w:rFonts w:hint="eastAsia" w:ascii="宋体" w:hAnsi="宋体" w:cs="宋体"/>
                <w:bCs/>
                <w:snapToGrid w:val="0"/>
                <w:color w:val="000000"/>
                <w:sz w:val="24"/>
                <w:szCs w:val="21"/>
              </w:rPr>
              <w:t>：建设汉江大剧院</w:t>
            </w:r>
            <w:r>
              <w:rPr>
                <w:rFonts w:hint="eastAsia" w:ascii="宋体" w:hAnsi="宋体" w:eastAsia="宋体" w:cs="宋体"/>
                <w:bCs/>
                <w:snapToGrid w:val="0"/>
                <w:color w:val="000000"/>
                <w:sz w:val="24"/>
                <w:szCs w:val="21"/>
              </w:rPr>
              <w:t>、</w:t>
            </w:r>
            <w:r>
              <w:rPr>
                <w:rFonts w:hint="eastAsia" w:ascii="宋体" w:hAnsi="宋体" w:cs="宋体"/>
                <w:bCs/>
                <w:snapToGrid w:val="0"/>
                <w:color w:val="000000"/>
                <w:sz w:val="24"/>
                <w:szCs w:val="21"/>
              </w:rPr>
              <w:t>香溪书院</w:t>
            </w:r>
            <w:r>
              <w:rPr>
                <w:rFonts w:hint="eastAsia" w:ascii="宋体" w:hAnsi="宋体" w:eastAsia="宋体" w:cs="宋体"/>
                <w:bCs/>
                <w:snapToGrid w:val="0"/>
                <w:color w:val="000000"/>
                <w:sz w:val="24"/>
                <w:szCs w:val="21"/>
              </w:rPr>
              <w:t>、</w:t>
            </w:r>
            <w:r>
              <w:rPr>
                <w:rFonts w:hint="eastAsia" w:ascii="宋体" w:hAnsi="宋体" w:cs="宋体"/>
                <w:bCs/>
                <w:snapToGrid w:val="0"/>
                <w:color w:val="000000"/>
                <w:sz w:val="24"/>
                <w:szCs w:val="21"/>
              </w:rPr>
              <w:t>安康科技馆</w:t>
            </w:r>
            <w:r>
              <w:rPr>
                <w:rFonts w:hint="eastAsia" w:ascii="宋体" w:hAnsi="宋体" w:eastAsia="宋体" w:cs="宋体"/>
                <w:bCs/>
                <w:snapToGrid w:val="0"/>
                <w:color w:val="000000"/>
                <w:sz w:val="24"/>
                <w:szCs w:val="21"/>
              </w:rPr>
              <w:t>、安康美术馆</w:t>
            </w:r>
            <w:r>
              <w:rPr>
                <w:rFonts w:hint="eastAsia" w:ascii="宋体" w:hAnsi="宋体" w:cs="宋体"/>
                <w:bCs/>
                <w:snapToGrid w:val="0"/>
                <w:color w:val="000000"/>
                <w:sz w:val="24"/>
                <w:szCs w:val="21"/>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2" w:firstLineChars="200"/>
              <w:jc w:val="left"/>
              <w:textAlignment w:val="auto"/>
              <w:outlineLvl w:val="9"/>
              <w:rPr>
                <w:rFonts w:hint="eastAsia" w:ascii="宋体" w:hAnsi="宋体" w:cs="宋体"/>
                <w:bCs/>
                <w:snapToGrid w:val="0"/>
                <w:color w:val="000000"/>
                <w:spacing w:val="4"/>
                <w:sz w:val="24"/>
              </w:rPr>
            </w:pPr>
            <w:r>
              <w:rPr>
                <w:rFonts w:hint="eastAsia" w:ascii="宋体" w:hAnsi="宋体" w:cs="宋体"/>
                <w:b/>
                <w:snapToGrid w:val="0"/>
                <w:color w:val="000000"/>
                <w:sz w:val="24"/>
                <w:szCs w:val="21"/>
              </w:rPr>
              <w:t>县区公共文化重点工程：</w:t>
            </w:r>
            <w:r>
              <w:rPr>
                <w:rFonts w:hint="eastAsia" w:ascii="宋体" w:hAnsi="宋体" w:cs="宋体"/>
                <w:bCs/>
                <w:snapToGrid w:val="0"/>
                <w:color w:val="000000"/>
                <w:spacing w:val="4"/>
                <w:sz w:val="24"/>
              </w:rPr>
              <w:t>建设县区博物馆</w:t>
            </w:r>
            <w:r>
              <w:rPr>
                <w:rFonts w:ascii="宋体" w:hAnsi="宋体" w:cs="宋体"/>
                <w:bCs/>
                <w:snapToGrid w:val="0"/>
                <w:color w:val="000000"/>
                <w:spacing w:val="4"/>
                <w:sz w:val="24"/>
              </w:rPr>
              <w:t>25</w:t>
            </w:r>
            <w:r>
              <w:rPr>
                <w:rFonts w:hint="eastAsia" w:ascii="宋体" w:hAnsi="宋体" w:cs="宋体"/>
                <w:bCs/>
                <w:snapToGrid w:val="0"/>
                <w:color w:val="000000"/>
                <w:spacing w:val="4"/>
                <w:sz w:val="24"/>
              </w:rPr>
              <w:t>个</w:t>
            </w:r>
            <w:r>
              <w:rPr>
                <w:rFonts w:hint="eastAsia" w:ascii="宋体" w:hAnsi="宋体" w:cs="宋体"/>
                <w:bCs/>
                <w:snapToGrid w:val="0"/>
                <w:color w:val="000000"/>
                <w:spacing w:val="4"/>
                <w:sz w:val="24"/>
                <w:lang w:eastAsia="zh-CN"/>
              </w:rPr>
              <w:t>、</w:t>
            </w:r>
            <w:r>
              <w:rPr>
                <w:rFonts w:hint="eastAsia" w:ascii="宋体" w:hAnsi="宋体" w:cs="宋体"/>
                <w:bCs/>
                <w:snapToGrid w:val="0"/>
                <w:color w:val="000000"/>
                <w:spacing w:val="4"/>
                <w:sz w:val="24"/>
              </w:rPr>
              <w:t>剧场11个、图书馆11个、文化馆12个</w:t>
            </w:r>
            <w:r>
              <w:rPr>
                <w:rFonts w:hint="eastAsia" w:ascii="宋体" w:hAnsi="宋体" w:cs="宋体"/>
                <w:bCs/>
                <w:snapToGrid w:val="0"/>
                <w:color w:val="000000"/>
                <w:spacing w:val="4"/>
                <w:sz w:val="24"/>
                <w:lang w:eastAsia="zh-CN"/>
              </w:rPr>
              <w:t>和工人文化宫</w:t>
            </w:r>
            <w:r>
              <w:rPr>
                <w:rFonts w:hint="eastAsia" w:ascii="宋体" w:hAnsi="宋体" w:cs="宋体"/>
                <w:bCs/>
                <w:snapToGrid w:val="0"/>
                <w:color w:val="000000"/>
                <w:spacing w:val="4"/>
                <w:sz w:val="24"/>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2" w:firstLineChars="200"/>
              <w:jc w:val="left"/>
              <w:textAlignment w:val="auto"/>
              <w:outlineLvl w:val="9"/>
              <w:rPr>
                <w:rFonts w:hint="eastAsia" w:ascii="宋体" w:hAnsi="宋体" w:cs="宋体"/>
                <w:bCs/>
                <w:snapToGrid w:val="0"/>
                <w:color w:val="000000"/>
                <w:sz w:val="24"/>
                <w:szCs w:val="21"/>
              </w:rPr>
            </w:pPr>
            <w:r>
              <w:rPr>
                <w:rFonts w:hint="eastAsia" w:ascii="宋体" w:hAnsi="宋体" w:cs="宋体"/>
                <w:b/>
                <w:snapToGrid w:val="0"/>
                <w:color w:val="000000"/>
                <w:sz w:val="24"/>
                <w:szCs w:val="21"/>
              </w:rPr>
              <w:t>乡镇文化活动场站重点工程：</w:t>
            </w:r>
            <w:r>
              <w:rPr>
                <w:rFonts w:hint="eastAsia" w:ascii="宋体" w:hAnsi="宋体" w:cs="宋体"/>
                <w:bCs/>
                <w:snapToGrid w:val="0"/>
                <w:color w:val="000000"/>
                <w:sz w:val="24"/>
                <w:szCs w:val="21"/>
              </w:rPr>
              <w:t>建设镇级文化广场</w:t>
            </w:r>
            <w:r>
              <w:rPr>
                <w:rFonts w:ascii="宋体" w:hAnsi="宋体" w:cs="宋体"/>
                <w:bCs/>
                <w:snapToGrid w:val="0"/>
                <w:color w:val="000000"/>
                <w:sz w:val="24"/>
                <w:szCs w:val="21"/>
              </w:rPr>
              <w:t>100</w:t>
            </w:r>
            <w:r>
              <w:rPr>
                <w:rFonts w:hint="eastAsia" w:ascii="宋体" w:hAnsi="宋体" w:cs="宋体"/>
                <w:bCs/>
                <w:snapToGrid w:val="0"/>
                <w:color w:val="000000"/>
                <w:sz w:val="24"/>
                <w:szCs w:val="21"/>
              </w:rPr>
              <w:t>个，改造提升镇综合文化站</w:t>
            </w:r>
            <w:r>
              <w:rPr>
                <w:rFonts w:hint="eastAsia" w:ascii="宋体" w:hAnsi="宋体" w:eastAsia="宋体" w:cs="宋体"/>
                <w:bCs/>
                <w:snapToGrid w:val="0"/>
                <w:color w:val="000000"/>
                <w:sz w:val="24"/>
                <w:szCs w:val="21"/>
              </w:rPr>
              <w:t>，</w:t>
            </w:r>
            <w:r>
              <w:rPr>
                <w:rFonts w:hint="eastAsia" w:ascii="宋体" w:hAnsi="宋体" w:cs="宋体"/>
                <w:bCs/>
                <w:snapToGrid w:val="0"/>
                <w:color w:val="000000"/>
                <w:sz w:val="24"/>
                <w:szCs w:val="21"/>
              </w:rPr>
              <w:t>行政村（社区）和避灾移民社区文化中心全覆盖。</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2" w:firstLineChars="200"/>
              <w:jc w:val="left"/>
              <w:textAlignment w:val="auto"/>
              <w:outlineLvl w:val="9"/>
              <w:rPr>
                <w:rFonts w:hint="eastAsia" w:ascii="宋体" w:hAnsi="宋体" w:eastAsia="宋体" w:cs="宋体"/>
                <w:bCs/>
                <w:snapToGrid w:val="0"/>
                <w:color w:val="000000"/>
                <w:sz w:val="24"/>
                <w:szCs w:val="21"/>
              </w:rPr>
            </w:pPr>
            <w:r>
              <w:rPr>
                <w:rFonts w:hint="eastAsia" w:ascii="宋体" w:hAnsi="宋体" w:cs="宋体"/>
                <w:b/>
                <w:snapToGrid w:val="0"/>
                <w:color w:val="000000"/>
                <w:sz w:val="24"/>
                <w:szCs w:val="21"/>
              </w:rPr>
              <w:t>公共文化示范项目：</w:t>
            </w:r>
            <w:r>
              <w:rPr>
                <w:rFonts w:hint="eastAsia" w:ascii="宋体" w:hAnsi="宋体" w:cs="宋体"/>
                <w:bCs/>
                <w:snapToGrid w:val="0"/>
                <w:color w:val="000000"/>
                <w:sz w:val="24"/>
                <w:szCs w:val="21"/>
              </w:rPr>
              <w:t>每年支持2个“一县一品”</w:t>
            </w:r>
            <w:r>
              <w:rPr>
                <w:rFonts w:hint="eastAsia" w:ascii="宋体" w:hAnsi="宋体" w:cs="宋体"/>
                <w:bCs/>
                <w:snapToGrid w:val="0"/>
                <w:color w:val="000000"/>
                <w:sz w:val="24"/>
                <w:szCs w:val="21"/>
                <w:lang w:eastAsia="zh-CN"/>
              </w:rPr>
              <w:t>和</w:t>
            </w:r>
            <w:r>
              <w:rPr>
                <w:rFonts w:hint="eastAsia" w:ascii="宋体" w:hAnsi="宋体" w:cs="宋体"/>
                <w:bCs/>
                <w:snapToGrid w:val="0"/>
                <w:color w:val="000000"/>
                <w:sz w:val="24"/>
                <w:szCs w:val="21"/>
              </w:rPr>
              <w:t>“一镇一特色”示范项目。</w:t>
            </w:r>
          </w:p>
        </w:tc>
      </w:tr>
    </w:tbl>
    <w:p>
      <w:pPr>
        <w:spacing w:line="560" w:lineRule="exact"/>
        <w:outlineLvl w:val="1"/>
        <w:rPr>
          <w:rFonts w:hint="eastAsia" w:eastAsia="仿宋_GB2312" w:cs="仿宋_GB2312"/>
          <w:bCs/>
          <w:color w:val="000000"/>
          <w:kern w:val="0"/>
          <w:sz w:val="32"/>
          <w:szCs w:val="32"/>
        </w:rPr>
      </w:pPr>
      <w:bookmarkStart w:id="70" w:name="_Toc208"/>
      <w:bookmarkStart w:id="71" w:name="_Toc436739654"/>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1"/>
        <w:rPr>
          <w:rFonts w:hint="eastAsia" w:ascii="黑体" w:eastAsia="黑体"/>
          <w:bCs/>
          <w:snapToGrid w:val="0"/>
          <w:color w:val="000000"/>
          <w:spacing w:val="6"/>
          <w:kern w:val="0"/>
          <w:sz w:val="32"/>
          <w:szCs w:val="32"/>
        </w:rPr>
      </w:pPr>
      <w:r>
        <w:rPr>
          <w:rFonts w:hint="eastAsia" w:ascii="黑体" w:eastAsia="黑体"/>
          <w:bCs/>
          <w:snapToGrid w:val="0"/>
          <w:color w:val="000000"/>
          <w:spacing w:val="6"/>
          <w:kern w:val="0"/>
          <w:sz w:val="32"/>
          <w:szCs w:val="32"/>
        </w:rPr>
        <w:t>第四十一节</w:t>
      </w:r>
      <w:r>
        <w:rPr>
          <w:rFonts w:hint="eastAsia" w:ascii="黑体" w:eastAsia="黑体"/>
          <w:bCs/>
          <w:snapToGrid w:val="0"/>
          <w:color w:val="000000"/>
          <w:spacing w:val="6"/>
          <w:kern w:val="0"/>
          <w:sz w:val="32"/>
          <w:szCs w:val="32"/>
          <w:lang w:val="en-US" w:eastAsia="zh-CN"/>
        </w:rPr>
        <w:t xml:space="preserve">  </w:t>
      </w:r>
      <w:r>
        <w:rPr>
          <w:rFonts w:hint="eastAsia" w:ascii="黑体" w:eastAsia="黑体"/>
          <w:bCs/>
          <w:snapToGrid w:val="0"/>
          <w:color w:val="000000"/>
          <w:spacing w:val="6"/>
          <w:kern w:val="0"/>
          <w:sz w:val="32"/>
          <w:szCs w:val="32"/>
        </w:rPr>
        <w:t>增强社会</w:t>
      </w:r>
      <w:r>
        <w:rPr>
          <w:rFonts w:hint="eastAsia" w:ascii="黑体" w:eastAsia="黑体" w:cs="仿宋_GB2312"/>
          <w:bCs/>
          <w:color w:val="000000"/>
          <w:kern w:val="0"/>
          <w:sz w:val="32"/>
          <w:szCs w:val="32"/>
        </w:rPr>
        <w:t>治理</w:t>
      </w:r>
      <w:r>
        <w:rPr>
          <w:rFonts w:hint="eastAsia" w:ascii="黑体" w:eastAsia="黑体"/>
          <w:bCs/>
          <w:snapToGrid w:val="0"/>
          <w:color w:val="000000"/>
          <w:spacing w:val="6"/>
          <w:kern w:val="0"/>
          <w:sz w:val="32"/>
          <w:szCs w:val="32"/>
        </w:rPr>
        <w:t>能力</w:t>
      </w:r>
      <w:bookmarkEnd w:id="70"/>
      <w:bookmarkEnd w:id="71"/>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eastAsia="仿宋_GB2312"/>
          <w:snapToGrid w:val="0"/>
          <w:color w:val="000000"/>
          <w:kern w:val="0"/>
          <w:sz w:val="32"/>
          <w:szCs w:val="32"/>
        </w:rPr>
      </w:pPr>
      <w:r>
        <w:rPr>
          <w:rFonts w:hint="eastAsia" w:eastAsia="仿宋_GB2312"/>
          <w:bCs/>
          <w:snapToGrid w:val="0"/>
          <w:color w:val="000000"/>
          <w:kern w:val="0"/>
          <w:sz w:val="32"/>
          <w:szCs w:val="32"/>
        </w:rPr>
        <w:t>切实发挥法治建设规范引领作用，</w:t>
      </w:r>
      <w:r>
        <w:rPr>
          <w:rFonts w:hint="eastAsia" w:eastAsia="仿宋_GB2312"/>
          <w:snapToGrid w:val="0"/>
          <w:color w:val="000000"/>
          <w:kern w:val="0"/>
          <w:sz w:val="32"/>
          <w:szCs w:val="32"/>
        </w:rPr>
        <w:t>加快法治安康建设，科学立法、严格执法、公正司法、全民守法，为经济社会发展营造民主、公正、高效、权威的良好法治环境。全面推进依法行政，建设法治政府，大力推进政府信息公开。完善依法决策机制，把公众参与、风险评估、合法性审查等作为重大行政决策法定程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eastAsia="仿宋_GB2312"/>
          <w:snapToGrid w:val="0"/>
          <w:color w:val="000000"/>
          <w:kern w:val="0"/>
          <w:sz w:val="32"/>
          <w:szCs w:val="32"/>
        </w:rPr>
      </w:pPr>
      <w:r>
        <w:rPr>
          <w:rFonts w:hint="eastAsia" w:eastAsia="仿宋_GB2312"/>
          <w:snapToGrid w:val="0"/>
          <w:color w:val="000000"/>
          <w:kern w:val="0"/>
          <w:sz w:val="32"/>
          <w:szCs w:val="32"/>
        </w:rPr>
        <w:t>深化行政执法体制改革，落实行政执法责任制，合理配置执法力量，推进执法重心下移。创新司法工作机制，规范司法行为，强化司法监督，促进公正司法，提高司法公信力。加大司法救助和法律援助力度。加强法治宣传教育，增强全社会特别是公职人员尊法、学法、守法、用法观念，在全社会形成良好法治氛围和法治习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eastAsia="仿宋_GB2312"/>
          <w:snapToGrid w:val="0"/>
          <w:color w:val="000000"/>
          <w:kern w:val="0"/>
          <w:sz w:val="32"/>
          <w:szCs w:val="32"/>
        </w:rPr>
      </w:pPr>
      <w:r>
        <w:rPr>
          <w:rFonts w:hint="eastAsia" w:eastAsia="仿宋_GB2312"/>
          <w:snapToGrid w:val="0"/>
          <w:color w:val="000000"/>
          <w:kern w:val="0"/>
          <w:sz w:val="32"/>
          <w:szCs w:val="32"/>
        </w:rPr>
        <w:t>坚持政府主导、多元参与、共建共治，</w:t>
      </w:r>
      <w:r>
        <w:rPr>
          <w:rFonts w:hint="eastAsia" w:eastAsia="仿宋_GB2312"/>
          <w:bCs/>
          <w:snapToGrid w:val="0"/>
          <w:color w:val="000000"/>
          <w:kern w:val="0"/>
          <w:sz w:val="32"/>
          <w:szCs w:val="32"/>
        </w:rPr>
        <w:t>着力创新社会治理方式，</w:t>
      </w:r>
      <w:r>
        <w:rPr>
          <w:rFonts w:hint="eastAsia" w:eastAsia="仿宋_GB2312"/>
          <w:snapToGrid w:val="0"/>
          <w:color w:val="000000"/>
          <w:kern w:val="0"/>
          <w:sz w:val="32"/>
          <w:szCs w:val="32"/>
        </w:rPr>
        <w:t>推进政府治理和社会自我调节、居民自治的良性互动。完善政府社会治理和公共服务职能，推进政府由管理型向服务型转变。深入推进镇村综合改革，</w:t>
      </w:r>
      <w:r>
        <w:rPr>
          <w:rFonts w:hint="eastAsia" w:eastAsia="仿宋_GB2312"/>
          <w:snapToGrid w:val="0"/>
          <w:color w:val="000000"/>
          <w:kern w:val="0"/>
          <w:sz w:val="32"/>
          <w:szCs w:val="32"/>
          <w:lang w:eastAsia="zh-CN"/>
        </w:rPr>
        <w:t>创新城乡群众基层组织和社会治理，</w:t>
      </w:r>
      <w:r>
        <w:rPr>
          <w:rFonts w:hint="eastAsia" w:eastAsia="仿宋_GB2312"/>
          <w:snapToGrid w:val="0"/>
          <w:color w:val="000000"/>
          <w:kern w:val="0"/>
          <w:sz w:val="32"/>
          <w:szCs w:val="32"/>
        </w:rPr>
        <w:t>不断提高镇</w:t>
      </w:r>
      <w:r>
        <w:rPr>
          <w:rFonts w:hint="eastAsia" w:eastAsia="仿宋_GB2312"/>
          <w:snapToGrid w:val="0"/>
          <w:color w:val="000000"/>
          <w:kern w:val="0"/>
          <w:sz w:val="32"/>
          <w:szCs w:val="32"/>
          <w:lang w:eastAsia="zh-CN"/>
        </w:rPr>
        <w:t>、</w:t>
      </w:r>
      <w:r>
        <w:rPr>
          <w:rFonts w:hint="eastAsia" w:eastAsia="仿宋_GB2312"/>
          <w:snapToGrid w:val="0"/>
          <w:color w:val="000000"/>
          <w:kern w:val="0"/>
          <w:sz w:val="32"/>
          <w:szCs w:val="32"/>
        </w:rPr>
        <w:t>村治理能力。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eastAsia="仿宋_GB2312"/>
          <w:snapToGrid w:val="0"/>
          <w:color w:val="000000"/>
          <w:kern w:val="0"/>
          <w:sz w:val="32"/>
          <w:szCs w:val="32"/>
        </w:rPr>
      </w:pPr>
      <w:r>
        <w:rPr>
          <w:rFonts w:hint="eastAsia" w:eastAsia="仿宋_GB2312"/>
          <w:snapToGrid w:val="0"/>
          <w:color w:val="000000"/>
          <w:kern w:val="0"/>
          <w:sz w:val="32"/>
          <w:szCs w:val="32"/>
        </w:rPr>
        <w:t>加快城乡社区建设，健全新型社区管理和服务体制，推行城乡社会网格化管理，强化县区治理责任，发挥县区在宜居城市建设中</w:t>
      </w:r>
      <w:r>
        <w:rPr>
          <w:rFonts w:hint="eastAsia" w:eastAsia="仿宋_GB2312"/>
          <w:snapToGrid w:val="0"/>
          <w:color w:val="000000"/>
          <w:kern w:val="0"/>
          <w:sz w:val="32"/>
          <w:szCs w:val="32"/>
          <w:lang w:eastAsia="zh-CN"/>
        </w:rPr>
        <w:t>的</w:t>
      </w:r>
      <w:r>
        <w:rPr>
          <w:rFonts w:hint="eastAsia" w:eastAsia="仿宋_GB2312"/>
          <w:snapToGrid w:val="0"/>
          <w:color w:val="000000"/>
          <w:kern w:val="0"/>
          <w:sz w:val="32"/>
          <w:szCs w:val="32"/>
        </w:rPr>
        <w:t>关键作用。培育和推进各类社会组织健康发展，引导社会组织广泛参与社会事务，充分发挥提供服务、反映诉求、规范行为等作用。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eastAsia="仿宋_GB2312"/>
          <w:snapToGrid w:val="0"/>
          <w:color w:val="000000"/>
          <w:kern w:val="0"/>
          <w:sz w:val="32"/>
          <w:szCs w:val="32"/>
        </w:rPr>
      </w:pPr>
      <w:r>
        <w:rPr>
          <w:rFonts w:hint="eastAsia" w:eastAsia="仿宋_GB2312"/>
          <w:snapToGrid w:val="0"/>
          <w:color w:val="000000"/>
          <w:kern w:val="0"/>
          <w:sz w:val="32"/>
          <w:szCs w:val="32"/>
        </w:rPr>
        <w:t>深入开展精神文明建设和省级文明城市创建，</w:t>
      </w:r>
      <w:r>
        <w:rPr>
          <w:rFonts w:hint="eastAsia" w:eastAsia="仿宋_GB2312"/>
          <w:snapToGrid w:val="0"/>
          <w:color w:val="000000"/>
          <w:kern w:val="0"/>
          <w:sz w:val="32"/>
          <w:szCs w:val="32"/>
          <w:lang w:eastAsia="zh-CN"/>
        </w:rPr>
        <w:t>以政务诚信、商务诚信、社会诚信和司法公信为重点，</w:t>
      </w:r>
      <w:r>
        <w:rPr>
          <w:rFonts w:hint="eastAsia" w:eastAsia="仿宋_GB2312"/>
          <w:snapToGrid w:val="0"/>
          <w:color w:val="000000"/>
          <w:kern w:val="0"/>
          <w:sz w:val="32"/>
          <w:szCs w:val="32"/>
        </w:rPr>
        <w:t>推进“信用安康”和社会信用体系建设，不断提升市民综合素质</w:t>
      </w:r>
      <w:r>
        <w:rPr>
          <w:rFonts w:hint="eastAsia" w:eastAsia="仿宋_GB2312"/>
          <w:snapToGrid w:val="0"/>
          <w:color w:val="000000"/>
          <w:kern w:val="0"/>
          <w:sz w:val="32"/>
          <w:szCs w:val="32"/>
          <w:lang w:eastAsia="zh-CN"/>
        </w:rPr>
        <w:t>和全社会诚信水平</w:t>
      </w:r>
      <w:r>
        <w:rPr>
          <w:rFonts w:hint="eastAsia" w:eastAsia="仿宋_GB2312"/>
          <w:snapToGrid w:val="0"/>
          <w:color w:val="000000"/>
          <w:kern w:val="0"/>
          <w:sz w:val="32"/>
          <w:szCs w:val="32"/>
        </w:rPr>
        <w:t>，形成规范有序、公平诚信的市场秩序和社会环境。加强思想政治工作，创新群众工作体制机制和方式方法，加强社会矛盾纠纷化解，完善多元化纠纷解决机制。加强流动人口和特殊人群服务管理。深化信访制度改革，把信访纳入法治化轨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eastAsia="仿宋_GB2312"/>
          <w:snapToGrid w:val="0"/>
          <w:color w:val="000000"/>
          <w:kern w:val="0"/>
          <w:sz w:val="32"/>
          <w:szCs w:val="32"/>
        </w:rPr>
      </w:pPr>
      <w:r>
        <w:rPr>
          <w:rFonts w:hint="eastAsia" w:eastAsia="仿宋_GB2312"/>
          <w:snapToGrid w:val="0"/>
          <w:color w:val="000000"/>
          <w:kern w:val="0"/>
          <w:sz w:val="32"/>
          <w:szCs w:val="32"/>
        </w:rPr>
        <w:t>加强社会治安综合治理，以全国综治优秀市创建为契机，扎实推进平安安康建设，构建城乡社会治安、危险物品和重点行业、信息网络安全等防控网络。牢固树立安全发展理念，建立健全安全责任体系，实行党政同责、一岗双责、失职追责，强化公共安全管理，坚决遏制重特大事故发生。加强互联网建设和管理，确保网络和信息安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eastAsia="仿宋_GB2312"/>
          <w:snapToGrid w:val="0"/>
          <w:color w:val="000000"/>
          <w:kern w:val="0"/>
          <w:sz w:val="32"/>
          <w:szCs w:val="32"/>
        </w:rPr>
      </w:pPr>
      <w:r>
        <w:rPr>
          <w:rFonts w:hint="eastAsia" w:eastAsia="仿宋_GB2312"/>
          <w:snapToGrid w:val="0"/>
          <w:color w:val="000000"/>
          <w:kern w:val="0"/>
          <w:sz w:val="32"/>
          <w:szCs w:val="32"/>
        </w:rPr>
        <w:t>加强政法基础设施和警务装备建设，提升国防动员和国民经济保障能力。完善立体化社会治安防控体系，依法严厉打击暴力恐怖、邪教、黄赌毒、涉众型经济犯罪等违法犯罪活动，切实增强人民群众安全感和满意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eastAsia="仿宋_GB2312"/>
          <w:snapToGrid w:val="0"/>
          <w:color w:val="000000"/>
          <w:kern w:val="0"/>
          <w:sz w:val="32"/>
          <w:szCs w:val="32"/>
        </w:rPr>
      </w:pPr>
      <w:r>
        <w:rPr>
          <w:rFonts w:hint="eastAsia" w:eastAsia="仿宋_GB2312"/>
          <w:snapToGrid w:val="0"/>
          <w:color w:val="000000"/>
          <w:kern w:val="0"/>
          <w:sz w:val="32"/>
          <w:szCs w:val="32"/>
        </w:rPr>
        <w:t>依法加强应急管理，统筹推进应急预案演练、监测预警、应急队伍、物资储备、应急平台、科普宣教等应急体系建设，提升应对自然灾害、事故灾难、公共卫生</w:t>
      </w:r>
      <w:r>
        <w:rPr>
          <w:rFonts w:hint="eastAsia" w:eastAsia="仿宋_GB2312"/>
          <w:snapToGrid w:val="0"/>
          <w:color w:val="000000"/>
          <w:kern w:val="0"/>
          <w:sz w:val="32"/>
          <w:szCs w:val="32"/>
          <w:lang w:eastAsia="zh-CN"/>
        </w:rPr>
        <w:t>和</w:t>
      </w:r>
      <w:r>
        <w:rPr>
          <w:rFonts w:hint="eastAsia" w:eastAsia="仿宋_GB2312"/>
          <w:snapToGrid w:val="0"/>
          <w:color w:val="000000"/>
          <w:kern w:val="0"/>
          <w:sz w:val="32"/>
          <w:szCs w:val="32"/>
        </w:rPr>
        <w:t>社会安全事件的能力，增强全民防灾避灾意识和减灾自救技能，构建与公共安全风险相适应、与国家安全相衔接的突发事件应急体系。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eastAsia="仿宋_GB2312"/>
          <w:snapToGrid w:val="0"/>
          <w:color w:val="000000"/>
          <w:kern w:val="0"/>
          <w:sz w:val="32"/>
          <w:szCs w:val="32"/>
          <w:lang w:val="en-US" w:eastAsia="zh-CN"/>
        </w:rPr>
      </w:pPr>
      <w:r>
        <w:rPr>
          <w:rFonts w:hint="eastAsia" w:eastAsia="仿宋_GB2312"/>
          <w:snapToGrid w:val="0"/>
          <w:color w:val="000000"/>
          <w:kern w:val="0"/>
          <w:sz w:val="32"/>
          <w:szCs w:val="32"/>
          <w:lang w:val="en-US" w:eastAsia="zh-CN"/>
        </w:rPr>
        <w:t>深入推进军民融合，深化全民国防教育，支持部队和民兵预备役建设，巩固和发展军政军民团结。深入开展拥军优属、拥政爱民活动，创建全国双拥模范城市。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eastAsia="仿宋_GB2312"/>
          <w:snapToGrid w:val="0"/>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eastAsia" w:ascii="方正小标宋简体" w:hAnsi="黑体" w:eastAsia="方正小标宋简体" w:cs="黑体"/>
          <w:color w:val="000000"/>
          <w:sz w:val="36"/>
          <w:szCs w:val="36"/>
        </w:rPr>
      </w:pPr>
      <w:bookmarkStart w:id="72" w:name="_Toc436739660"/>
      <w:bookmarkStart w:id="73" w:name="_Toc10521"/>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eastAsia" w:ascii="方正小标宋简体" w:hAnsi="黑体" w:eastAsia="方正小标宋简体" w:cs="黑体"/>
          <w:color w:val="000000"/>
          <w:sz w:val="36"/>
          <w:szCs w:val="36"/>
        </w:rPr>
      </w:pPr>
      <w:r>
        <w:rPr>
          <w:rFonts w:hint="eastAsia" w:ascii="方正小标宋简体" w:hAnsi="黑体" w:eastAsia="方正小标宋简体" w:cs="黑体"/>
          <w:color w:val="000000"/>
          <w:sz w:val="36"/>
          <w:szCs w:val="36"/>
        </w:rPr>
        <w:t>第十章</w:t>
      </w:r>
      <w:bookmarkEnd w:id="72"/>
      <w:r>
        <w:rPr>
          <w:rFonts w:hint="eastAsia" w:ascii="方正小标宋简体" w:hAnsi="黑体" w:eastAsia="方正小标宋简体" w:cs="黑体"/>
          <w:color w:val="000000"/>
          <w:sz w:val="36"/>
          <w:szCs w:val="36"/>
          <w:lang w:val="en-US" w:eastAsia="zh-CN"/>
        </w:rPr>
        <w:t xml:space="preserve">  </w:t>
      </w:r>
      <w:r>
        <w:rPr>
          <w:rFonts w:hint="eastAsia" w:ascii="方正小标宋简体" w:hAnsi="黑体" w:eastAsia="方正小标宋简体" w:cs="黑体"/>
          <w:color w:val="000000"/>
          <w:sz w:val="36"/>
          <w:szCs w:val="36"/>
        </w:rPr>
        <w:t>凝心聚力　强力组织规划实施</w:t>
      </w:r>
      <w:bookmarkEnd w:id="73"/>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eastAsia="仿宋_GB2312"/>
          <w:snapToGrid w:val="0"/>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eastAsia="仿宋_GB2312" w:cs="仿宋_GB2312"/>
          <w:color w:val="000000"/>
          <w:kern w:val="0"/>
          <w:sz w:val="32"/>
          <w:szCs w:val="32"/>
        </w:rPr>
      </w:pPr>
      <w:r>
        <w:rPr>
          <w:rFonts w:hint="eastAsia" w:eastAsia="仿宋_GB2312"/>
          <w:snapToGrid w:val="0"/>
          <w:color w:val="000000"/>
          <w:kern w:val="0"/>
          <w:sz w:val="32"/>
          <w:szCs w:val="32"/>
        </w:rPr>
        <w:t>本规划</w:t>
      </w:r>
      <w:r>
        <w:rPr>
          <w:rFonts w:hint="eastAsia" w:eastAsia="仿宋_GB2312"/>
          <w:snapToGrid w:val="0"/>
          <w:color w:val="000000"/>
          <w:kern w:val="0"/>
          <w:sz w:val="32"/>
          <w:szCs w:val="32"/>
          <w:lang w:eastAsia="zh-CN"/>
        </w:rPr>
        <w:t>纲要</w:t>
      </w:r>
      <w:r>
        <w:rPr>
          <w:rFonts w:hint="eastAsia" w:eastAsia="仿宋_GB2312"/>
          <w:snapToGrid w:val="0"/>
          <w:color w:val="000000"/>
          <w:kern w:val="0"/>
          <w:sz w:val="32"/>
          <w:szCs w:val="32"/>
        </w:rPr>
        <w:t>是今后五年全市经济社会发展的纲领性文件，经市人民代表大会审议批准后，要举全市之力实现未来五年发展宏伟蓝图。</w:t>
      </w:r>
      <w:r>
        <w:rPr>
          <w:rFonts w:hint="eastAsia" w:eastAsia="仿宋_GB2312" w:cs="仿宋_GB2312"/>
          <w:color w:val="000000"/>
          <w:kern w:val="0"/>
          <w:sz w:val="32"/>
          <w:szCs w:val="32"/>
        </w:rPr>
        <w:t>推动规划</w:t>
      </w:r>
      <w:r>
        <w:rPr>
          <w:rFonts w:hint="eastAsia" w:eastAsia="仿宋_GB2312" w:cs="仿宋_GB2312"/>
          <w:color w:val="000000"/>
          <w:kern w:val="0"/>
          <w:sz w:val="32"/>
          <w:szCs w:val="32"/>
          <w:lang w:eastAsia="zh-CN"/>
        </w:rPr>
        <w:t>纲要</w:t>
      </w:r>
      <w:r>
        <w:rPr>
          <w:rFonts w:hint="eastAsia" w:eastAsia="仿宋_GB2312" w:cs="仿宋_GB2312"/>
          <w:color w:val="000000"/>
          <w:kern w:val="0"/>
          <w:sz w:val="32"/>
          <w:szCs w:val="32"/>
        </w:rPr>
        <w:t>实施，必须充分发挥党总揽全局、协调各方的领导核心作用，调动一些积极因素，团结一切社会力量，凝聚规划落实的强大合力</w:t>
      </w:r>
      <w:r>
        <w:rPr>
          <w:rFonts w:hint="eastAsia" w:eastAsia="仿宋_GB2312" w:cs="仿宋_GB2312"/>
          <w:color w:val="000000"/>
          <w:kern w:val="0"/>
          <w:sz w:val="32"/>
          <w:szCs w:val="32"/>
          <w:lang w:eastAsia="zh-CN"/>
        </w:rPr>
        <w:t>，确保规划各项目标任务顺利实现</w:t>
      </w:r>
      <w:r>
        <w:rPr>
          <w:rFonts w:hint="eastAsia" w:eastAsia="仿宋_GB2312" w:cs="仿宋_GB2312"/>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1"/>
        <w:rPr>
          <w:rFonts w:hint="eastAsia" w:eastAsia="仿宋_GB2312" w:cs="仿宋_GB2312"/>
          <w:color w:val="000000"/>
          <w:kern w:val="0"/>
          <w:sz w:val="32"/>
          <w:szCs w:val="32"/>
        </w:rPr>
      </w:pPr>
      <w:bookmarkStart w:id="74" w:name="_Toc15252"/>
      <w:bookmarkStart w:id="75" w:name="_Toc436739661"/>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1"/>
        <w:rPr>
          <w:rFonts w:eastAsia="黑体"/>
          <w:bCs/>
          <w:snapToGrid w:val="0"/>
          <w:color w:val="000000"/>
          <w:spacing w:val="6"/>
          <w:kern w:val="0"/>
          <w:sz w:val="32"/>
          <w:szCs w:val="32"/>
        </w:rPr>
      </w:pPr>
      <w:r>
        <w:rPr>
          <w:rFonts w:hint="eastAsia" w:eastAsia="黑体"/>
          <w:bCs/>
          <w:snapToGrid w:val="0"/>
          <w:color w:val="000000"/>
          <w:spacing w:val="6"/>
          <w:kern w:val="0"/>
          <w:sz w:val="32"/>
          <w:szCs w:val="32"/>
        </w:rPr>
        <w:t>第四十二节</w:t>
      </w:r>
      <w:r>
        <w:rPr>
          <w:rFonts w:hint="eastAsia" w:eastAsia="黑体"/>
          <w:bCs/>
          <w:snapToGrid w:val="0"/>
          <w:color w:val="000000"/>
          <w:spacing w:val="6"/>
          <w:kern w:val="0"/>
          <w:sz w:val="32"/>
          <w:szCs w:val="32"/>
          <w:lang w:val="en-US" w:eastAsia="zh-CN"/>
        </w:rPr>
        <w:t xml:space="preserve">  </w:t>
      </w:r>
      <w:r>
        <w:rPr>
          <w:rFonts w:hint="eastAsia" w:eastAsia="黑体"/>
          <w:bCs/>
          <w:snapToGrid w:val="0"/>
          <w:color w:val="000000"/>
          <w:spacing w:val="6"/>
          <w:kern w:val="0"/>
          <w:sz w:val="32"/>
          <w:szCs w:val="32"/>
        </w:rPr>
        <w:t>强化规划实施保障</w:t>
      </w:r>
      <w:bookmarkEnd w:id="74"/>
      <w:bookmarkEnd w:id="75"/>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eastAsia="仿宋_GB2312" w:cs="仿宋_GB2312"/>
          <w:color w:val="000000"/>
          <w:kern w:val="0"/>
          <w:sz w:val="32"/>
          <w:szCs w:val="32"/>
        </w:rPr>
      </w:pPr>
      <w:r>
        <w:rPr>
          <w:rFonts w:hint="eastAsia" w:eastAsia="仿宋_GB2312" w:cs="仿宋_GB2312"/>
          <w:bCs/>
          <w:color w:val="000000"/>
          <w:kern w:val="0"/>
          <w:sz w:val="32"/>
          <w:szCs w:val="32"/>
        </w:rPr>
        <w:t>增强资金保障能力。</w:t>
      </w:r>
      <w:r>
        <w:rPr>
          <w:rFonts w:hint="eastAsia" w:eastAsia="仿宋_GB2312" w:cs="仿宋_GB2312"/>
          <w:color w:val="000000"/>
          <w:kern w:val="0"/>
          <w:sz w:val="32"/>
          <w:szCs w:val="32"/>
        </w:rPr>
        <w:t>编制实施好年度财政预算，为规划实施提供强有力的资金保障。加强税收征管，增强财政保障能力。</w:t>
      </w:r>
      <w:r>
        <w:rPr>
          <w:rFonts w:hint="default" w:eastAsia="仿宋_GB2312" w:cs="仿宋_GB2312"/>
          <w:color w:val="000000"/>
          <w:kern w:val="0"/>
          <w:sz w:val="32"/>
          <w:szCs w:val="32"/>
          <w:lang w:val="en-US" w:eastAsia="zh-CN"/>
        </w:rPr>
        <w:t>加强财政预算与规划实施的衔接协调，</w:t>
      </w:r>
      <w:r>
        <w:rPr>
          <w:rFonts w:hint="eastAsia" w:eastAsia="仿宋_GB2312" w:cs="仿宋_GB2312"/>
          <w:color w:val="000000"/>
          <w:kern w:val="0"/>
          <w:sz w:val="32"/>
          <w:szCs w:val="32"/>
        </w:rPr>
        <w:t>加强存量整合，优化增量安排，健全财政支出优先满足社会公共需求的保障机制。在公共服务等领域积极推广政府与社会资本合作、政府购买服务等模式，切实用好金融信贷资本，进一步加大招商引资力度，多渠道用好民间资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eastAsia="仿宋_GB2312" w:cs="仿宋_GB2312"/>
          <w:color w:val="000000"/>
          <w:kern w:val="0"/>
          <w:sz w:val="32"/>
          <w:szCs w:val="32"/>
        </w:rPr>
      </w:pPr>
      <w:r>
        <w:rPr>
          <w:rFonts w:hint="eastAsia" w:eastAsia="仿宋_GB2312" w:cs="仿宋_GB2312"/>
          <w:bCs/>
          <w:color w:val="000000"/>
          <w:kern w:val="0"/>
          <w:sz w:val="32"/>
          <w:szCs w:val="32"/>
        </w:rPr>
        <w:t>健全综合发展政策。</w:t>
      </w:r>
      <w:r>
        <w:rPr>
          <w:rFonts w:hint="eastAsia" w:eastAsia="仿宋_GB2312" w:cs="仿宋_GB2312"/>
          <w:color w:val="000000"/>
          <w:kern w:val="0"/>
          <w:sz w:val="32"/>
          <w:szCs w:val="32"/>
        </w:rPr>
        <w:t>围绕发展的重点领域和关键环节，紧盯中省政策和宏观环境变化，密切联系安康发展实际，加强形势研判、运行分析、政策储备和协调落实，为各项发展目标实现提供有力支撑。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eastAsia="仿宋_GB2312" w:cs="仿宋_GB2312"/>
          <w:color w:val="000000"/>
          <w:kern w:val="0"/>
          <w:sz w:val="32"/>
          <w:szCs w:val="32"/>
        </w:rPr>
      </w:pPr>
      <w:r>
        <w:rPr>
          <w:rFonts w:hint="eastAsia" w:eastAsia="仿宋_GB2312" w:cs="仿宋_GB2312"/>
          <w:bCs/>
          <w:color w:val="000000"/>
          <w:kern w:val="0"/>
          <w:sz w:val="32"/>
          <w:szCs w:val="32"/>
        </w:rPr>
        <w:t>强化战略资源管理。</w:t>
      </w:r>
      <w:r>
        <w:rPr>
          <w:rFonts w:hint="eastAsia" w:eastAsia="仿宋_GB2312" w:cs="仿宋_GB2312"/>
          <w:color w:val="000000"/>
          <w:kern w:val="0"/>
          <w:sz w:val="32"/>
          <w:szCs w:val="32"/>
        </w:rPr>
        <w:t>坚持党管人才，统筹推进党政</w:t>
      </w:r>
      <w:r>
        <w:rPr>
          <w:rFonts w:hint="eastAsia" w:eastAsia="仿宋_GB2312" w:cs="仿宋_GB2312"/>
          <w:color w:val="000000"/>
          <w:kern w:val="0"/>
          <w:sz w:val="32"/>
          <w:szCs w:val="32"/>
          <w:lang w:eastAsia="zh-CN"/>
        </w:rPr>
        <w:t>干部</w:t>
      </w:r>
      <w:r>
        <w:rPr>
          <w:rFonts w:hint="eastAsia" w:eastAsia="仿宋_GB2312" w:cs="仿宋_GB2312"/>
          <w:color w:val="000000"/>
          <w:kern w:val="0"/>
          <w:sz w:val="32"/>
          <w:szCs w:val="32"/>
        </w:rPr>
        <w:t>、企业管理、专业技术、高级技能、农村实用、社会工作等各类人才队伍建设和管理，创新人才吸引和使用新机制，为安康发展提供人才支撑和</w:t>
      </w:r>
      <w:r>
        <w:rPr>
          <w:rFonts w:hint="eastAsia" w:eastAsia="仿宋_GB2312" w:cs="仿宋_GB2312"/>
          <w:color w:val="000000"/>
          <w:kern w:val="0"/>
          <w:sz w:val="32"/>
          <w:szCs w:val="32"/>
          <w:lang w:eastAsia="zh-CN"/>
        </w:rPr>
        <w:t>智力</w:t>
      </w:r>
      <w:r>
        <w:rPr>
          <w:rFonts w:hint="eastAsia" w:eastAsia="仿宋_GB2312" w:cs="仿宋_GB2312"/>
          <w:color w:val="000000"/>
          <w:kern w:val="0"/>
          <w:sz w:val="32"/>
          <w:szCs w:val="32"/>
        </w:rPr>
        <w:t>保障。遵循严控增量、盘活存量、优化结构、提高效率的总要求，在严格保护耕地的前提下，加强土地资源管理，确保项目建设用地需求。完善能源和重要商品管理，提高国民经济动员和应急组织调控能力。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eastAsia="仿宋_GB2312" w:cs="仿宋_GB2312"/>
          <w:color w:val="000000"/>
          <w:kern w:val="0"/>
          <w:sz w:val="32"/>
          <w:szCs w:val="32"/>
        </w:rPr>
      </w:pPr>
      <w:r>
        <w:rPr>
          <w:rFonts w:hint="eastAsia" w:eastAsia="仿宋_GB2312" w:cs="仿宋_GB2312"/>
          <w:bCs/>
          <w:color w:val="000000"/>
          <w:kern w:val="0"/>
          <w:sz w:val="32"/>
          <w:szCs w:val="32"/>
        </w:rPr>
        <w:t>实施重大项目带动。</w:t>
      </w:r>
      <w:r>
        <w:rPr>
          <w:rFonts w:hint="eastAsia" w:eastAsia="仿宋_GB2312" w:cs="仿宋_GB2312"/>
          <w:color w:val="000000"/>
          <w:kern w:val="0"/>
          <w:sz w:val="32"/>
          <w:szCs w:val="32"/>
        </w:rPr>
        <w:t>坚持以规划确定项目、以项目落实规划，着眼于集中力量分阶段解决一批重大问题，组织实施好一批关系全局和长远发展的重大项目。健全项目实施机制，深化前期研究论证，规范手续办理，提高审批效率，加强协调调度，切实做到规划一批、储备一批、实施一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1"/>
        <w:rPr>
          <w:rFonts w:hint="eastAsia" w:eastAsia="仿宋_GB2312" w:cs="仿宋_GB2312"/>
          <w:color w:val="000000"/>
          <w:kern w:val="0"/>
          <w:sz w:val="32"/>
          <w:szCs w:val="32"/>
        </w:rPr>
      </w:pPr>
      <w:bookmarkStart w:id="76" w:name="_Toc436739662"/>
      <w:bookmarkStart w:id="77" w:name="_Toc885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1"/>
        <w:rPr>
          <w:rFonts w:eastAsia="黑体"/>
          <w:bCs/>
          <w:snapToGrid w:val="0"/>
          <w:color w:val="000000"/>
          <w:spacing w:val="6"/>
          <w:kern w:val="0"/>
          <w:sz w:val="32"/>
          <w:szCs w:val="32"/>
        </w:rPr>
      </w:pPr>
      <w:r>
        <w:rPr>
          <w:rFonts w:hint="eastAsia" w:eastAsia="黑体"/>
          <w:bCs/>
          <w:snapToGrid w:val="0"/>
          <w:color w:val="000000"/>
          <w:spacing w:val="6"/>
          <w:kern w:val="0"/>
          <w:sz w:val="32"/>
          <w:szCs w:val="32"/>
        </w:rPr>
        <w:t>第四十三节</w:t>
      </w:r>
      <w:r>
        <w:rPr>
          <w:rFonts w:hint="eastAsia" w:eastAsia="黑体"/>
          <w:bCs/>
          <w:snapToGrid w:val="0"/>
          <w:color w:val="000000"/>
          <w:spacing w:val="6"/>
          <w:kern w:val="0"/>
          <w:sz w:val="32"/>
          <w:szCs w:val="32"/>
          <w:lang w:val="en-US" w:eastAsia="zh-CN"/>
        </w:rPr>
        <w:t xml:space="preserve">  </w:t>
      </w:r>
      <w:r>
        <w:rPr>
          <w:rFonts w:hint="eastAsia" w:eastAsia="黑体"/>
          <w:bCs/>
          <w:snapToGrid w:val="0"/>
          <w:color w:val="000000"/>
          <w:spacing w:val="6"/>
          <w:kern w:val="0"/>
          <w:sz w:val="32"/>
          <w:szCs w:val="32"/>
        </w:rPr>
        <w:t>健全规划实施评估</w:t>
      </w:r>
      <w:bookmarkEnd w:id="76"/>
      <w:bookmarkEnd w:id="77"/>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eastAsia="仿宋_GB2312" w:cs="仿宋_GB2312"/>
          <w:color w:val="000000"/>
          <w:kern w:val="0"/>
          <w:sz w:val="32"/>
          <w:szCs w:val="32"/>
        </w:rPr>
      </w:pPr>
      <w:r>
        <w:rPr>
          <w:rFonts w:hint="eastAsia" w:eastAsia="仿宋_GB2312" w:cs="仿宋_GB2312"/>
          <w:color w:val="000000"/>
          <w:kern w:val="0"/>
          <w:sz w:val="32"/>
          <w:szCs w:val="32"/>
        </w:rPr>
        <w:t>推动规划纲要顺利实施，既要充分发挥市场配置资源的决定性作用，又要发挥政府的宏观引导作用，完善决策目标体系、执行责任体系和考核监督体系，科学合理编制专项规划、空间规划和年度计划，分领域、分阶段落实规划目标任务，保障规划纲要有效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eastAsia="仿宋_GB2312" w:cs="仿宋_GB2312"/>
          <w:color w:val="000000"/>
          <w:kern w:val="0"/>
          <w:sz w:val="32"/>
          <w:szCs w:val="32"/>
        </w:rPr>
      </w:pPr>
      <w:r>
        <w:rPr>
          <w:rFonts w:hint="eastAsia" w:eastAsia="仿宋_GB2312" w:cs="仿宋_GB2312"/>
          <w:color w:val="000000"/>
          <w:kern w:val="0"/>
          <w:sz w:val="32"/>
          <w:szCs w:val="32"/>
        </w:rPr>
        <w:t>完善监测评估制度，引入第三方评估机制，加强对规划实施情况跟踪分析，自觉接受人民代表大会的监督检查。要对重点领域中的突出问题适时开展专题评估。在规划实施的中期阶段，由市政府组织开展全面评估，并提交市人民代表大会常务委员会审议，确需对纲要进行修订时，须报请市人民代表大会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1"/>
        <w:rPr>
          <w:rFonts w:hint="eastAsia" w:eastAsia="仿宋_GB2312"/>
          <w:snapToGrid w:val="0"/>
          <w:color w:val="000000"/>
          <w:kern w:val="0"/>
          <w:sz w:val="32"/>
          <w:szCs w:val="32"/>
        </w:rPr>
      </w:pPr>
      <w:bookmarkStart w:id="78" w:name="_Toc436739663"/>
      <w:bookmarkStart w:id="79" w:name="_Toc4343"/>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1"/>
        <w:rPr>
          <w:rFonts w:eastAsia="黑体"/>
          <w:bCs/>
          <w:snapToGrid w:val="0"/>
          <w:color w:val="000000"/>
          <w:spacing w:val="6"/>
          <w:kern w:val="0"/>
          <w:sz w:val="32"/>
          <w:szCs w:val="32"/>
        </w:rPr>
      </w:pPr>
      <w:r>
        <w:rPr>
          <w:rFonts w:hint="eastAsia" w:eastAsia="黑体"/>
          <w:bCs/>
          <w:snapToGrid w:val="0"/>
          <w:color w:val="000000"/>
          <w:spacing w:val="6"/>
          <w:kern w:val="0"/>
          <w:sz w:val="32"/>
          <w:szCs w:val="32"/>
        </w:rPr>
        <w:t>第四十四节</w:t>
      </w:r>
      <w:r>
        <w:rPr>
          <w:rFonts w:hint="eastAsia" w:eastAsia="黑体"/>
          <w:bCs/>
          <w:snapToGrid w:val="0"/>
          <w:color w:val="000000"/>
          <w:spacing w:val="6"/>
          <w:kern w:val="0"/>
          <w:sz w:val="32"/>
          <w:szCs w:val="32"/>
          <w:lang w:val="en-US" w:eastAsia="zh-CN"/>
        </w:rPr>
        <w:t xml:space="preserve">  </w:t>
      </w:r>
      <w:r>
        <w:rPr>
          <w:rFonts w:hint="eastAsia" w:eastAsia="黑体"/>
          <w:bCs/>
          <w:snapToGrid w:val="0"/>
          <w:color w:val="000000"/>
          <w:spacing w:val="6"/>
          <w:kern w:val="0"/>
          <w:sz w:val="32"/>
          <w:szCs w:val="32"/>
        </w:rPr>
        <w:t>加强规划协调管理</w:t>
      </w:r>
      <w:bookmarkEnd w:id="78"/>
      <w:bookmarkEnd w:id="79"/>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eastAsia="仿宋_GB2312" w:cs="仿宋_GB2312"/>
          <w:color w:val="000000"/>
          <w:kern w:val="0"/>
          <w:sz w:val="32"/>
          <w:szCs w:val="32"/>
        </w:rPr>
      </w:pPr>
      <w:r>
        <w:rPr>
          <w:rFonts w:hint="eastAsia" w:eastAsia="仿宋_GB2312" w:cs="仿宋_GB2312"/>
          <w:color w:val="000000"/>
          <w:kern w:val="0"/>
          <w:sz w:val="32"/>
          <w:szCs w:val="32"/>
        </w:rPr>
        <w:t>坚持专项规划服从总体规划、下位规划服从上位规划，以经济社会发展总体规划为统领，以国家主体功能区建设试点示范实施方案为基础，以专项规划、空间规划为支撑，形成各类规划定位清晰、功能互补、统一衔接的规划体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eastAsia="仿宋_GB2312" w:cs="仿宋_GB2312"/>
          <w:color w:val="000000"/>
          <w:kern w:val="0"/>
          <w:sz w:val="32"/>
          <w:szCs w:val="32"/>
        </w:rPr>
      </w:pPr>
      <w:r>
        <w:rPr>
          <w:rFonts w:hint="eastAsia" w:eastAsia="仿宋_GB2312" w:cs="仿宋_GB2312"/>
          <w:color w:val="000000"/>
          <w:kern w:val="0"/>
          <w:sz w:val="32"/>
          <w:szCs w:val="32"/>
        </w:rPr>
        <w:t>编制实施好各专项规划，落实本规划</w:t>
      </w:r>
      <w:r>
        <w:rPr>
          <w:rFonts w:hint="eastAsia" w:eastAsia="仿宋_GB2312" w:cs="仿宋_GB2312"/>
          <w:color w:val="000000"/>
          <w:kern w:val="0"/>
          <w:sz w:val="32"/>
          <w:szCs w:val="32"/>
          <w:lang w:eastAsia="zh-CN"/>
        </w:rPr>
        <w:t>纲要</w:t>
      </w:r>
      <w:r>
        <w:rPr>
          <w:rFonts w:hint="eastAsia" w:eastAsia="仿宋_GB2312" w:cs="仿宋_GB2312"/>
          <w:color w:val="000000"/>
          <w:kern w:val="0"/>
          <w:sz w:val="32"/>
          <w:szCs w:val="32"/>
        </w:rPr>
        <w:t>确定的战略目标、重点任务、重大项目和重大政策。各专项规划要紧紧围绕经济社会发展的关键领域和薄弱环节，着力解决突出问题，明确发展方向、预期目标、工作重点和政策措施，形成落实规划纲要的重要支撑和抓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color w:val="000000"/>
        </w:rPr>
      </w:pPr>
      <w:r>
        <w:rPr>
          <w:rFonts w:hint="eastAsia" w:eastAsia="仿宋_GB2312" w:cs="仿宋_GB2312"/>
          <w:color w:val="000000"/>
          <w:kern w:val="0"/>
          <w:sz w:val="32"/>
          <w:szCs w:val="32"/>
        </w:rPr>
        <w:t>建立规划纲要与专项规划、市级规划与县区规划相互协调的工作机制，在重大生产力布局、重点项目安排、基础设施建设</w:t>
      </w:r>
      <w:r>
        <w:rPr>
          <w:rFonts w:hint="eastAsia" w:eastAsia="仿宋_GB2312" w:cs="仿宋_GB2312"/>
          <w:color w:val="000000"/>
          <w:kern w:val="0"/>
          <w:sz w:val="32"/>
          <w:szCs w:val="32"/>
          <w:lang w:eastAsia="zh-CN"/>
        </w:rPr>
        <w:t>方面</w:t>
      </w:r>
      <w:r>
        <w:rPr>
          <w:rFonts w:hint="eastAsia" w:eastAsia="仿宋_GB2312" w:cs="仿宋_GB2312"/>
          <w:color w:val="000000"/>
          <w:kern w:val="0"/>
          <w:sz w:val="32"/>
          <w:szCs w:val="32"/>
        </w:rPr>
        <w:t>，确保总体要求一致、空间配置合理、目标任务同步，把握好规划实施的重点和时序，确保各项重大任务</w:t>
      </w:r>
      <w:r>
        <w:rPr>
          <w:rFonts w:hint="eastAsia" w:eastAsia="仿宋_GB2312" w:cs="仿宋_GB2312"/>
          <w:color w:val="000000"/>
          <w:kern w:val="0"/>
          <w:sz w:val="32"/>
          <w:szCs w:val="32"/>
          <w:lang w:eastAsia="zh-CN"/>
        </w:rPr>
        <w:t>如期</w:t>
      </w:r>
      <w:r>
        <w:rPr>
          <w:rFonts w:hint="eastAsia" w:eastAsia="仿宋_GB2312" w:cs="仿宋_GB2312"/>
          <w:color w:val="000000"/>
          <w:kern w:val="0"/>
          <w:sz w:val="32"/>
          <w:szCs w:val="32"/>
        </w:rPr>
        <w:t>顺利完成。</w:t>
      </w:r>
    </w:p>
    <w:sectPr>
      <w:pgSz w:w="11849" w:h="16781"/>
      <w:pgMar w:top="1701" w:right="1417" w:bottom="1701" w:left="1587" w:header="992" w:footer="1417" w:gutter="0"/>
      <w:paperSrc/>
      <w:pgNumType w:fmt="numberInDash" w:start="1"/>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auto"/>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Book Antiqua">
    <w:panose1 w:val="02040602050305030304"/>
    <w:charset w:val="00"/>
    <w:family w:val="roman"/>
    <w:pitch w:val="default"/>
    <w:sig w:usb0="00000287" w:usb1="00000000" w:usb2="00000000" w:usb3="00000000" w:csb0="2000009F" w:csb1="DFD7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WinCharSetFFFF-H">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vert="horz" wrap="none" lIns="0" tIns="0" rIns="0" bIns="0" anchor="t" anchorCtr="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V0zVEd8BAADBAwAADgAAAAAA&#10;AAABACAAAAAeAQAAZHJzL2Uyb0RvYy54bWxQSwUGAAAAAAYABgBZAQAAbw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ABF"/>
    <w:rsid w:val="00020B7B"/>
    <w:rsid w:val="00021B56"/>
    <w:rsid w:val="00023859"/>
    <w:rsid w:val="0002501E"/>
    <w:rsid w:val="00032BB3"/>
    <w:rsid w:val="00032D4D"/>
    <w:rsid w:val="00034855"/>
    <w:rsid w:val="0004377A"/>
    <w:rsid w:val="000502A7"/>
    <w:rsid w:val="0005324C"/>
    <w:rsid w:val="00062CB7"/>
    <w:rsid w:val="00072062"/>
    <w:rsid w:val="00072092"/>
    <w:rsid w:val="00081E4E"/>
    <w:rsid w:val="00082B6F"/>
    <w:rsid w:val="00091085"/>
    <w:rsid w:val="000923A4"/>
    <w:rsid w:val="00095324"/>
    <w:rsid w:val="000A0EE4"/>
    <w:rsid w:val="000A320E"/>
    <w:rsid w:val="000A36EB"/>
    <w:rsid w:val="000B25F8"/>
    <w:rsid w:val="000B403E"/>
    <w:rsid w:val="000B55BE"/>
    <w:rsid w:val="000C2545"/>
    <w:rsid w:val="000C34EE"/>
    <w:rsid w:val="000D02FD"/>
    <w:rsid w:val="000D0ABE"/>
    <w:rsid w:val="000D3146"/>
    <w:rsid w:val="000D3BD4"/>
    <w:rsid w:val="000D4066"/>
    <w:rsid w:val="000D552A"/>
    <w:rsid w:val="000E2AE4"/>
    <w:rsid w:val="000E6089"/>
    <w:rsid w:val="000F3E20"/>
    <w:rsid w:val="000F6F1D"/>
    <w:rsid w:val="00103933"/>
    <w:rsid w:val="001077C8"/>
    <w:rsid w:val="001126AB"/>
    <w:rsid w:val="0011306E"/>
    <w:rsid w:val="00115EAE"/>
    <w:rsid w:val="001208BC"/>
    <w:rsid w:val="00121816"/>
    <w:rsid w:val="00123E2F"/>
    <w:rsid w:val="00130FD3"/>
    <w:rsid w:val="0013150D"/>
    <w:rsid w:val="00131CC7"/>
    <w:rsid w:val="00146328"/>
    <w:rsid w:val="001477FF"/>
    <w:rsid w:val="00147B26"/>
    <w:rsid w:val="00151DBB"/>
    <w:rsid w:val="001548D2"/>
    <w:rsid w:val="00155763"/>
    <w:rsid w:val="00155F64"/>
    <w:rsid w:val="00157EF8"/>
    <w:rsid w:val="00165CC7"/>
    <w:rsid w:val="00173B20"/>
    <w:rsid w:val="00174A54"/>
    <w:rsid w:val="00180B46"/>
    <w:rsid w:val="00183776"/>
    <w:rsid w:val="00185431"/>
    <w:rsid w:val="001966F8"/>
    <w:rsid w:val="001A1444"/>
    <w:rsid w:val="001A1AC6"/>
    <w:rsid w:val="001A3F3C"/>
    <w:rsid w:val="001A55CC"/>
    <w:rsid w:val="001A577C"/>
    <w:rsid w:val="001A5FC4"/>
    <w:rsid w:val="001A7972"/>
    <w:rsid w:val="001B0342"/>
    <w:rsid w:val="001B0629"/>
    <w:rsid w:val="001B3E53"/>
    <w:rsid w:val="001C08E6"/>
    <w:rsid w:val="001C190A"/>
    <w:rsid w:val="001C1DC0"/>
    <w:rsid w:val="001C28C6"/>
    <w:rsid w:val="001C3880"/>
    <w:rsid w:val="001C435E"/>
    <w:rsid w:val="001D7EC5"/>
    <w:rsid w:val="001E0CD4"/>
    <w:rsid w:val="001E7423"/>
    <w:rsid w:val="001F010A"/>
    <w:rsid w:val="001F7AF5"/>
    <w:rsid w:val="0020038E"/>
    <w:rsid w:val="00201A52"/>
    <w:rsid w:val="00201E1E"/>
    <w:rsid w:val="00202E6A"/>
    <w:rsid w:val="00204884"/>
    <w:rsid w:val="00210742"/>
    <w:rsid w:val="0021485D"/>
    <w:rsid w:val="00221D44"/>
    <w:rsid w:val="00236C61"/>
    <w:rsid w:val="00251D42"/>
    <w:rsid w:val="002608A8"/>
    <w:rsid w:val="00263323"/>
    <w:rsid w:val="00264E05"/>
    <w:rsid w:val="00282769"/>
    <w:rsid w:val="0028459E"/>
    <w:rsid w:val="00284F66"/>
    <w:rsid w:val="002853AE"/>
    <w:rsid w:val="00293729"/>
    <w:rsid w:val="00293D34"/>
    <w:rsid w:val="00295305"/>
    <w:rsid w:val="002A03E8"/>
    <w:rsid w:val="002A06BD"/>
    <w:rsid w:val="002A5083"/>
    <w:rsid w:val="002A545B"/>
    <w:rsid w:val="002A74E0"/>
    <w:rsid w:val="002A7E85"/>
    <w:rsid w:val="002B216F"/>
    <w:rsid w:val="002B3788"/>
    <w:rsid w:val="002B3BC3"/>
    <w:rsid w:val="002B69D6"/>
    <w:rsid w:val="002B7C59"/>
    <w:rsid w:val="002C1AA0"/>
    <w:rsid w:val="002C2E1A"/>
    <w:rsid w:val="002C3E97"/>
    <w:rsid w:val="002C644D"/>
    <w:rsid w:val="002D6B1F"/>
    <w:rsid w:val="002E027C"/>
    <w:rsid w:val="002E0BDC"/>
    <w:rsid w:val="002E2A42"/>
    <w:rsid w:val="002E56F9"/>
    <w:rsid w:val="002F485E"/>
    <w:rsid w:val="003107FC"/>
    <w:rsid w:val="00323104"/>
    <w:rsid w:val="003347FB"/>
    <w:rsid w:val="00335166"/>
    <w:rsid w:val="00335D9A"/>
    <w:rsid w:val="00341979"/>
    <w:rsid w:val="00350824"/>
    <w:rsid w:val="003510B2"/>
    <w:rsid w:val="003528DE"/>
    <w:rsid w:val="00355B33"/>
    <w:rsid w:val="003567EB"/>
    <w:rsid w:val="00356C79"/>
    <w:rsid w:val="00360B25"/>
    <w:rsid w:val="00376A7B"/>
    <w:rsid w:val="00376EDF"/>
    <w:rsid w:val="00377492"/>
    <w:rsid w:val="0038510F"/>
    <w:rsid w:val="003854D0"/>
    <w:rsid w:val="00385D87"/>
    <w:rsid w:val="00385E23"/>
    <w:rsid w:val="003866B9"/>
    <w:rsid w:val="003950A9"/>
    <w:rsid w:val="00396A65"/>
    <w:rsid w:val="003B6273"/>
    <w:rsid w:val="003B6777"/>
    <w:rsid w:val="003C33AD"/>
    <w:rsid w:val="003C3E01"/>
    <w:rsid w:val="003C5BA4"/>
    <w:rsid w:val="003C5CB0"/>
    <w:rsid w:val="003C6C3B"/>
    <w:rsid w:val="003E0B43"/>
    <w:rsid w:val="003E1D0D"/>
    <w:rsid w:val="003E7319"/>
    <w:rsid w:val="003F3229"/>
    <w:rsid w:val="003F4E19"/>
    <w:rsid w:val="003F73B8"/>
    <w:rsid w:val="004031A8"/>
    <w:rsid w:val="0041051E"/>
    <w:rsid w:val="00410709"/>
    <w:rsid w:val="00414109"/>
    <w:rsid w:val="004155A8"/>
    <w:rsid w:val="00415960"/>
    <w:rsid w:val="004162FD"/>
    <w:rsid w:val="00417E21"/>
    <w:rsid w:val="0042482B"/>
    <w:rsid w:val="00433C24"/>
    <w:rsid w:val="00435F92"/>
    <w:rsid w:val="00436BEE"/>
    <w:rsid w:val="00441879"/>
    <w:rsid w:val="004512B7"/>
    <w:rsid w:val="00453E14"/>
    <w:rsid w:val="004548F1"/>
    <w:rsid w:val="00457B39"/>
    <w:rsid w:val="004604CB"/>
    <w:rsid w:val="00462391"/>
    <w:rsid w:val="004648C0"/>
    <w:rsid w:val="004667C0"/>
    <w:rsid w:val="00470927"/>
    <w:rsid w:val="00473F56"/>
    <w:rsid w:val="00474FD7"/>
    <w:rsid w:val="0048382B"/>
    <w:rsid w:val="004840A3"/>
    <w:rsid w:val="004840D7"/>
    <w:rsid w:val="0048767D"/>
    <w:rsid w:val="004910A4"/>
    <w:rsid w:val="004926CA"/>
    <w:rsid w:val="00496DE0"/>
    <w:rsid w:val="004A04F5"/>
    <w:rsid w:val="004A1A8D"/>
    <w:rsid w:val="004A54F9"/>
    <w:rsid w:val="004B0192"/>
    <w:rsid w:val="004B123B"/>
    <w:rsid w:val="004C3939"/>
    <w:rsid w:val="004C5028"/>
    <w:rsid w:val="004C739D"/>
    <w:rsid w:val="004D225F"/>
    <w:rsid w:val="004D2F74"/>
    <w:rsid w:val="004D4D0F"/>
    <w:rsid w:val="004E5645"/>
    <w:rsid w:val="004E6A09"/>
    <w:rsid w:val="00521D8D"/>
    <w:rsid w:val="00525CB1"/>
    <w:rsid w:val="00531748"/>
    <w:rsid w:val="00537F28"/>
    <w:rsid w:val="005452D7"/>
    <w:rsid w:val="00554A58"/>
    <w:rsid w:val="00556D14"/>
    <w:rsid w:val="0056088A"/>
    <w:rsid w:val="00561F93"/>
    <w:rsid w:val="00565895"/>
    <w:rsid w:val="005707CC"/>
    <w:rsid w:val="0057121C"/>
    <w:rsid w:val="005716FB"/>
    <w:rsid w:val="00573B1C"/>
    <w:rsid w:val="005865AE"/>
    <w:rsid w:val="005B6714"/>
    <w:rsid w:val="005C2F13"/>
    <w:rsid w:val="005D015A"/>
    <w:rsid w:val="005D2FA6"/>
    <w:rsid w:val="005D4F7B"/>
    <w:rsid w:val="005D61F3"/>
    <w:rsid w:val="005D67A5"/>
    <w:rsid w:val="005E077A"/>
    <w:rsid w:val="005E31CE"/>
    <w:rsid w:val="005F03E4"/>
    <w:rsid w:val="005F0450"/>
    <w:rsid w:val="005F3601"/>
    <w:rsid w:val="005F4817"/>
    <w:rsid w:val="005F4B06"/>
    <w:rsid w:val="005F520A"/>
    <w:rsid w:val="005F584B"/>
    <w:rsid w:val="005F645C"/>
    <w:rsid w:val="005F7E8A"/>
    <w:rsid w:val="006039BD"/>
    <w:rsid w:val="00606DCF"/>
    <w:rsid w:val="0060730F"/>
    <w:rsid w:val="006073C5"/>
    <w:rsid w:val="00613904"/>
    <w:rsid w:val="0062035F"/>
    <w:rsid w:val="00622239"/>
    <w:rsid w:val="00624E44"/>
    <w:rsid w:val="00630C5C"/>
    <w:rsid w:val="00630CD4"/>
    <w:rsid w:val="00636C3B"/>
    <w:rsid w:val="006523D8"/>
    <w:rsid w:val="00652669"/>
    <w:rsid w:val="00655B0A"/>
    <w:rsid w:val="00660414"/>
    <w:rsid w:val="00661E50"/>
    <w:rsid w:val="00663C53"/>
    <w:rsid w:val="00671334"/>
    <w:rsid w:val="0068169C"/>
    <w:rsid w:val="00682A26"/>
    <w:rsid w:val="00682CFE"/>
    <w:rsid w:val="006871B1"/>
    <w:rsid w:val="00694462"/>
    <w:rsid w:val="00695498"/>
    <w:rsid w:val="00695793"/>
    <w:rsid w:val="00695B24"/>
    <w:rsid w:val="006A1F46"/>
    <w:rsid w:val="006A5A19"/>
    <w:rsid w:val="006A5A4C"/>
    <w:rsid w:val="006A6333"/>
    <w:rsid w:val="006A6A25"/>
    <w:rsid w:val="006A79E3"/>
    <w:rsid w:val="006B0336"/>
    <w:rsid w:val="006B6BAE"/>
    <w:rsid w:val="006C40B0"/>
    <w:rsid w:val="006C569F"/>
    <w:rsid w:val="006C5C9F"/>
    <w:rsid w:val="006C6792"/>
    <w:rsid w:val="006C6936"/>
    <w:rsid w:val="006C7990"/>
    <w:rsid w:val="006D2758"/>
    <w:rsid w:val="006D66AD"/>
    <w:rsid w:val="006D69FE"/>
    <w:rsid w:val="006D78CC"/>
    <w:rsid w:val="006E4B63"/>
    <w:rsid w:val="006E6A50"/>
    <w:rsid w:val="006F0A28"/>
    <w:rsid w:val="006F3C68"/>
    <w:rsid w:val="007017F8"/>
    <w:rsid w:val="00703F65"/>
    <w:rsid w:val="007067B8"/>
    <w:rsid w:val="007200A7"/>
    <w:rsid w:val="007202E8"/>
    <w:rsid w:val="007206DD"/>
    <w:rsid w:val="00724CC5"/>
    <w:rsid w:val="0072542A"/>
    <w:rsid w:val="0072608A"/>
    <w:rsid w:val="0073076F"/>
    <w:rsid w:val="007337C6"/>
    <w:rsid w:val="00734DFA"/>
    <w:rsid w:val="00735365"/>
    <w:rsid w:val="00737B8A"/>
    <w:rsid w:val="00737B9B"/>
    <w:rsid w:val="0074102A"/>
    <w:rsid w:val="007430EC"/>
    <w:rsid w:val="007436B2"/>
    <w:rsid w:val="007441F7"/>
    <w:rsid w:val="007523DA"/>
    <w:rsid w:val="00752F0F"/>
    <w:rsid w:val="00756E7B"/>
    <w:rsid w:val="00757943"/>
    <w:rsid w:val="00760B2E"/>
    <w:rsid w:val="00761783"/>
    <w:rsid w:val="0076179F"/>
    <w:rsid w:val="00774F94"/>
    <w:rsid w:val="00776FBC"/>
    <w:rsid w:val="0077775F"/>
    <w:rsid w:val="00785B38"/>
    <w:rsid w:val="00791E6F"/>
    <w:rsid w:val="00797820"/>
    <w:rsid w:val="007A1AF1"/>
    <w:rsid w:val="007A6708"/>
    <w:rsid w:val="007B37C9"/>
    <w:rsid w:val="007B3E81"/>
    <w:rsid w:val="007B64F7"/>
    <w:rsid w:val="007C2508"/>
    <w:rsid w:val="007C2E36"/>
    <w:rsid w:val="007D09A5"/>
    <w:rsid w:val="007D0DC3"/>
    <w:rsid w:val="007D34A5"/>
    <w:rsid w:val="007E0191"/>
    <w:rsid w:val="007E45B1"/>
    <w:rsid w:val="007E558F"/>
    <w:rsid w:val="00803037"/>
    <w:rsid w:val="00810017"/>
    <w:rsid w:val="0081011F"/>
    <w:rsid w:val="00810405"/>
    <w:rsid w:val="00813CC7"/>
    <w:rsid w:val="0081421E"/>
    <w:rsid w:val="00817118"/>
    <w:rsid w:val="0081729C"/>
    <w:rsid w:val="00817F6C"/>
    <w:rsid w:val="00820222"/>
    <w:rsid w:val="0082155E"/>
    <w:rsid w:val="00823A52"/>
    <w:rsid w:val="008255EC"/>
    <w:rsid w:val="008256BC"/>
    <w:rsid w:val="00825A36"/>
    <w:rsid w:val="0083199B"/>
    <w:rsid w:val="008326D2"/>
    <w:rsid w:val="00842E5C"/>
    <w:rsid w:val="00843D69"/>
    <w:rsid w:val="00851C1F"/>
    <w:rsid w:val="00854092"/>
    <w:rsid w:val="00860531"/>
    <w:rsid w:val="00860D98"/>
    <w:rsid w:val="00860F16"/>
    <w:rsid w:val="00861162"/>
    <w:rsid w:val="0086389D"/>
    <w:rsid w:val="008643D5"/>
    <w:rsid w:val="008646CE"/>
    <w:rsid w:val="00866942"/>
    <w:rsid w:val="00867865"/>
    <w:rsid w:val="008712A4"/>
    <w:rsid w:val="008731EE"/>
    <w:rsid w:val="0087324E"/>
    <w:rsid w:val="00873439"/>
    <w:rsid w:val="0088137D"/>
    <w:rsid w:val="00882A02"/>
    <w:rsid w:val="00885C46"/>
    <w:rsid w:val="00890520"/>
    <w:rsid w:val="008913D6"/>
    <w:rsid w:val="00891B9A"/>
    <w:rsid w:val="00891D80"/>
    <w:rsid w:val="00895CDE"/>
    <w:rsid w:val="00897D90"/>
    <w:rsid w:val="00897F14"/>
    <w:rsid w:val="008A0826"/>
    <w:rsid w:val="008A1D5E"/>
    <w:rsid w:val="008A5B9C"/>
    <w:rsid w:val="008B3B05"/>
    <w:rsid w:val="008B5DAF"/>
    <w:rsid w:val="008C0A91"/>
    <w:rsid w:val="008C5730"/>
    <w:rsid w:val="008E04F4"/>
    <w:rsid w:val="008E16D6"/>
    <w:rsid w:val="008E27C4"/>
    <w:rsid w:val="008E7F06"/>
    <w:rsid w:val="008F5BDB"/>
    <w:rsid w:val="008F6ED7"/>
    <w:rsid w:val="008F7A46"/>
    <w:rsid w:val="008F7C94"/>
    <w:rsid w:val="0090030D"/>
    <w:rsid w:val="00900785"/>
    <w:rsid w:val="009010AA"/>
    <w:rsid w:val="00901B38"/>
    <w:rsid w:val="00904289"/>
    <w:rsid w:val="009043F4"/>
    <w:rsid w:val="00911DB0"/>
    <w:rsid w:val="0091297C"/>
    <w:rsid w:val="00912E09"/>
    <w:rsid w:val="00915A22"/>
    <w:rsid w:val="00916DFD"/>
    <w:rsid w:val="00925177"/>
    <w:rsid w:val="00926ACC"/>
    <w:rsid w:val="009346BE"/>
    <w:rsid w:val="009359C9"/>
    <w:rsid w:val="009364BB"/>
    <w:rsid w:val="009364DA"/>
    <w:rsid w:val="009417D1"/>
    <w:rsid w:val="00945403"/>
    <w:rsid w:val="009463D2"/>
    <w:rsid w:val="009478F9"/>
    <w:rsid w:val="009507F8"/>
    <w:rsid w:val="00951339"/>
    <w:rsid w:val="009529BB"/>
    <w:rsid w:val="00952DC6"/>
    <w:rsid w:val="00954665"/>
    <w:rsid w:val="0095568F"/>
    <w:rsid w:val="00971920"/>
    <w:rsid w:val="00973151"/>
    <w:rsid w:val="00974BB5"/>
    <w:rsid w:val="0098422D"/>
    <w:rsid w:val="00985C88"/>
    <w:rsid w:val="00986C92"/>
    <w:rsid w:val="009970FB"/>
    <w:rsid w:val="009A689D"/>
    <w:rsid w:val="009A68D9"/>
    <w:rsid w:val="009B1386"/>
    <w:rsid w:val="009B1DA5"/>
    <w:rsid w:val="009B3922"/>
    <w:rsid w:val="009C3351"/>
    <w:rsid w:val="009C72AF"/>
    <w:rsid w:val="009D01F2"/>
    <w:rsid w:val="009D0321"/>
    <w:rsid w:val="009D2B45"/>
    <w:rsid w:val="009E0227"/>
    <w:rsid w:val="009E0F89"/>
    <w:rsid w:val="009E1876"/>
    <w:rsid w:val="009F21C2"/>
    <w:rsid w:val="009F3738"/>
    <w:rsid w:val="009F3A15"/>
    <w:rsid w:val="00A01C7E"/>
    <w:rsid w:val="00A02931"/>
    <w:rsid w:val="00A03414"/>
    <w:rsid w:val="00A15EC7"/>
    <w:rsid w:val="00A163FB"/>
    <w:rsid w:val="00A216CA"/>
    <w:rsid w:val="00A2285E"/>
    <w:rsid w:val="00A27C06"/>
    <w:rsid w:val="00A30F41"/>
    <w:rsid w:val="00A31A93"/>
    <w:rsid w:val="00A45E11"/>
    <w:rsid w:val="00A470B3"/>
    <w:rsid w:val="00A5369A"/>
    <w:rsid w:val="00A638B8"/>
    <w:rsid w:val="00A645AE"/>
    <w:rsid w:val="00A6652A"/>
    <w:rsid w:val="00A72B3A"/>
    <w:rsid w:val="00A73A4A"/>
    <w:rsid w:val="00A771EB"/>
    <w:rsid w:val="00A817B1"/>
    <w:rsid w:val="00A828E6"/>
    <w:rsid w:val="00A82E78"/>
    <w:rsid w:val="00A86207"/>
    <w:rsid w:val="00A86A84"/>
    <w:rsid w:val="00A96425"/>
    <w:rsid w:val="00AA088E"/>
    <w:rsid w:val="00AB0526"/>
    <w:rsid w:val="00AB143A"/>
    <w:rsid w:val="00AB17A5"/>
    <w:rsid w:val="00AB5A00"/>
    <w:rsid w:val="00AC0FF5"/>
    <w:rsid w:val="00AC1922"/>
    <w:rsid w:val="00AC2C1C"/>
    <w:rsid w:val="00AD02F6"/>
    <w:rsid w:val="00AD06D1"/>
    <w:rsid w:val="00AD2C07"/>
    <w:rsid w:val="00AD7550"/>
    <w:rsid w:val="00AE4AE5"/>
    <w:rsid w:val="00AE59A8"/>
    <w:rsid w:val="00AE631C"/>
    <w:rsid w:val="00AE66E7"/>
    <w:rsid w:val="00AF440B"/>
    <w:rsid w:val="00AF6040"/>
    <w:rsid w:val="00B04B84"/>
    <w:rsid w:val="00B061AB"/>
    <w:rsid w:val="00B06443"/>
    <w:rsid w:val="00B11822"/>
    <w:rsid w:val="00B118D9"/>
    <w:rsid w:val="00B122D7"/>
    <w:rsid w:val="00B173D5"/>
    <w:rsid w:val="00B20329"/>
    <w:rsid w:val="00B247A8"/>
    <w:rsid w:val="00B24915"/>
    <w:rsid w:val="00B25ABA"/>
    <w:rsid w:val="00B31D04"/>
    <w:rsid w:val="00B33C29"/>
    <w:rsid w:val="00B40DF1"/>
    <w:rsid w:val="00B40FC0"/>
    <w:rsid w:val="00B4211D"/>
    <w:rsid w:val="00B4288D"/>
    <w:rsid w:val="00B435F6"/>
    <w:rsid w:val="00B5698E"/>
    <w:rsid w:val="00B62B52"/>
    <w:rsid w:val="00B727D0"/>
    <w:rsid w:val="00B7358B"/>
    <w:rsid w:val="00B77276"/>
    <w:rsid w:val="00B903A6"/>
    <w:rsid w:val="00B907D6"/>
    <w:rsid w:val="00B90B40"/>
    <w:rsid w:val="00B920E9"/>
    <w:rsid w:val="00BA36EA"/>
    <w:rsid w:val="00BA5624"/>
    <w:rsid w:val="00BA64B1"/>
    <w:rsid w:val="00BB0319"/>
    <w:rsid w:val="00BB1484"/>
    <w:rsid w:val="00BB2DF4"/>
    <w:rsid w:val="00BB5C37"/>
    <w:rsid w:val="00BC2A04"/>
    <w:rsid w:val="00BD17F2"/>
    <w:rsid w:val="00BD508D"/>
    <w:rsid w:val="00BD7310"/>
    <w:rsid w:val="00BE28B2"/>
    <w:rsid w:val="00BE2F6E"/>
    <w:rsid w:val="00BE41ED"/>
    <w:rsid w:val="00BE74A9"/>
    <w:rsid w:val="00BF2C12"/>
    <w:rsid w:val="00BF2D46"/>
    <w:rsid w:val="00BF70EF"/>
    <w:rsid w:val="00C04065"/>
    <w:rsid w:val="00C14111"/>
    <w:rsid w:val="00C15FED"/>
    <w:rsid w:val="00C3013C"/>
    <w:rsid w:val="00C31537"/>
    <w:rsid w:val="00C37F16"/>
    <w:rsid w:val="00C42E2D"/>
    <w:rsid w:val="00C56B6D"/>
    <w:rsid w:val="00C61A14"/>
    <w:rsid w:val="00C663C0"/>
    <w:rsid w:val="00C82BF3"/>
    <w:rsid w:val="00C82F8F"/>
    <w:rsid w:val="00C879ED"/>
    <w:rsid w:val="00C90F97"/>
    <w:rsid w:val="00CB08D3"/>
    <w:rsid w:val="00CB0B54"/>
    <w:rsid w:val="00CB1BBD"/>
    <w:rsid w:val="00CB1D88"/>
    <w:rsid w:val="00CB22F8"/>
    <w:rsid w:val="00CB444E"/>
    <w:rsid w:val="00CC24D6"/>
    <w:rsid w:val="00CC3074"/>
    <w:rsid w:val="00CC3421"/>
    <w:rsid w:val="00CC4CA0"/>
    <w:rsid w:val="00CC6DCE"/>
    <w:rsid w:val="00CD178E"/>
    <w:rsid w:val="00CD4136"/>
    <w:rsid w:val="00CD7D0E"/>
    <w:rsid w:val="00CE1E2D"/>
    <w:rsid w:val="00CF0574"/>
    <w:rsid w:val="00CF4484"/>
    <w:rsid w:val="00CF4669"/>
    <w:rsid w:val="00CF4DF9"/>
    <w:rsid w:val="00CF5A4B"/>
    <w:rsid w:val="00D00EDF"/>
    <w:rsid w:val="00D0193C"/>
    <w:rsid w:val="00D03D5C"/>
    <w:rsid w:val="00D04A67"/>
    <w:rsid w:val="00D06591"/>
    <w:rsid w:val="00D100B8"/>
    <w:rsid w:val="00D16C4E"/>
    <w:rsid w:val="00D2030C"/>
    <w:rsid w:val="00D216A2"/>
    <w:rsid w:val="00D22413"/>
    <w:rsid w:val="00D22922"/>
    <w:rsid w:val="00D24675"/>
    <w:rsid w:val="00D278AB"/>
    <w:rsid w:val="00D3468B"/>
    <w:rsid w:val="00D3470E"/>
    <w:rsid w:val="00D40797"/>
    <w:rsid w:val="00D4695F"/>
    <w:rsid w:val="00D469A4"/>
    <w:rsid w:val="00D50D02"/>
    <w:rsid w:val="00D51D25"/>
    <w:rsid w:val="00D52820"/>
    <w:rsid w:val="00D52AD8"/>
    <w:rsid w:val="00D559F7"/>
    <w:rsid w:val="00D60C4F"/>
    <w:rsid w:val="00D62FE6"/>
    <w:rsid w:val="00D6526A"/>
    <w:rsid w:val="00D66C57"/>
    <w:rsid w:val="00D705ED"/>
    <w:rsid w:val="00D710FF"/>
    <w:rsid w:val="00D74608"/>
    <w:rsid w:val="00D74B90"/>
    <w:rsid w:val="00D81ABF"/>
    <w:rsid w:val="00D9542D"/>
    <w:rsid w:val="00D96494"/>
    <w:rsid w:val="00D96647"/>
    <w:rsid w:val="00D97254"/>
    <w:rsid w:val="00DA2929"/>
    <w:rsid w:val="00DA4EA0"/>
    <w:rsid w:val="00DA60FD"/>
    <w:rsid w:val="00DA6614"/>
    <w:rsid w:val="00DA69AE"/>
    <w:rsid w:val="00DA7700"/>
    <w:rsid w:val="00DB082E"/>
    <w:rsid w:val="00DB2056"/>
    <w:rsid w:val="00DB26EE"/>
    <w:rsid w:val="00DB4D2E"/>
    <w:rsid w:val="00DC1BF0"/>
    <w:rsid w:val="00DD584C"/>
    <w:rsid w:val="00DE06E0"/>
    <w:rsid w:val="00DE0948"/>
    <w:rsid w:val="00DE1917"/>
    <w:rsid w:val="00DE50CE"/>
    <w:rsid w:val="00DE51B0"/>
    <w:rsid w:val="00DF48DD"/>
    <w:rsid w:val="00DF5E82"/>
    <w:rsid w:val="00DF77C1"/>
    <w:rsid w:val="00E00D2A"/>
    <w:rsid w:val="00E06E46"/>
    <w:rsid w:val="00E07274"/>
    <w:rsid w:val="00E07844"/>
    <w:rsid w:val="00E13A55"/>
    <w:rsid w:val="00E17577"/>
    <w:rsid w:val="00E23345"/>
    <w:rsid w:val="00E25287"/>
    <w:rsid w:val="00E25769"/>
    <w:rsid w:val="00E25CFC"/>
    <w:rsid w:val="00E27291"/>
    <w:rsid w:val="00E30A66"/>
    <w:rsid w:val="00E467B6"/>
    <w:rsid w:val="00E51302"/>
    <w:rsid w:val="00E53FFF"/>
    <w:rsid w:val="00E54A97"/>
    <w:rsid w:val="00E54D69"/>
    <w:rsid w:val="00E5594A"/>
    <w:rsid w:val="00E63C13"/>
    <w:rsid w:val="00E64C97"/>
    <w:rsid w:val="00E70270"/>
    <w:rsid w:val="00E70AE6"/>
    <w:rsid w:val="00E76A6C"/>
    <w:rsid w:val="00E8540B"/>
    <w:rsid w:val="00E949A0"/>
    <w:rsid w:val="00E95B5F"/>
    <w:rsid w:val="00E95BE8"/>
    <w:rsid w:val="00E97473"/>
    <w:rsid w:val="00EA1236"/>
    <w:rsid w:val="00EA32C3"/>
    <w:rsid w:val="00EA68AE"/>
    <w:rsid w:val="00EA797E"/>
    <w:rsid w:val="00EB40DD"/>
    <w:rsid w:val="00EB6BFC"/>
    <w:rsid w:val="00EB6F24"/>
    <w:rsid w:val="00EC53EF"/>
    <w:rsid w:val="00EC6056"/>
    <w:rsid w:val="00EC6CCC"/>
    <w:rsid w:val="00EC7E0F"/>
    <w:rsid w:val="00ED51E6"/>
    <w:rsid w:val="00ED66F0"/>
    <w:rsid w:val="00EE11AB"/>
    <w:rsid w:val="00EE18F4"/>
    <w:rsid w:val="00EE1AF6"/>
    <w:rsid w:val="00EE1EB4"/>
    <w:rsid w:val="00EE2AC6"/>
    <w:rsid w:val="00EF15E3"/>
    <w:rsid w:val="00F0308D"/>
    <w:rsid w:val="00F0350D"/>
    <w:rsid w:val="00F04A47"/>
    <w:rsid w:val="00F04B57"/>
    <w:rsid w:val="00F04BFE"/>
    <w:rsid w:val="00F103C5"/>
    <w:rsid w:val="00F10B80"/>
    <w:rsid w:val="00F10C5D"/>
    <w:rsid w:val="00F1144A"/>
    <w:rsid w:val="00F1424F"/>
    <w:rsid w:val="00F16F30"/>
    <w:rsid w:val="00F17126"/>
    <w:rsid w:val="00F20DF8"/>
    <w:rsid w:val="00F2109D"/>
    <w:rsid w:val="00F23858"/>
    <w:rsid w:val="00F27DAA"/>
    <w:rsid w:val="00F32AC2"/>
    <w:rsid w:val="00F40F55"/>
    <w:rsid w:val="00F41F52"/>
    <w:rsid w:val="00F421E9"/>
    <w:rsid w:val="00F43D6E"/>
    <w:rsid w:val="00F45C4A"/>
    <w:rsid w:val="00F466F2"/>
    <w:rsid w:val="00F50523"/>
    <w:rsid w:val="00F631D2"/>
    <w:rsid w:val="00F654F5"/>
    <w:rsid w:val="00F6604C"/>
    <w:rsid w:val="00F7370E"/>
    <w:rsid w:val="00F73BE6"/>
    <w:rsid w:val="00F73FAF"/>
    <w:rsid w:val="00F839CA"/>
    <w:rsid w:val="00F84578"/>
    <w:rsid w:val="00F90DCC"/>
    <w:rsid w:val="00F92A04"/>
    <w:rsid w:val="00F93636"/>
    <w:rsid w:val="00FA0837"/>
    <w:rsid w:val="00FA176F"/>
    <w:rsid w:val="00FA5C47"/>
    <w:rsid w:val="00FA6ACC"/>
    <w:rsid w:val="00FB1E43"/>
    <w:rsid w:val="00FB4F0F"/>
    <w:rsid w:val="00FC32E2"/>
    <w:rsid w:val="00FD0CCA"/>
    <w:rsid w:val="00FD2031"/>
    <w:rsid w:val="00FD2586"/>
    <w:rsid w:val="00FD2D72"/>
    <w:rsid w:val="00FE2EA6"/>
    <w:rsid w:val="00FE3660"/>
    <w:rsid w:val="00FE6C56"/>
    <w:rsid w:val="00FF22E7"/>
    <w:rsid w:val="00FF301D"/>
    <w:rsid w:val="00FF38D2"/>
    <w:rsid w:val="015B5C26"/>
    <w:rsid w:val="01613B08"/>
    <w:rsid w:val="01780EF9"/>
    <w:rsid w:val="017E7E13"/>
    <w:rsid w:val="01B253F1"/>
    <w:rsid w:val="01C839E8"/>
    <w:rsid w:val="02063FE0"/>
    <w:rsid w:val="020E3BD1"/>
    <w:rsid w:val="02262316"/>
    <w:rsid w:val="024471A4"/>
    <w:rsid w:val="024A3F53"/>
    <w:rsid w:val="0250542F"/>
    <w:rsid w:val="0252665D"/>
    <w:rsid w:val="02876CFB"/>
    <w:rsid w:val="02A420E9"/>
    <w:rsid w:val="02BE378E"/>
    <w:rsid w:val="02CC2C88"/>
    <w:rsid w:val="02DA25ED"/>
    <w:rsid w:val="02EC6E78"/>
    <w:rsid w:val="02FF41F8"/>
    <w:rsid w:val="02FF7A7B"/>
    <w:rsid w:val="03144705"/>
    <w:rsid w:val="032121AE"/>
    <w:rsid w:val="0356048A"/>
    <w:rsid w:val="03632FF4"/>
    <w:rsid w:val="036A3D91"/>
    <w:rsid w:val="03772BBD"/>
    <w:rsid w:val="03C4523A"/>
    <w:rsid w:val="03E37CED"/>
    <w:rsid w:val="03F97C93"/>
    <w:rsid w:val="04000C4A"/>
    <w:rsid w:val="04036024"/>
    <w:rsid w:val="041002A7"/>
    <w:rsid w:val="043F7E3A"/>
    <w:rsid w:val="044211F9"/>
    <w:rsid w:val="044F06A2"/>
    <w:rsid w:val="045F14E8"/>
    <w:rsid w:val="04664A43"/>
    <w:rsid w:val="0473002A"/>
    <w:rsid w:val="047B5ED4"/>
    <w:rsid w:val="048D1116"/>
    <w:rsid w:val="04A07A9D"/>
    <w:rsid w:val="04E8539D"/>
    <w:rsid w:val="05153DC1"/>
    <w:rsid w:val="055E085F"/>
    <w:rsid w:val="05632096"/>
    <w:rsid w:val="05AB334D"/>
    <w:rsid w:val="05B446D8"/>
    <w:rsid w:val="05DE592C"/>
    <w:rsid w:val="05E155B5"/>
    <w:rsid w:val="061A2FEC"/>
    <w:rsid w:val="062D05D7"/>
    <w:rsid w:val="062D43AF"/>
    <w:rsid w:val="06587865"/>
    <w:rsid w:val="06994D63"/>
    <w:rsid w:val="069950C9"/>
    <w:rsid w:val="06A7735C"/>
    <w:rsid w:val="06BB2D1A"/>
    <w:rsid w:val="06E30379"/>
    <w:rsid w:val="07117EA5"/>
    <w:rsid w:val="071C1AB9"/>
    <w:rsid w:val="072226E3"/>
    <w:rsid w:val="073D5055"/>
    <w:rsid w:val="07502AAB"/>
    <w:rsid w:val="07684137"/>
    <w:rsid w:val="077E0859"/>
    <w:rsid w:val="079F680F"/>
    <w:rsid w:val="07AA4BA0"/>
    <w:rsid w:val="07B11D04"/>
    <w:rsid w:val="07BF4B46"/>
    <w:rsid w:val="07CF6CC4"/>
    <w:rsid w:val="080A4AE3"/>
    <w:rsid w:val="082038E6"/>
    <w:rsid w:val="08377C87"/>
    <w:rsid w:val="08387ADC"/>
    <w:rsid w:val="084D7C2D"/>
    <w:rsid w:val="08537123"/>
    <w:rsid w:val="08A34DB8"/>
    <w:rsid w:val="08B84D5E"/>
    <w:rsid w:val="08CE2694"/>
    <w:rsid w:val="08D8008B"/>
    <w:rsid w:val="08D97784"/>
    <w:rsid w:val="08E05465"/>
    <w:rsid w:val="09076BB6"/>
    <w:rsid w:val="091A3AFD"/>
    <w:rsid w:val="091B377D"/>
    <w:rsid w:val="095161D6"/>
    <w:rsid w:val="09667F64"/>
    <w:rsid w:val="0972418C"/>
    <w:rsid w:val="099D0853"/>
    <w:rsid w:val="09AB2186"/>
    <w:rsid w:val="09B24F76"/>
    <w:rsid w:val="09E92ED1"/>
    <w:rsid w:val="09E9764E"/>
    <w:rsid w:val="09F86AFF"/>
    <w:rsid w:val="0A1B280C"/>
    <w:rsid w:val="0A1E592A"/>
    <w:rsid w:val="0A296AEF"/>
    <w:rsid w:val="0A3B156F"/>
    <w:rsid w:val="0A4A1C71"/>
    <w:rsid w:val="0A4F3F1F"/>
    <w:rsid w:val="0A5F6393"/>
    <w:rsid w:val="0A616013"/>
    <w:rsid w:val="0A765FB8"/>
    <w:rsid w:val="0A7E4785"/>
    <w:rsid w:val="0A814349"/>
    <w:rsid w:val="0AA12680"/>
    <w:rsid w:val="0AED4CFD"/>
    <w:rsid w:val="0B02141F"/>
    <w:rsid w:val="0B243B52"/>
    <w:rsid w:val="0B4A5488"/>
    <w:rsid w:val="0B591E2E"/>
    <w:rsid w:val="0B7061D0"/>
    <w:rsid w:val="0BA04BCB"/>
    <w:rsid w:val="0BBC084E"/>
    <w:rsid w:val="0BC37EF7"/>
    <w:rsid w:val="0BC76BDF"/>
    <w:rsid w:val="0BD139AD"/>
    <w:rsid w:val="0BD931E4"/>
    <w:rsid w:val="0BE774F3"/>
    <w:rsid w:val="0BE962F4"/>
    <w:rsid w:val="0BF132A6"/>
    <w:rsid w:val="0C0E7E2C"/>
    <w:rsid w:val="0C323D10"/>
    <w:rsid w:val="0C7D4391"/>
    <w:rsid w:val="0C826A96"/>
    <w:rsid w:val="0CA26DCC"/>
    <w:rsid w:val="0CAB26D5"/>
    <w:rsid w:val="0CB2514A"/>
    <w:rsid w:val="0CB86D23"/>
    <w:rsid w:val="0CC06DF7"/>
    <w:rsid w:val="0CD30756"/>
    <w:rsid w:val="0CDC5A84"/>
    <w:rsid w:val="0D173089"/>
    <w:rsid w:val="0D375B3C"/>
    <w:rsid w:val="0D401091"/>
    <w:rsid w:val="0D4C5AE1"/>
    <w:rsid w:val="0D4E5761"/>
    <w:rsid w:val="0D5209D6"/>
    <w:rsid w:val="0D583AF2"/>
    <w:rsid w:val="0D631E83"/>
    <w:rsid w:val="0D815336"/>
    <w:rsid w:val="0DAF4501"/>
    <w:rsid w:val="0DDA0BC8"/>
    <w:rsid w:val="0DE66BD9"/>
    <w:rsid w:val="0E041E44"/>
    <w:rsid w:val="0E0446DA"/>
    <w:rsid w:val="0E064F10"/>
    <w:rsid w:val="0E2D6BE3"/>
    <w:rsid w:val="0E38194F"/>
    <w:rsid w:val="0E6E70C2"/>
    <w:rsid w:val="0ECA35E0"/>
    <w:rsid w:val="0EFC7664"/>
    <w:rsid w:val="0F2A642E"/>
    <w:rsid w:val="0F2B146F"/>
    <w:rsid w:val="0F411414"/>
    <w:rsid w:val="0F415F55"/>
    <w:rsid w:val="0F565B36"/>
    <w:rsid w:val="0F773AEC"/>
    <w:rsid w:val="0F822D37"/>
    <w:rsid w:val="0F8D66E3"/>
    <w:rsid w:val="0FC264EA"/>
    <w:rsid w:val="0FD32136"/>
    <w:rsid w:val="0FF615CF"/>
    <w:rsid w:val="100E3295"/>
    <w:rsid w:val="101A6DDD"/>
    <w:rsid w:val="10454DEF"/>
    <w:rsid w:val="104C0AA7"/>
    <w:rsid w:val="1091203B"/>
    <w:rsid w:val="10B10371"/>
    <w:rsid w:val="10DD09CD"/>
    <w:rsid w:val="10E82A49"/>
    <w:rsid w:val="10EB0C4B"/>
    <w:rsid w:val="10F13D3E"/>
    <w:rsid w:val="10F20DDB"/>
    <w:rsid w:val="112934B3"/>
    <w:rsid w:val="1149506D"/>
    <w:rsid w:val="114E3250"/>
    <w:rsid w:val="116B779F"/>
    <w:rsid w:val="116E1D70"/>
    <w:rsid w:val="11803EC2"/>
    <w:rsid w:val="118B5AD6"/>
    <w:rsid w:val="11D648D0"/>
    <w:rsid w:val="11E83687"/>
    <w:rsid w:val="124D3615"/>
    <w:rsid w:val="124F5566"/>
    <w:rsid w:val="125437C8"/>
    <w:rsid w:val="12545241"/>
    <w:rsid w:val="125E1D24"/>
    <w:rsid w:val="12D0036B"/>
    <w:rsid w:val="12FB4A33"/>
    <w:rsid w:val="12FC46B3"/>
    <w:rsid w:val="13110DD5"/>
    <w:rsid w:val="132B5C51"/>
    <w:rsid w:val="13380FA4"/>
    <w:rsid w:val="13BD6C4F"/>
    <w:rsid w:val="13C96048"/>
    <w:rsid w:val="13CA3E07"/>
    <w:rsid w:val="13D42198"/>
    <w:rsid w:val="14044C24"/>
    <w:rsid w:val="140A7612"/>
    <w:rsid w:val="140B4870"/>
    <w:rsid w:val="141F7C4B"/>
    <w:rsid w:val="14576EEE"/>
    <w:rsid w:val="145854BE"/>
    <w:rsid w:val="14F340D1"/>
    <w:rsid w:val="14FE5492"/>
    <w:rsid w:val="1505030B"/>
    <w:rsid w:val="15520B1C"/>
    <w:rsid w:val="15B31106"/>
    <w:rsid w:val="15BD7ABA"/>
    <w:rsid w:val="15D04E74"/>
    <w:rsid w:val="15E9057E"/>
    <w:rsid w:val="1614370C"/>
    <w:rsid w:val="16456B73"/>
    <w:rsid w:val="16551DC7"/>
    <w:rsid w:val="166A5654"/>
    <w:rsid w:val="1684392C"/>
    <w:rsid w:val="16ED23AA"/>
    <w:rsid w:val="16EF6A8B"/>
    <w:rsid w:val="170F2F19"/>
    <w:rsid w:val="173B5475"/>
    <w:rsid w:val="1742799D"/>
    <w:rsid w:val="17442DB9"/>
    <w:rsid w:val="17707100"/>
    <w:rsid w:val="178B79B7"/>
    <w:rsid w:val="179671F7"/>
    <w:rsid w:val="179F218D"/>
    <w:rsid w:val="17AA4956"/>
    <w:rsid w:val="17AF0344"/>
    <w:rsid w:val="17B335B7"/>
    <w:rsid w:val="17E75E45"/>
    <w:rsid w:val="180A6A47"/>
    <w:rsid w:val="182868AE"/>
    <w:rsid w:val="188A0ED1"/>
    <w:rsid w:val="188E620A"/>
    <w:rsid w:val="18A46C1D"/>
    <w:rsid w:val="18BB4C6C"/>
    <w:rsid w:val="18CC635C"/>
    <w:rsid w:val="18D57CCC"/>
    <w:rsid w:val="18F54926"/>
    <w:rsid w:val="1907596D"/>
    <w:rsid w:val="19213DFF"/>
    <w:rsid w:val="192F74CA"/>
    <w:rsid w:val="19414DFD"/>
    <w:rsid w:val="194C6A11"/>
    <w:rsid w:val="19500ADD"/>
    <w:rsid w:val="19584A22"/>
    <w:rsid w:val="196C2928"/>
    <w:rsid w:val="196D1144"/>
    <w:rsid w:val="19DB00BB"/>
    <w:rsid w:val="19F26DA8"/>
    <w:rsid w:val="19F86862"/>
    <w:rsid w:val="1A2402D6"/>
    <w:rsid w:val="1A4F311C"/>
    <w:rsid w:val="1A511BE3"/>
    <w:rsid w:val="1A524C3A"/>
    <w:rsid w:val="1A7C1301"/>
    <w:rsid w:val="1A872F16"/>
    <w:rsid w:val="1AA85649"/>
    <w:rsid w:val="1AB339DA"/>
    <w:rsid w:val="1AB3725D"/>
    <w:rsid w:val="1ABE55EE"/>
    <w:rsid w:val="1B155FFD"/>
    <w:rsid w:val="1B335910"/>
    <w:rsid w:val="1B4A0A55"/>
    <w:rsid w:val="1B745A0B"/>
    <w:rsid w:val="1B9F0E54"/>
    <w:rsid w:val="1BA6337A"/>
    <w:rsid w:val="1BC86E44"/>
    <w:rsid w:val="1BCF2BA4"/>
    <w:rsid w:val="1C074989"/>
    <w:rsid w:val="1C1134B5"/>
    <w:rsid w:val="1C441279"/>
    <w:rsid w:val="1C7A6BC9"/>
    <w:rsid w:val="1CD44C7E"/>
    <w:rsid w:val="1CDB3CD4"/>
    <w:rsid w:val="1CF9709D"/>
    <w:rsid w:val="1D1071B1"/>
    <w:rsid w:val="1D492719"/>
    <w:rsid w:val="1D5C12FB"/>
    <w:rsid w:val="1D691539"/>
    <w:rsid w:val="1DCA7C04"/>
    <w:rsid w:val="1DD65800"/>
    <w:rsid w:val="1DEC1F22"/>
    <w:rsid w:val="1DF14A65"/>
    <w:rsid w:val="1E2D620F"/>
    <w:rsid w:val="1E3845A0"/>
    <w:rsid w:val="1E3A4B14"/>
    <w:rsid w:val="1E6D287C"/>
    <w:rsid w:val="1E7A34C4"/>
    <w:rsid w:val="1E8F0832"/>
    <w:rsid w:val="1EBA3B7D"/>
    <w:rsid w:val="1EF075D2"/>
    <w:rsid w:val="1EFB5963"/>
    <w:rsid w:val="1F2A7576"/>
    <w:rsid w:val="1F3C1C4F"/>
    <w:rsid w:val="1F4E793C"/>
    <w:rsid w:val="1F795EA1"/>
    <w:rsid w:val="1F936DDB"/>
    <w:rsid w:val="1F951427"/>
    <w:rsid w:val="1FE125C1"/>
    <w:rsid w:val="20163B31"/>
    <w:rsid w:val="202A171F"/>
    <w:rsid w:val="202B3AD6"/>
    <w:rsid w:val="203A7567"/>
    <w:rsid w:val="203E3CF7"/>
    <w:rsid w:val="20AE4FA9"/>
    <w:rsid w:val="20BA2EC4"/>
    <w:rsid w:val="20F865BF"/>
    <w:rsid w:val="20F879A7"/>
    <w:rsid w:val="210459B8"/>
    <w:rsid w:val="21107255"/>
    <w:rsid w:val="211F3DA4"/>
    <w:rsid w:val="21354B49"/>
    <w:rsid w:val="21510035"/>
    <w:rsid w:val="21544E63"/>
    <w:rsid w:val="215C473D"/>
    <w:rsid w:val="21862A8E"/>
    <w:rsid w:val="21915E9F"/>
    <w:rsid w:val="21A742B4"/>
    <w:rsid w:val="21B26DD5"/>
    <w:rsid w:val="21C76D7B"/>
    <w:rsid w:val="21CA0992"/>
    <w:rsid w:val="220037E4"/>
    <w:rsid w:val="220A70D2"/>
    <w:rsid w:val="220F6FAB"/>
    <w:rsid w:val="221B291D"/>
    <w:rsid w:val="226650A3"/>
    <w:rsid w:val="22706369"/>
    <w:rsid w:val="22A10C5C"/>
    <w:rsid w:val="22B1563A"/>
    <w:rsid w:val="22C16F92"/>
    <w:rsid w:val="22C67BE6"/>
    <w:rsid w:val="22CB5324"/>
    <w:rsid w:val="22CF1A82"/>
    <w:rsid w:val="22DE2B39"/>
    <w:rsid w:val="22E152C9"/>
    <w:rsid w:val="22EE286F"/>
    <w:rsid w:val="22F54179"/>
    <w:rsid w:val="2302327F"/>
    <w:rsid w:val="230D1610"/>
    <w:rsid w:val="23225D32"/>
    <w:rsid w:val="234E207A"/>
    <w:rsid w:val="2364201F"/>
    <w:rsid w:val="237939DE"/>
    <w:rsid w:val="23796741"/>
    <w:rsid w:val="23AE0B53"/>
    <w:rsid w:val="23DA1617"/>
    <w:rsid w:val="23E76D75"/>
    <w:rsid w:val="23F15106"/>
    <w:rsid w:val="23FC3497"/>
    <w:rsid w:val="243D785C"/>
    <w:rsid w:val="248306A9"/>
    <w:rsid w:val="24A948B4"/>
    <w:rsid w:val="24D40F7C"/>
    <w:rsid w:val="24DC0877"/>
    <w:rsid w:val="24F27B59"/>
    <w:rsid w:val="252C160A"/>
    <w:rsid w:val="25633CE3"/>
    <w:rsid w:val="256E2074"/>
    <w:rsid w:val="257110E9"/>
    <w:rsid w:val="25B5461B"/>
    <w:rsid w:val="25FD5049"/>
    <w:rsid w:val="260E6A47"/>
    <w:rsid w:val="26307BB3"/>
    <w:rsid w:val="26466C94"/>
    <w:rsid w:val="26505EEA"/>
    <w:rsid w:val="269221D6"/>
    <w:rsid w:val="26AD0917"/>
    <w:rsid w:val="26F46475"/>
    <w:rsid w:val="27081D93"/>
    <w:rsid w:val="271F52BE"/>
    <w:rsid w:val="272678F8"/>
    <w:rsid w:val="27355263"/>
    <w:rsid w:val="274A1985"/>
    <w:rsid w:val="27567996"/>
    <w:rsid w:val="278034B1"/>
    <w:rsid w:val="27C0243E"/>
    <w:rsid w:val="280F6124"/>
    <w:rsid w:val="281954D5"/>
    <w:rsid w:val="283A348C"/>
    <w:rsid w:val="284018F1"/>
    <w:rsid w:val="2845181D"/>
    <w:rsid w:val="28606E06"/>
    <w:rsid w:val="28662A6B"/>
    <w:rsid w:val="28701767"/>
    <w:rsid w:val="287A4275"/>
    <w:rsid w:val="287D1ADA"/>
    <w:rsid w:val="28855E8A"/>
    <w:rsid w:val="288F41F4"/>
    <w:rsid w:val="28A456A6"/>
    <w:rsid w:val="28AA58A1"/>
    <w:rsid w:val="28D10507"/>
    <w:rsid w:val="28E64C29"/>
    <w:rsid w:val="28FD2D9A"/>
    <w:rsid w:val="29053FDD"/>
    <w:rsid w:val="290D628B"/>
    <w:rsid w:val="29275693"/>
    <w:rsid w:val="29275AED"/>
    <w:rsid w:val="29432BF3"/>
    <w:rsid w:val="295446D1"/>
    <w:rsid w:val="295D6ADF"/>
    <w:rsid w:val="2998278D"/>
    <w:rsid w:val="29C0238E"/>
    <w:rsid w:val="29C14DF0"/>
    <w:rsid w:val="29E1656E"/>
    <w:rsid w:val="29F74A66"/>
    <w:rsid w:val="2A172D9D"/>
    <w:rsid w:val="2A3854D0"/>
    <w:rsid w:val="2A583806"/>
    <w:rsid w:val="2A63541A"/>
    <w:rsid w:val="2A8F5EDF"/>
    <w:rsid w:val="2A931031"/>
    <w:rsid w:val="2ADB055C"/>
    <w:rsid w:val="2AF00502"/>
    <w:rsid w:val="2B4D4A0F"/>
    <w:rsid w:val="2B683643"/>
    <w:rsid w:val="2B7319D4"/>
    <w:rsid w:val="2BA74957"/>
    <w:rsid w:val="2BBD43D2"/>
    <w:rsid w:val="2BC70AE3"/>
    <w:rsid w:val="2BD7352C"/>
    <w:rsid w:val="2BF04685"/>
    <w:rsid w:val="2BFF4E3C"/>
    <w:rsid w:val="2C164A61"/>
    <w:rsid w:val="2C3D5764"/>
    <w:rsid w:val="2C4B74B9"/>
    <w:rsid w:val="2C8C7F23"/>
    <w:rsid w:val="2C971B37"/>
    <w:rsid w:val="2C9F55D6"/>
    <w:rsid w:val="2CB43AE4"/>
    <w:rsid w:val="2CEF07F8"/>
    <w:rsid w:val="2CEF16AA"/>
    <w:rsid w:val="2D2F2FAF"/>
    <w:rsid w:val="2D3823B3"/>
    <w:rsid w:val="2D6016BC"/>
    <w:rsid w:val="2D901D4F"/>
    <w:rsid w:val="2DD2603B"/>
    <w:rsid w:val="2DD34D6B"/>
    <w:rsid w:val="2DDD43CD"/>
    <w:rsid w:val="2DFF1602"/>
    <w:rsid w:val="2E070A94"/>
    <w:rsid w:val="2E3E316C"/>
    <w:rsid w:val="2E4E5C9A"/>
    <w:rsid w:val="2E671D49"/>
    <w:rsid w:val="2EE161F9"/>
    <w:rsid w:val="2EEB458A"/>
    <w:rsid w:val="2EFA71FD"/>
    <w:rsid w:val="2F0F66E7"/>
    <w:rsid w:val="2F226C62"/>
    <w:rsid w:val="2F642F4F"/>
    <w:rsid w:val="2F9B5627"/>
    <w:rsid w:val="2FA82EF7"/>
    <w:rsid w:val="2FB01D49"/>
    <w:rsid w:val="2FC51CEF"/>
    <w:rsid w:val="2FCC7203"/>
    <w:rsid w:val="2FF936DB"/>
    <w:rsid w:val="2FFF4328"/>
    <w:rsid w:val="30287271"/>
    <w:rsid w:val="307811E6"/>
    <w:rsid w:val="309B5748"/>
    <w:rsid w:val="30DE023D"/>
    <w:rsid w:val="30E06AC1"/>
    <w:rsid w:val="313708CB"/>
    <w:rsid w:val="31551F9A"/>
    <w:rsid w:val="3157337F"/>
    <w:rsid w:val="3160592E"/>
    <w:rsid w:val="31C33D33"/>
    <w:rsid w:val="31CF1D43"/>
    <w:rsid w:val="31E41CE9"/>
    <w:rsid w:val="3204479C"/>
    <w:rsid w:val="320F63B0"/>
    <w:rsid w:val="32194741"/>
    <w:rsid w:val="322700F9"/>
    <w:rsid w:val="32354E5D"/>
    <w:rsid w:val="32366035"/>
    <w:rsid w:val="32886A85"/>
    <w:rsid w:val="3292683A"/>
    <w:rsid w:val="32CD06AD"/>
    <w:rsid w:val="32DF5FB5"/>
    <w:rsid w:val="32F31EA6"/>
    <w:rsid w:val="33035692"/>
    <w:rsid w:val="330865C8"/>
    <w:rsid w:val="333C0319"/>
    <w:rsid w:val="334A28B5"/>
    <w:rsid w:val="334E0B62"/>
    <w:rsid w:val="334E7CCE"/>
    <w:rsid w:val="335F5E9A"/>
    <w:rsid w:val="335F6FD7"/>
    <w:rsid w:val="336B4FE8"/>
    <w:rsid w:val="338B331E"/>
    <w:rsid w:val="33C96C1E"/>
    <w:rsid w:val="33CC5453"/>
    <w:rsid w:val="33F73CD2"/>
    <w:rsid w:val="342E2B27"/>
    <w:rsid w:val="347A0A28"/>
    <w:rsid w:val="347A51A5"/>
    <w:rsid w:val="349B1F31"/>
    <w:rsid w:val="34BD542E"/>
    <w:rsid w:val="34DC5030"/>
    <w:rsid w:val="34F23B6A"/>
    <w:rsid w:val="351B6C44"/>
    <w:rsid w:val="351E4699"/>
    <w:rsid w:val="352C0FF8"/>
    <w:rsid w:val="35324954"/>
    <w:rsid w:val="3543125A"/>
    <w:rsid w:val="35460218"/>
    <w:rsid w:val="3570683C"/>
    <w:rsid w:val="359E5308"/>
    <w:rsid w:val="35B516AA"/>
    <w:rsid w:val="35E35372"/>
    <w:rsid w:val="36044BFD"/>
    <w:rsid w:val="36173CCD"/>
    <w:rsid w:val="361A48B6"/>
    <w:rsid w:val="36386400"/>
    <w:rsid w:val="36540FDF"/>
    <w:rsid w:val="36782A6C"/>
    <w:rsid w:val="3679275E"/>
    <w:rsid w:val="369F4805"/>
    <w:rsid w:val="36B43ED1"/>
    <w:rsid w:val="36C41867"/>
    <w:rsid w:val="36C450EA"/>
    <w:rsid w:val="36D9180C"/>
    <w:rsid w:val="36EE68FB"/>
    <w:rsid w:val="36F7729B"/>
    <w:rsid w:val="36FA7ECF"/>
    <w:rsid w:val="370008A6"/>
    <w:rsid w:val="3700091A"/>
    <w:rsid w:val="370434A8"/>
    <w:rsid w:val="3711425A"/>
    <w:rsid w:val="371B2276"/>
    <w:rsid w:val="374765BD"/>
    <w:rsid w:val="37910FBB"/>
    <w:rsid w:val="37B336EE"/>
    <w:rsid w:val="37EC0183"/>
    <w:rsid w:val="37F842E5"/>
    <w:rsid w:val="37F848EE"/>
    <w:rsid w:val="380A7980"/>
    <w:rsid w:val="38134A19"/>
    <w:rsid w:val="382162AE"/>
    <w:rsid w:val="387C1319"/>
    <w:rsid w:val="38BF0494"/>
    <w:rsid w:val="38C550DE"/>
    <w:rsid w:val="38EA06C4"/>
    <w:rsid w:val="3939759E"/>
    <w:rsid w:val="39D97200"/>
    <w:rsid w:val="3A756774"/>
    <w:rsid w:val="3A7D3415"/>
    <w:rsid w:val="3AAB18AC"/>
    <w:rsid w:val="3AAF76E9"/>
    <w:rsid w:val="3AD60D98"/>
    <w:rsid w:val="3ADF5A23"/>
    <w:rsid w:val="3AF3139B"/>
    <w:rsid w:val="3AFF1D3A"/>
    <w:rsid w:val="3B181801"/>
    <w:rsid w:val="3B1A1F68"/>
    <w:rsid w:val="3B2B784C"/>
    <w:rsid w:val="3B3742B4"/>
    <w:rsid w:val="3B3C1029"/>
    <w:rsid w:val="3B425EC8"/>
    <w:rsid w:val="3B4D47CA"/>
    <w:rsid w:val="3B6405FB"/>
    <w:rsid w:val="3B7C36EE"/>
    <w:rsid w:val="3B9A72A6"/>
    <w:rsid w:val="3BB50BDD"/>
    <w:rsid w:val="3BB6483A"/>
    <w:rsid w:val="3BBA3BC6"/>
    <w:rsid w:val="3BD81B26"/>
    <w:rsid w:val="3BF46FF5"/>
    <w:rsid w:val="3C20238B"/>
    <w:rsid w:val="3C213DBA"/>
    <w:rsid w:val="3C2E4AF2"/>
    <w:rsid w:val="3C316E6C"/>
    <w:rsid w:val="3C317D4F"/>
    <w:rsid w:val="3C7E67AB"/>
    <w:rsid w:val="3CBE720A"/>
    <w:rsid w:val="3CDC585A"/>
    <w:rsid w:val="3D0B54B4"/>
    <w:rsid w:val="3D577B32"/>
    <w:rsid w:val="3D8C258A"/>
    <w:rsid w:val="3D98059B"/>
    <w:rsid w:val="3DA3692C"/>
    <w:rsid w:val="3DC56E59"/>
    <w:rsid w:val="3DCD2FF3"/>
    <w:rsid w:val="3DEB22C2"/>
    <w:rsid w:val="3E301A13"/>
    <w:rsid w:val="3E5802C7"/>
    <w:rsid w:val="3E5B60DB"/>
    <w:rsid w:val="3E610980"/>
    <w:rsid w:val="3EBC06FE"/>
    <w:rsid w:val="3ED24E20"/>
    <w:rsid w:val="3EF37553"/>
    <w:rsid w:val="3EFE1167"/>
    <w:rsid w:val="3F0E53B2"/>
    <w:rsid w:val="3F0F0EC6"/>
    <w:rsid w:val="3F4A7F61"/>
    <w:rsid w:val="3F7E000A"/>
    <w:rsid w:val="3FE24C5D"/>
    <w:rsid w:val="3FF33ABC"/>
    <w:rsid w:val="3FF7137F"/>
    <w:rsid w:val="3FFA667A"/>
    <w:rsid w:val="3FFE4B25"/>
    <w:rsid w:val="40022F93"/>
    <w:rsid w:val="40093CF1"/>
    <w:rsid w:val="400D1324"/>
    <w:rsid w:val="404E1D8E"/>
    <w:rsid w:val="40537085"/>
    <w:rsid w:val="406C34A7"/>
    <w:rsid w:val="406E00C4"/>
    <w:rsid w:val="40703831"/>
    <w:rsid w:val="409F417A"/>
    <w:rsid w:val="40A5279C"/>
    <w:rsid w:val="40C60753"/>
    <w:rsid w:val="40DC06F8"/>
    <w:rsid w:val="412874F2"/>
    <w:rsid w:val="41325883"/>
    <w:rsid w:val="41397F97"/>
    <w:rsid w:val="413D7498"/>
    <w:rsid w:val="415D2DCB"/>
    <w:rsid w:val="41746A76"/>
    <w:rsid w:val="41891B15"/>
    <w:rsid w:val="418B4EC6"/>
    <w:rsid w:val="41947EA6"/>
    <w:rsid w:val="41AA4248"/>
    <w:rsid w:val="41B028F7"/>
    <w:rsid w:val="41F07292"/>
    <w:rsid w:val="42000795"/>
    <w:rsid w:val="42161379"/>
    <w:rsid w:val="422C131F"/>
    <w:rsid w:val="42415A41"/>
    <w:rsid w:val="42755514"/>
    <w:rsid w:val="42780119"/>
    <w:rsid w:val="42831D2D"/>
    <w:rsid w:val="428D00BE"/>
    <w:rsid w:val="42B94406"/>
    <w:rsid w:val="42DE2309"/>
    <w:rsid w:val="42EE6E5E"/>
    <w:rsid w:val="42F06ADE"/>
    <w:rsid w:val="43251536"/>
    <w:rsid w:val="433E0481"/>
    <w:rsid w:val="4351587E"/>
    <w:rsid w:val="43661FA0"/>
    <w:rsid w:val="4391742F"/>
    <w:rsid w:val="439E7EFB"/>
    <w:rsid w:val="43BB10B7"/>
    <w:rsid w:val="43C0648E"/>
    <w:rsid w:val="43D32954"/>
    <w:rsid w:val="43D64AC0"/>
    <w:rsid w:val="44146C41"/>
    <w:rsid w:val="44261FAB"/>
    <w:rsid w:val="442D7CFA"/>
    <w:rsid w:val="443B5F2D"/>
    <w:rsid w:val="44410728"/>
    <w:rsid w:val="447659E0"/>
    <w:rsid w:val="447A56AB"/>
    <w:rsid w:val="44CC63EF"/>
    <w:rsid w:val="44DC10B0"/>
    <w:rsid w:val="44EB6589"/>
    <w:rsid w:val="44F86EB3"/>
    <w:rsid w:val="44F92736"/>
    <w:rsid w:val="45037F19"/>
    <w:rsid w:val="45371BC2"/>
    <w:rsid w:val="4544138D"/>
    <w:rsid w:val="459C742A"/>
    <w:rsid w:val="45A339F7"/>
    <w:rsid w:val="45A63B54"/>
    <w:rsid w:val="45B11EE5"/>
    <w:rsid w:val="45BB0276"/>
    <w:rsid w:val="45C76287"/>
    <w:rsid w:val="45C8152B"/>
    <w:rsid w:val="45F2294E"/>
    <w:rsid w:val="46737A24"/>
    <w:rsid w:val="46976F37"/>
    <w:rsid w:val="46B53D11"/>
    <w:rsid w:val="46C85F4E"/>
    <w:rsid w:val="46EB2B66"/>
    <w:rsid w:val="46F4666A"/>
    <w:rsid w:val="4714279A"/>
    <w:rsid w:val="47423575"/>
    <w:rsid w:val="47530F4C"/>
    <w:rsid w:val="476338F4"/>
    <w:rsid w:val="478E5F52"/>
    <w:rsid w:val="47997807"/>
    <w:rsid w:val="47D312E7"/>
    <w:rsid w:val="47DA0270"/>
    <w:rsid w:val="47DB3121"/>
    <w:rsid w:val="47E56601"/>
    <w:rsid w:val="47FA65A7"/>
    <w:rsid w:val="480745B8"/>
    <w:rsid w:val="482002F8"/>
    <w:rsid w:val="48263FFF"/>
    <w:rsid w:val="484374D3"/>
    <w:rsid w:val="485D4FC6"/>
    <w:rsid w:val="487D7A79"/>
    <w:rsid w:val="48C920F7"/>
    <w:rsid w:val="48DF6B7F"/>
    <w:rsid w:val="48FA5A4D"/>
    <w:rsid w:val="4912204B"/>
    <w:rsid w:val="492B471A"/>
    <w:rsid w:val="492F716B"/>
    <w:rsid w:val="493B38D3"/>
    <w:rsid w:val="49400E3C"/>
    <w:rsid w:val="494C6E4D"/>
    <w:rsid w:val="4961356F"/>
    <w:rsid w:val="49682A4A"/>
    <w:rsid w:val="49773515"/>
    <w:rsid w:val="498118A6"/>
    <w:rsid w:val="498175BF"/>
    <w:rsid w:val="49A17BDC"/>
    <w:rsid w:val="49AF7A77"/>
    <w:rsid w:val="49B95993"/>
    <w:rsid w:val="49ED71E7"/>
    <w:rsid w:val="4A04301C"/>
    <w:rsid w:val="4A0465FC"/>
    <w:rsid w:val="4A15173F"/>
    <w:rsid w:val="4A492A84"/>
    <w:rsid w:val="4A521032"/>
    <w:rsid w:val="4A9F5643"/>
    <w:rsid w:val="4AA04A7E"/>
    <w:rsid w:val="4AAE56E3"/>
    <w:rsid w:val="4ABC5DAA"/>
    <w:rsid w:val="4AC779BE"/>
    <w:rsid w:val="4AD7010F"/>
    <w:rsid w:val="4AD87A63"/>
    <w:rsid w:val="4B136AB7"/>
    <w:rsid w:val="4B1E3E76"/>
    <w:rsid w:val="4B3941DC"/>
    <w:rsid w:val="4B5F0E37"/>
    <w:rsid w:val="4B6C4B6D"/>
    <w:rsid w:val="4B8D5F83"/>
    <w:rsid w:val="4B9F6F8D"/>
    <w:rsid w:val="4BC21585"/>
    <w:rsid w:val="4BC875F1"/>
    <w:rsid w:val="4BC96322"/>
    <w:rsid w:val="4BE46BD2"/>
    <w:rsid w:val="4C090349"/>
    <w:rsid w:val="4C174D66"/>
    <w:rsid w:val="4C1B372C"/>
    <w:rsid w:val="4C3D34BC"/>
    <w:rsid w:val="4C437533"/>
    <w:rsid w:val="4C576AA4"/>
    <w:rsid w:val="4C58342F"/>
    <w:rsid w:val="4C5948D2"/>
    <w:rsid w:val="4C740918"/>
    <w:rsid w:val="4CA536CC"/>
    <w:rsid w:val="4CBA3672"/>
    <w:rsid w:val="4CC06EB8"/>
    <w:rsid w:val="4CE64136"/>
    <w:rsid w:val="4D280422"/>
    <w:rsid w:val="4D3267B3"/>
    <w:rsid w:val="4D3D4B44"/>
    <w:rsid w:val="4D472ED5"/>
    <w:rsid w:val="4D486759"/>
    <w:rsid w:val="4D4A2CC3"/>
    <w:rsid w:val="4D7D11B1"/>
    <w:rsid w:val="4D9862DA"/>
    <w:rsid w:val="4DA031E8"/>
    <w:rsid w:val="4DB33889"/>
    <w:rsid w:val="4DC0189A"/>
    <w:rsid w:val="4DD060A7"/>
    <w:rsid w:val="4DF542F3"/>
    <w:rsid w:val="4DF57B76"/>
    <w:rsid w:val="4E0C3F18"/>
    <w:rsid w:val="4E2D6E98"/>
    <w:rsid w:val="4E635934"/>
    <w:rsid w:val="4EAC3463"/>
    <w:rsid w:val="4EB835B9"/>
    <w:rsid w:val="4EB856B6"/>
    <w:rsid w:val="4EB95335"/>
    <w:rsid w:val="4EDB4B21"/>
    <w:rsid w:val="4EE3469F"/>
    <w:rsid w:val="4F0B42B3"/>
    <w:rsid w:val="4F1B40D5"/>
    <w:rsid w:val="4F1E2885"/>
    <w:rsid w:val="4F22642A"/>
    <w:rsid w:val="4F2A3ECB"/>
    <w:rsid w:val="4F30407B"/>
    <w:rsid w:val="4F4B4FB4"/>
    <w:rsid w:val="4F676753"/>
    <w:rsid w:val="4FBD38DE"/>
    <w:rsid w:val="4FC65011"/>
    <w:rsid w:val="4FF65262"/>
    <w:rsid w:val="4FFF7BCB"/>
    <w:rsid w:val="501D65D7"/>
    <w:rsid w:val="503865B0"/>
    <w:rsid w:val="5075308D"/>
    <w:rsid w:val="508177C1"/>
    <w:rsid w:val="508B3032"/>
    <w:rsid w:val="50947035"/>
    <w:rsid w:val="509902C2"/>
    <w:rsid w:val="50C2570B"/>
    <w:rsid w:val="50CE2760"/>
    <w:rsid w:val="50D756B0"/>
    <w:rsid w:val="51047233"/>
    <w:rsid w:val="513B5E34"/>
    <w:rsid w:val="516E1DBA"/>
    <w:rsid w:val="517A073C"/>
    <w:rsid w:val="518F4E5F"/>
    <w:rsid w:val="51914ADE"/>
    <w:rsid w:val="51933CCA"/>
    <w:rsid w:val="51B12E15"/>
    <w:rsid w:val="51E6586D"/>
    <w:rsid w:val="51E754ED"/>
    <w:rsid w:val="51FC376B"/>
    <w:rsid w:val="523B4020"/>
    <w:rsid w:val="5249428D"/>
    <w:rsid w:val="5254578A"/>
    <w:rsid w:val="52730954"/>
    <w:rsid w:val="527E6CE5"/>
    <w:rsid w:val="52904BAA"/>
    <w:rsid w:val="530C10F9"/>
    <w:rsid w:val="53305F49"/>
    <w:rsid w:val="536227DB"/>
    <w:rsid w:val="536C7436"/>
    <w:rsid w:val="53843252"/>
    <w:rsid w:val="53D23CB0"/>
    <w:rsid w:val="53DA11A0"/>
    <w:rsid w:val="53DE3C37"/>
    <w:rsid w:val="53F57ABF"/>
    <w:rsid w:val="53F67CC4"/>
    <w:rsid w:val="54055868"/>
    <w:rsid w:val="540814C2"/>
    <w:rsid w:val="540E69B3"/>
    <w:rsid w:val="54264079"/>
    <w:rsid w:val="54463A92"/>
    <w:rsid w:val="54471B54"/>
    <w:rsid w:val="545C6276"/>
    <w:rsid w:val="546017B9"/>
    <w:rsid w:val="5472094E"/>
    <w:rsid w:val="547A6C91"/>
    <w:rsid w:val="5481770E"/>
    <w:rsid w:val="548D08E7"/>
    <w:rsid w:val="548F3441"/>
    <w:rsid w:val="549176AE"/>
    <w:rsid w:val="549E4060"/>
    <w:rsid w:val="55114135"/>
    <w:rsid w:val="55456A4B"/>
    <w:rsid w:val="55623928"/>
    <w:rsid w:val="55736CD5"/>
    <w:rsid w:val="5574675D"/>
    <w:rsid w:val="55A2514C"/>
    <w:rsid w:val="55BB111B"/>
    <w:rsid w:val="55C061A9"/>
    <w:rsid w:val="55CD4E53"/>
    <w:rsid w:val="55E60B72"/>
    <w:rsid w:val="560378AC"/>
    <w:rsid w:val="560F58BD"/>
    <w:rsid w:val="562B0E0C"/>
    <w:rsid w:val="565902BA"/>
    <w:rsid w:val="567C3557"/>
    <w:rsid w:val="56941843"/>
    <w:rsid w:val="56A17808"/>
    <w:rsid w:val="56A9665F"/>
    <w:rsid w:val="56D26C7F"/>
    <w:rsid w:val="56E91338"/>
    <w:rsid w:val="570B5468"/>
    <w:rsid w:val="571333E6"/>
    <w:rsid w:val="571E12FD"/>
    <w:rsid w:val="571E4756"/>
    <w:rsid w:val="573F3A30"/>
    <w:rsid w:val="57782D6B"/>
    <w:rsid w:val="579447BF"/>
    <w:rsid w:val="5794796C"/>
    <w:rsid w:val="57A027D0"/>
    <w:rsid w:val="580D3184"/>
    <w:rsid w:val="5843585C"/>
    <w:rsid w:val="58763018"/>
    <w:rsid w:val="5892447D"/>
    <w:rsid w:val="58A83287"/>
    <w:rsid w:val="58B0484B"/>
    <w:rsid w:val="58DA7055"/>
    <w:rsid w:val="58FB7C62"/>
    <w:rsid w:val="591B3341"/>
    <w:rsid w:val="591D70E8"/>
    <w:rsid w:val="593E0497"/>
    <w:rsid w:val="594A2B81"/>
    <w:rsid w:val="59870472"/>
    <w:rsid w:val="59A92BA5"/>
    <w:rsid w:val="5A006E37"/>
    <w:rsid w:val="5A0D31F6"/>
    <w:rsid w:val="5A153559"/>
    <w:rsid w:val="5A29715C"/>
    <w:rsid w:val="5A2C382E"/>
    <w:rsid w:val="5A2F2E97"/>
    <w:rsid w:val="5A5E2B4B"/>
    <w:rsid w:val="5A6C3F68"/>
    <w:rsid w:val="5AA31EC3"/>
    <w:rsid w:val="5AB865E5"/>
    <w:rsid w:val="5AC445F6"/>
    <w:rsid w:val="5AD82774"/>
    <w:rsid w:val="5AEE4311"/>
    <w:rsid w:val="5B076C58"/>
    <w:rsid w:val="5B0F6FF4"/>
    <w:rsid w:val="5B1517D8"/>
    <w:rsid w:val="5B282904"/>
    <w:rsid w:val="5B317C38"/>
    <w:rsid w:val="5B4E7F8A"/>
    <w:rsid w:val="5B527A49"/>
    <w:rsid w:val="5B8F570C"/>
    <w:rsid w:val="5B9B7613"/>
    <w:rsid w:val="5BDF4CBC"/>
    <w:rsid w:val="5BFD0E7B"/>
    <w:rsid w:val="5C0E6824"/>
    <w:rsid w:val="5C314ADB"/>
    <w:rsid w:val="5C3D1C9B"/>
    <w:rsid w:val="5C3F18E4"/>
    <w:rsid w:val="5C405881"/>
    <w:rsid w:val="5C4F371A"/>
    <w:rsid w:val="5C54188A"/>
    <w:rsid w:val="5C5A446D"/>
    <w:rsid w:val="5C6B5C2C"/>
    <w:rsid w:val="5C6C5C83"/>
    <w:rsid w:val="5C80234E"/>
    <w:rsid w:val="5C8B3F62"/>
    <w:rsid w:val="5CC2663A"/>
    <w:rsid w:val="5CDE22D6"/>
    <w:rsid w:val="5D07308D"/>
    <w:rsid w:val="5D0E0CB8"/>
    <w:rsid w:val="5D443390"/>
    <w:rsid w:val="5D4F1722"/>
    <w:rsid w:val="5D6F7A58"/>
    <w:rsid w:val="5D732A96"/>
    <w:rsid w:val="5DAB7CA8"/>
    <w:rsid w:val="5DB05A5F"/>
    <w:rsid w:val="5DBB20D6"/>
    <w:rsid w:val="5DE6679D"/>
    <w:rsid w:val="5DE71717"/>
    <w:rsid w:val="5DEF458F"/>
    <w:rsid w:val="5E1F5384"/>
    <w:rsid w:val="5E222338"/>
    <w:rsid w:val="5E3C0BBA"/>
    <w:rsid w:val="5E3D71AC"/>
    <w:rsid w:val="5E47553D"/>
    <w:rsid w:val="5E83725D"/>
    <w:rsid w:val="5E9C1182"/>
    <w:rsid w:val="5ED919B0"/>
    <w:rsid w:val="5F0D368F"/>
    <w:rsid w:val="5F0E5309"/>
    <w:rsid w:val="5F630059"/>
    <w:rsid w:val="5F632DE7"/>
    <w:rsid w:val="5F714CF9"/>
    <w:rsid w:val="5FE32B00"/>
    <w:rsid w:val="5FF972F0"/>
    <w:rsid w:val="60062B09"/>
    <w:rsid w:val="601A2EBA"/>
    <w:rsid w:val="60467201"/>
    <w:rsid w:val="60623BA2"/>
    <w:rsid w:val="60692BCF"/>
    <w:rsid w:val="606D60EC"/>
    <w:rsid w:val="606D7044"/>
    <w:rsid w:val="608363B4"/>
    <w:rsid w:val="6092362B"/>
    <w:rsid w:val="60A81824"/>
    <w:rsid w:val="60C93F57"/>
    <w:rsid w:val="60CF74FD"/>
    <w:rsid w:val="60E22A54"/>
    <w:rsid w:val="60F4061E"/>
    <w:rsid w:val="610C0159"/>
    <w:rsid w:val="61165BFE"/>
    <w:rsid w:val="614B102D"/>
    <w:rsid w:val="615573BE"/>
    <w:rsid w:val="6160574F"/>
    <w:rsid w:val="616F5794"/>
    <w:rsid w:val="617556F4"/>
    <w:rsid w:val="6188225A"/>
    <w:rsid w:val="618C1A96"/>
    <w:rsid w:val="61933185"/>
    <w:rsid w:val="61C95460"/>
    <w:rsid w:val="61E324A5"/>
    <w:rsid w:val="620C4361"/>
    <w:rsid w:val="62134EFD"/>
    <w:rsid w:val="624034C1"/>
    <w:rsid w:val="62452239"/>
    <w:rsid w:val="62B32AD1"/>
    <w:rsid w:val="62DC26BD"/>
    <w:rsid w:val="63110999"/>
    <w:rsid w:val="63362A37"/>
    <w:rsid w:val="633E4CE0"/>
    <w:rsid w:val="637473B8"/>
    <w:rsid w:val="638A735E"/>
    <w:rsid w:val="6402249F"/>
    <w:rsid w:val="640C0830"/>
    <w:rsid w:val="641E708E"/>
    <w:rsid w:val="644C4DB5"/>
    <w:rsid w:val="64592EAE"/>
    <w:rsid w:val="64A5552C"/>
    <w:rsid w:val="64AF38BD"/>
    <w:rsid w:val="64C53862"/>
    <w:rsid w:val="64F77C93"/>
    <w:rsid w:val="65012EDB"/>
    <w:rsid w:val="65106C65"/>
    <w:rsid w:val="651C4271"/>
    <w:rsid w:val="65400E49"/>
    <w:rsid w:val="657E55A4"/>
    <w:rsid w:val="659E5744"/>
    <w:rsid w:val="65D3276F"/>
    <w:rsid w:val="65DC1BF7"/>
    <w:rsid w:val="65EA7DC1"/>
    <w:rsid w:val="65EE7B6B"/>
    <w:rsid w:val="65F41E35"/>
    <w:rsid w:val="65FA3FCD"/>
    <w:rsid w:val="660A2875"/>
    <w:rsid w:val="66137C9A"/>
    <w:rsid w:val="66154489"/>
    <w:rsid w:val="661F281A"/>
    <w:rsid w:val="663A37A4"/>
    <w:rsid w:val="66526F90"/>
    <w:rsid w:val="665A7C8C"/>
    <w:rsid w:val="665F4168"/>
    <w:rsid w:val="66621415"/>
    <w:rsid w:val="66645B7D"/>
    <w:rsid w:val="666967E6"/>
    <w:rsid w:val="66AD5901"/>
    <w:rsid w:val="66E22C08"/>
    <w:rsid w:val="66F97F7F"/>
    <w:rsid w:val="671B1A8B"/>
    <w:rsid w:val="67292B74"/>
    <w:rsid w:val="672E6180"/>
    <w:rsid w:val="67302657"/>
    <w:rsid w:val="67650933"/>
    <w:rsid w:val="67954099"/>
    <w:rsid w:val="679C300B"/>
    <w:rsid w:val="67B1772D"/>
    <w:rsid w:val="67CA14B7"/>
    <w:rsid w:val="67DD3A75"/>
    <w:rsid w:val="681364CD"/>
    <w:rsid w:val="683C56D9"/>
    <w:rsid w:val="684A4429"/>
    <w:rsid w:val="68601319"/>
    <w:rsid w:val="68806B01"/>
    <w:rsid w:val="68AB4A6F"/>
    <w:rsid w:val="68B747CC"/>
    <w:rsid w:val="68CF678C"/>
    <w:rsid w:val="690C1F68"/>
    <w:rsid w:val="6923420F"/>
    <w:rsid w:val="692D5FB5"/>
    <w:rsid w:val="693708E1"/>
    <w:rsid w:val="695567D7"/>
    <w:rsid w:val="698F6CBE"/>
    <w:rsid w:val="6A120191"/>
    <w:rsid w:val="6A1B0CC9"/>
    <w:rsid w:val="6A3264C7"/>
    <w:rsid w:val="6A5247FE"/>
    <w:rsid w:val="6A5C063B"/>
    <w:rsid w:val="6A680BA0"/>
    <w:rsid w:val="6A736F31"/>
    <w:rsid w:val="6A75300F"/>
    <w:rsid w:val="6A7E0B45"/>
    <w:rsid w:val="6A886ED6"/>
    <w:rsid w:val="6A922F0C"/>
    <w:rsid w:val="6A9E6E7B"/>
    <w:rsid w:val="6AAA4E8C"/>
    <w:rsid w:val="6AB5321D"/>
    <w:rsid w:val="6AC21308"/>
    <w:rsid w:val="6B3610CD"/>
    <w:rsid w:val="6B426304"/>
    <w:rsid w:val="6B583455"/>
    <w:rsid w:val="6BAD7E62"/>
    <w:rsid w:val="6BB94692"/>
    <w:rsid w:val="6BC333DB"/>
    <w:rsid w:val="6C0576C7"/>
    <w:rsid w:val="6C105A58"/>
    <w:rsid w:val="6C1140FF"/>
    <w:rsid w:val="6C1A1F3A"/>
    <w:rsid w:val="6C273B87"/>
    <w:rsid w:val="6C417FED"/>
    <w:rsid w:val="6CB30AE5"/>
    <w:rsid w:val="6CFE7EF0"/>
    <w:rsid w:val="6D400349"/>
    <w:rsid w:val="6D434BA4"/>
    <w:rsid w:val="6D60667F"/>
    <w:rsid w:val="6D6636E7"/>
    <w:rsid w:val="6D6E3135"/>
    <w:rsid w:val="6D756624"/>
    <w:rsid w:val="6DF87AF7"/>
    <w:rsid w:val="6E185E2D"/>
    <w:rsid w:val="6E2F5A53"/>
    <w:rsid w:val="6E330E04"/>
    <w:rsid w:val="6E4F0506"/>
    <w:rsid w:val="6E59211A"/>
    <w:rsid w:val="6E6404AB"/>
    <w:rsid w:val="6E763B18"/>
    <w:rsid w:val="6E7A1B27"/>
    <w:rsid w:val="6ECB3B49"/>
    <w:rsid w:val="6F483FA1"/>
    <w:rsid w:val="6F4E4C39"/>
    <w:rsid w:val="6F532332"/>
    <w:rsid w:val="6F7402E8"/>
    <w:rsid w:val="6F94661F"/>
    <w:rsid w:val="6FAB29C1"/>
    <w:rsid w:val="6FCA1077"/>
    <w:rsid w:val="6FE10C9C"/>
    <w:rsid w:val="6FE30761"/>
    <w:rsid w:val="6FE31AC8"/>
    <w:rsid w:val="700C1760"/>
    <w:rsid w:val="7032060F"/>
    <w:rsid w:val="704D5DCD"/>
    <w:rsid w:val="704D7115"/>
    <w:rsid w:val="707F4BA3"/>
    <w:rsid w:val="708E6837"/>
    <w:rsid w:val="70BA2B7E"/>
    <w:rsid w:val="70C6331C"/>
    <w:rsid w:val="70DA0EB4"/>
    <w:rsid w:val="71046161"/>
    <w:rsid w:val="716634CE"/>
    <w:rsid w:val="717573B5"/>
    <w:rsid w:val="717D06BD"/>
    <w:rsid w:val="717D3F41"/>
    <w:rsid w:val="71A26E53"/>
    <w:rsid w:val="71AA2B76"/>
    <w:rsid w:val="71D4494F"/>
    <w:rsid w:val="71DE2CE0"/>
    <w:rsid w:val="71FC4BC8"/>
    <w:rsid w:val="722A1ADB"/>
    <w:rsid w:val="72324B69"/>
    <w:rsid w:val="72565E22"/>
    <w:rsid w:val="72672F02"/>
    <w:rsid w:val="729D62B5"/>
    <w:rsid w:val="72A10820"/>
    <w:rsid w:val="72B30737"/>
    <w:rsid w:val="72C267D6"/>
    <w:rsid w:val="731458CA"/>
    <w:rsid w:val="73436DC8"/>
    <w:rsid w:val="73655FDF"/>
    <w:rsid w:val="73854316"/>
    <w:rsid w:val="73962492"/>
    <w:rsid w:val="73985E54"/>
    <w:rsid w:val="73B1065D"/>
    <w:rsid w:val="73BE397B"/>
    <w:rsid w:val="73C5396B"/>
    <w:rsid w:val="73DD49A4"/>
    <w:rsid w:val="73F36866"/>
    <w:rsid w:val="741373FD"/>
    <w:rsid w:val="742873A2"/>
    <w:rsid w:val="74335733"/>
    <w:rsid w:val="745F1A7B"/>
    <w:rsid w:val="74697E0C"/>
    <w:rsid w:val="748C453D"/>
    <w:rsid w:val="75011284"/>
    <w:rsid w:val="75552505"/>
    <w:rsid w:val="756E1C38"/>
    <w:rsid w:val="75C20F59"/>
    <w:rsid w:val="75E605FD"/>
    <w:rsid w:val="75EF0CB6"/>
    <w:rsid w:val="75EF7F73"/>
    <w:rsid w:val="7617341E"/>
    <w:rsid w:val="761D5C3D"/>
    <w:rsid w:val="767073AA"/>
    <w:rsid w:val="767F1336"/>
    <w:rsid w:val="76936197"/>
    <w:rsid w:val="76B166E6"/>
    <w:rsid w:val="76CA582B"/>
    <w:rsid w:val="76E61D8B"/>
    <w:rsid w:val="772B760F"/>
    <w:rsid w:val="7754288B"/>
    <w:rsid w:val="77771C8D"/>
    <w:rsid w:val="777B02A6"/>
    <w:rsid w:val="77977FC3"/>
    <w:rsid w:val="77AC0CF0"/>
    <w:rsid w:val="77BE7885"/>
    <w:rsid w:val="77C2565E"/>
    <w:rsid w:val="77E42641"/>
    <w:rsid w:val="77EE09D2"/>
    <w:rsid w:val="77FA76C3"/>
    <w:rsid w:val="77FC7045"/>
    <w:rsid w:val="78627961"/>
    <w:rsid w:val="78667397"/>
    <w:rsid w:val="78711EA5"/>
    <w:rsid w:val="78906A73"/>
    <w:rsid w:val="78BD7DA6"/>
    <w:rsid w:val="78DA751F"/>
    <w:rsid w:val="78DD2859"/>
    <w:rsid w:val="78F35090"/>
    <w:rsid w:val="79112DE9"/>
    <w:rsid w:val="791F6B45"/>
    <w:rsid w:val="7922442C"/>
    <w:rsid w:val="79525411"/>
    <w:rsid w:val="79C03DC2"/>
    <w:rsid w:val="79C11BD2"/>
    <w:rsid w:val="79C84225"/>
    <w:rsid w:val="79ED2696"/>
    <w:rsid w:val="7A013357"/>
    <w:rsid w:val="7A0D09CC"/>
    <w:rsid w:val="7A2210A3"/>
    <w:rsid w:val="7A2E3E75"/>
    <w:rsid w:val="7A561F9B"/>
    <w:rsid w:val="7A5977C7"/>
    <w:rsid w:val="7A5A304A"/>
    <w:rsid w:val="7A8261D9"/>
    <w:rsid w:val="7A8F5AA2"/>
    <w:rsid w:val="7AAD1E45"/>
    <w:rsid w:val="7AF244C2"/>
    <w:rsid w:val="7B0209A9"/>
    <w:rsid w:val="7B036C80"/>
    <w:rsid w:val="7B205DDE"/>
    <w:rsid w:val="7B257745"/>
    <w:rsid w:val="7B2F195E"/>
    <w:rsid w:val="7B3D0C7D"/>
    <w:rsid w:val="7B683207"/>
    <w:rsid w:val="7B95754E"/>
    <w:rsid w:val="7BEB7F5D"/>
    <w:rsid w:val="7C215AD2"/>
    <w:rsid w:val="7C4165F9"/>
    <w:rsid w:val="7C4D6CFD"/>
    <w:rsid w:val="7C4E2FCA"/>
    <w:rsid w:val="7C607ABB"/>
    <w:rsid w:val="7C661D17"/>
    <w:rsid w:val="7C77289F"/>
    <w:rsid w:val="7C8F4389"/>
    <w:rsid w:val="7C9A7BC3"/>
    <w:rsid w:val="7CA21CA3"/>
    <w:rsid w:val="7CAA44F5"/>
    <w:rsid w:val="7CBA3AAE"/>
    <w:rsid w:val="7CCA33F1"/>
    <w:rsid w:val="7CDF101D"/>
    <w:rsid w:val="7CE63A69"/>
    <w:rsid w:val="7CFA4897"/>
    <w:rsid w:val="7D0564AB"/>
    <w:rsid w:val="7D1144BC"/>
    <w:rsid w:val="7D2428A3"/>
    <w:rsid w:val="7D517BB3"/>
    <w:rsid w:val="7D5B6EBA"/>
    <w:rsid w:val="7D8250F8"/>
    <w:rsid w:val="7D8464FF"/>
    <w:rsid w:val="7D965DFA"/>
    <w:rsid w:val="7D997617"/>
    <w:rsid w:val="7DC33DA8"/>
    <w:rsid w:val="7DDD261A"/>
    <w:rsid w:val="7DEC77AD"/>
    <w:rsid w:val="7E172D28"/>
    <w:rsid w:val="7E543A18"/>
    <w:rsid w:val="7E5570D2"/>
    <w:rsid w:val="7E566D52"/>
    <w:rsid w:val="7E6C6CF7"/>
    <w:rsid w:val="7E834AA4"/>
    <w:rsid w:val="7E9633BF"/>
    <w:rsid w:val="7E9E7F84"/>
    <w:rsid w:val="7EA11750"/>
    <w:rsid w:val="7EA73C57"/>
    <w:rsid w:val="7EBB0197"/>
    <w:rsid w:val="7EC63731"/>
    <w:rsid w:val="7F192E47"/>
    <w:rsid w:val="7F221B2F"/>
    <w:rsid w:val="7F2E4837"/>
    <w:rsid w:val="7F392BC8"/>
    <w:rsid w:val="7F453D89"/>
    <w:rsid w:val="7F656F0F"/>
    <w:rsid w:val="7F700B24"/>
    <w:rsid w:val="7F913256"/>
    <w:rsid w:val="7FD14040"/>
    <w:rsid w:val="7FD5375D"/>
    <w:rsid w:val="7FED2A19"/>
    <w:rsid w:val="7FF31FF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2"/>
    <w:basedOn w:val="1"/>
    <w:next w:val="1"/>
    <w:qFormat/>
    <w:uiPriority w:val="0"/>
    <w:pPr>
      <w:spacing w:beforeAutospacing="1" w:afterAutospacing="1"/>
      <w:jc w:val="left"/>
      <w:outlineLvl w:val="1"/>
    </w:pPr>
    <w:rPr>
      <w:rFonts w:ascii="宋体" w:hAnsi="宋体"/>
      <w:b/>
      <w:kern w:val="0"/>
      <w:sz w:val="36"/>
      <w:szCs w:val="36"/>
    </w:rPr>
  </w:style>
  <w:style w:type="paragraph" w:styleId="3">
    <w:name w:val="heading 3"/>
    <w:basedOn w:val="1"/>
    <w:next w:val="1"/>
    <w:link w:val="33"/>
    <w:qFormat/>
    <w:uiPriority w:val="0"/>
    <w:pPr>
      <w:keepNext/>
      <w:keepLines/>
      <w:spacing w:before="260" w:after="260" w:line="416" w:lineRule="auto"/>
      <w:outlineLvl w:val="2"/>
    </w:pPr>
    <w:rPr>
      <w:b/>
      <w:bCs/>
      <w:sz w:val="32"/>
      <w:szCs w:val="32"/>
    </w:rPr>
  </w:style>
  <w:style w:type="character" w:default="1" w:styleId="22">
    <w:name w:val="Default Paragraph Font"/>
    <w:semiHidden/>
    <w:uiPriority w:val="0"/>
  </w:style>
  <w:style w:type="table" w:default="1" w:styleId="20">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20"/>
      <w:tblCellMar>
        <w:top w:w="0" w:type="dxa"/>
        <w:left w:w="108" w:type="dxa"/>
        <w:bottom w:w="0" w:type="dxa"/>
        <w:right w:w="108" w:type="dxa"/>
      </w:tblCellMar>
    </w:tblPr>
  </w:style>
  <w:style w:type="paragraph" w:styleId="4">
    <w:name w:val="toc 7"/>
    <w:basedOn w:val="1"/>
    <w:next w:val="1"/>
    <w:uiPriority w:val="0"/>
    <w:pPr>
      <w:ind w:left="2520" w:leftChars="1200"/>
    </w:pPr>
  </w:style>
  <w:style w:type="paragraph" w:styleId="5">
    <w:name w:val="annotation text"/>
    <w:basedOn w:val="1"/>
    <w:uiPriority w:val="0"/>
    <w:pPr>
      <w:jc w:val="left"/>
    </w:pPr>
  </w:style>
  <w:style w:type="paragraph" w:styleId="6">
    <w:name w:val="Body Text Indent"/>
    <w:basedOn w:val="1"/>
    <w:uiPriority w:val="0"/>
    <w:pPr>
      <w:spacing w:after="120"/>
      <w:ind w:left="420" w:leftChars="200"/>
    </w:pPr>
  </w:style>
  <w:style w:type="paragraph" w:styleId="7">
    <w:name w:val="toc 5"/>
    <w:basedOn w:val="1"/>
    <w:next w:val="1"/>
    <w:uiPriority w:val="0"/>
    <w:pPr>
      <w:ind w:left="1680" w:leftChars="800"/>
    </w:pPr>
  </w:style>
  <w:style w:type="paragraph" w:styleId="8">
    <w:name w:val="toc 3"/>
    <w:basedOn w:val="1"/>
    <w:next w:val="1"/>
    <w:uiPriority w:val="0"/>
    <w:pPr>
      <w:ind w:left="840" w:leftChars="400"/>
    </w:pPr>
  </w:style>
  <w:style w:type="paragraph" w:styleId="9">
    <w:name w:val="Plain Text"/>
    <w:basedOn w:val="1"/>
    <w:link w:val="38"/>
    <w:uiPriority w:val="0"/>
    <w:rPr>
      <w:rFonts w:ascii="宋体" w:hAnsi="Courier New" w:cs="Courier New"/>
      <w:szCs w:val="21"/>
    </w:rPr>
  </w:style>
  <w:style w:type="paragraph" w:styleId="10">
    <w:name w:val="toc 8"/>
    <w:basedOn w:val="1"/>
    <w:next w:val="1"/>
    <w:uiPriority w:val="0"/>
    <w:pPr>
      <w:ind w:left="2940" w:leftChars="1400"/>
    </w:pPr>
  </w:style>
  <w:style w:type="paragraph" w:styleId="11">
    <w:name w:val="Date"/>
    <w:basedOn w:val="1"/>
    <w:next w:val="1"/>
    <w:link w:val="34"/>
    <w:uiPriority w:val="0"/>
    <w:pPr>
      <w:ind w:left="100" w:leftChars="2500"/>
    </w:pPr>
  </w:style>
  <w:style w:type="paragraph" w:styleId="12">
    <w:name w:val="footer"/>
    <w:basedOn w:val="1"/>
    <w:link w:val="35"/>
    <w:uiPriority w:val="0"/>
    <w:pPr>
      <w:tabs>
        <w:tab w:val="center" w:pos="4153"/>
        <w:tab w:val="right" w:pos="8306"/>
      </w:tabs>
      <w:snapToGrid w:val="0"/>
      <w:jc w:val="left"/>
    </w:pPr>
    <w:rPr>
      <w:sz w:val="18"/>
      <w:szCs w:val="18"/>
    </w:rPr>
  </w:style>
  <w:style w:type="paragraph" w:styleId="13">
    <w:name w:val="header"/>
    <w:basedOn w:val="1"/>
    <w:link w:val="37"/>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uiPriority w:val="0"/>
  </w:style>
  <w:style w:type="paragraph" w:styleId="15">
    <w:name w:val="toc 4"/>
    <w:basedOn w:val="1"/>
    <w:next w:val="1"/>
    <w:uiPriority w:val="0"/>
    <w:pPr>
      <w:ind w:left="1260" w:leftChars="600"/>
    </w:pPr>
  </w:style>
  <w:style w:type="paragraph" w:styleId="16">
    <w:name w:val="toc 6"/>
    <w:basedOn w:val="1"/>
    <w:next w:val="1"/>
    <w:uiPriority w:val="0"/>
    <w:pPr>
      <w:ind w:left="2100" w:leftChars="1000"/>
    </w:pPr>
  </w:style>
  <w:style w:type="paragraph" w:styleId="17">
    <w:name w:val="toc 2"/>
    <w:basedOn w:val="1"/>
    <w:next w:val="1"/>
    <w:uiPriority w:val="0"/>
    <w:pPr>
      <w:ind w:left="420" w:leftChars="200"/>
    </w:pPr>
  </w:style>
  <w:style w:type="paragraph" w:styleId="18">
    <w:name w:val="toc 9"/>
    <w:basedOn w:val="1"/>
    <w:next w:val="1"/>
    <w:uiPriority w:val="0"/>
    <w:pPr>
      <w:ind w:left="3360" w:leftChars="1600"/>
    </w:pPr>
  </w:style>
  <w:style w:type="paragraph" w:styleId="19">
    <w:name w:val="Normal (Web)"/>
    <w:basedOn w:val="1"/>
    <w:uiPriority w:val="0"/>
    <w:pPr>
      <w:widowControl/>
      <w:spacing w:before="100" w:beforeAutospacing="1" w:after="100" w:afterAutospacing="1"/>
      <w:jc w:val="left"/>
    </w:pPr>
    <w:rPr>
      <w:rFonts w:ascii="宋体" w:hAnsi="宋体" w:cs="宋体"/>
      <w:kern w:val="0"/>
      <w:sz w:val="24"/>
    </w:rPr>
  </w:style>
  <w:style w:type="table" w:styleId="21">
    <w:name w:val="Table Grid"/>
    <w:basedOn w:val="20"/>
    <w:uiPriority w:val="0"/>
    <w:pPr>
      <w:widowControl w:val="0"/>
      <w:jc w:val="both"/>
    </w:pPr>
    <w:tblPr>
      <w:tblStyle w:val="2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rFonts w:cs="Times New Roman"/>
      <w:b/>
      <w:bCs/>
    </w:rPr>
  </w:style>
  <w:style w:type="character" w:styleId="24">
    <w:name w:val="page number"/>
    <w:basedOn w:val="22"/>
    <w:uiPriority w:val="0"/>
  </w:style>
  <w:style w:type="character" w:styleId="25">
    <w:name w:val="FollowedHyperlink"/>
    <w:basedOn w:val="22"/>
    <w:uiPriority w:val="0"/>
    <w:rPr>
      <w:color w:val="000000"/>
      <w:u w:val="none"/>
    </w:rPr>
  </w:style>
  <w:style w:type="character" w:styleId="26">
    <w:name w:val="Emphasis"/>
    <w:basedOn w:val="22"/>
    <w:qFormat/>
    <w:uiPriority w:val="0"/>
    <w:rPr>
      <w:rFonts w:cs="Times New Roman"/>
      <w:color w:val="CC0000"/>
    </w:rPr>
  </w:style>
  <w:style w:type="character" w:styleId="27">
    <w:name w:val="HTML Definition"/>
    <w:basedOn w:val="22"/>
    <w:uiPriority w:val="0"/>
  </w:style>
  <w:style w:type="character" w:styleId="28">
    <w:name w:val="HTML Acronym"/>
    <w:basedOn w:val="22"/>
    <w:uiPriority w:val="0"/>
  </w:style>
  <w:style w:type="character" w:styleId="29">
    <w:name w:val="HTML Variable"/>
    <w:basedOn w:val="22"/>
    <w:uiPriority w:val="0"/>
    <w:rPr>
      <w:color w:val="BC2931"/>
      <w:u w:val="single"/>
    </w:rPr>
  </w:style>
  <w:style w:type="character" w:styleId="30">
    <w:name w:val="Hyperlink"/>
    <w:basedOn w:val="22"/>
    <w:uiPriority w:val="0"/>
    <w:rPr>
      <w:rFonts w:cs="Times New Roman"/>
      <w:color w:val="0000FF"/>
      <w:u w:val="single"/>
    </w:rPr>
  </w:style>
  <w:style w:type="character" w:styleId="31">
    <w:name w:val="HTML Code"/>
    <w:basedOn w:val="22"/>
    <w:uiPriority w:val="0"/>
    <w:rPr>
      <w:rFonts w:ascii="Courier New" w:hAnsi="Courier New"/>
      <w:sz w:val="20"/>
    </w:rPr>
  </w:style>
  <w:style w:type="character" w:styleId="32">
    <w:name w:val="HTML Cite"/>
    <w:basedOn w:val="22"/>
    <w:uiPriority w:val="0"/>
  </w:style>
  <w:style w:type="character" w:customStyle="1" w:styleId="33">
    <w:name w:val=" Char Char4"/>
    <w:basedOn w:val="22"/>
    <w:link w:val="3"/>
    <w:semiHidden/>
    <w:locked/>
    <w:uiPriority w:val="0"/>
    <w:rPr>
      <w:rFonts w:eastAsia="宋体"/>
      <w:b/>
      <w:bCs/>
      <w:kern w:val="2"/>
      <w:sz w:val="32"/>
      <w:szCs w:val="32"/>
      <w:lang w:val="en-US" w:eastAsia="zh-CN" w:bidi="ar-SA"/>
    </w:rPr>
  </w:style>
  <w:style w:type="character" w:customStyle="1" w:styleId="34">
    <w:name w:val=" Char Char"/>
    <w:basedOn w:val="22"/>
    <w:link w:val="11"/>
    <w:semiHidden/>
    <w:locked/>
    <w:uiPriority w:val="0"/>
    <w:rPr>
      <w:rFonts w:eastAsia="宋体"/>
      <w:kern w:val="2"/>
      <w:sz w:val="21"/>
      <w:szCs w:val="24"/>
      <w:lang w:val="en-US" w:eastAsia="zh-CN" w:bidi="ar-SA"/>
    </w:rPr>
  </w:style>
  <w:style w:type="character" w:customStyle="1" w:styleId="35">
    <w:name w:val=" Char Char2"/>
    <w:basedOn w:val="22"/>
    <w:link w:val="12"/>
    <w:locked/>
    <w:uiPriority w:val="0"/>
    <w:rPr>
      <w:rFonts w:eastAsia="宋体"/>
      <w:kern w:val="2"/>
      <w:sz w:val="18"/>
      <w:szCs w:val="18"/>
      <w:lang w:val="en-US" w:eastAsia="zh-CN" w:bidi="ar-SA"/>
    </w:rPr>
  </w:style>
  <w:style w:type="character" w:customStyle="1" w:styleId="36">
    <w:name w:val="bsharetext"/>
    <w:basedOn w:val="22"/>
    <w:uiPriority w:val="0"/>
  </w:style>
  <w:style w:type="character" w:customStyle="1" w:styleId="37">
    <w:name w:val=" Char Char1"/>
    <w:basedOn w:val="22"/>
    <w:link w:val="13"/>
    <w:locked/>
    <w:uiPriority w:val="0"/>
    <w:rPr>
      <w:rFonts w:eastAsia="宋体"/>
      <w:kern w:val="2"/>
      <w:sz w:val="18"/>
      <w:szCs w:val="18"/>
      <w:lang w:val="en-US" w:eastAsia="zh-CN" w:bidi="ar-SA"/>
    </w:rPr>
  </w:style>
  <w:style w:type="character" w:customStyle="1" w:styleId="38">
    <w:name w:val=" Char Char3"/>
    <w:basedOn w:val="22"/>
    <w:link w:val="9"/>
    <w:locked/>
    <w:uiPriority w:val="0"/>
    <w:rPr>
      <w:rFonts w:ascii="宋体" w:hAnsi="Courier New" w:eastAsia="宋体" w:cs="Courier New"/>
      <w:kern w:val="2"/>
      <w:sz w:val="21"/>
      <w:szCs w:val="21"/>
      <w:lang w:val="en-US" w:eastAsia="zh-CN" w:bidi="ar-SA"/>
    </w:rPr>
  </w:style>
  <w:style w:type="character" w:customStyle="1" w:styleId="39">
    <w:name w:val="page"/>
    <w:basedOn w:val="22"/>
    <w:uiPriority w:val="0"/>
    <w:rPr>
      <w:rFonts w:ascii="Arial" w:hAnsi="Arial" w:cs="Arial"/>
      <w:b/>
      <w:color w:val="036CB4"/>
      <w:sz w:val="18"/>
      <w:szCs w:val="18"/>
      <w:u w:val="none"/>
      <w:bdr w:val="single" w:color="B7D8EE" w:sz="6" w:space="0"/>
      <w:shd w:val="clear" w:color="auto" w:fill="D2EAF6"/>
    </w:rPr>
  </w:style>
  <w:style w:type="paragraph" w:customStyle="1" w:styleId="40">
    <w:name w:val="Char Char1 Char Char Char Char Char Char Char Char Char Char Char"/>
    <w:basedOn w:val="1"/>
    <w:uiPriority w:val="0"/>
    <w:pPr>
      <w:widowControl/>
      <w:spacing w:after="160" w:line="240" w:lineRule="exact"/>
      <w:jc w:val="left"/>
    </w:pPr>
    <w:rPr>
      <w:szCs w:val="20"/>
    </w:rPr>
  </w:style>
  <w:style w:type="paragraph" w:customStyle="1" w:styleId="41">
    <w:name w:val="Char Char Char Char"/>
    <w:basedOn w:val="1"/>
    <w:uiPriority w:val="0"/>
    <w:rPr>
      <w:rFonts w:ascii="Tahoma" w:hAnsi="Tahoma" w:cs="Book Antiqua"/>
      <w:sz w:val="24"/>
      <w:szCs w:val="20"/>
    </w:rPr>
  </w:style>
  <w:style w:type="paragraph" w:customStyle="1" w:styleId="42">
    <w:name w:val="Char Char1 Char Char Char Char Char Char Char Char Char Char Char2"/>
    <w:basedOn w:val="1"/>
    <w:uiPriority w:val="0"/>
    <w:pPr>
      <w:widowControl/>
      <w:spacing w:after="160" w:line="240" w:lineRule="exact"/>
      <w:jc w:val="left"/>
    </w:pPr>
    <w:rPr>
      <w:szCs w:val="20"/>
    </w:rPr>
  </w:style>
  <w:style w:type="paragraph" w:customStyle="1" w:styleId="43">
    <w:name w:val="Char Char1 Char Char Char Char Char Char Char Char Char Char Char1"/>
    <w:basedOn w:val="1"/>
    <w:uiPriority w:val="0"/>
    <w:pPr>
      <w:widowControl/>
      <w:spacing w:after="160" w:line="240" w:lineRule="exact"/>
      <w:jc w:val="left"/>
    </w:pPr>
    <w:rPr>
      <w:szCs w:val="20"/>
    </w:rPr>
  </w:style>
  <w:style w:type="paragraph" w:customStyle="1" w:styleId="44">
    <w:name w:val="样式27"/>
    <w:basedOn w:val="1"/>
    <w:uiPriority w:val="0"/>
    <w:pPr>
      <w:spacing w:line="300" w:lineRule="auto"/>
      <w:jc w:val="center"/>
    </w:pPr>
    <w:rPr>
      <w:rFonts w:eastAsia="方正小标宋简体"/>
      <w:b/>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Microsoft China</Company>
  <Pages>1</Pages>
  <Words>6972</Words>
  <Characters>39747</Characters>
  <Lines>331</Lines>
  <Paragraphs>93</Paragraphs>
  <TotalTime>0</TotalTime>
  <ScaleCrop>false</ScaleCrop>
  <LinksUpToDate>false</LinksUpToDate>
  <CharactersWithSpaces>46626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2015-12-28T12:03:00Z</dcterms:created>
  <dc:creator>微软用户</dc:creator>
  <cp:lastModifiedBy>tcrj</cp:lastModifiedBy>
  <cp:lastPrinted>2016-05-31T08:51:28Z</cp:lastPrinted>
  <dcterms:modified xsi:type="dcterms:W3CDTF">2021-06-08T03:01:20Z</dcterms:modified>
  <dc:title>“十三五”（2016-2020）时期，是全面建成小康社会、如期实现第一个百年奋斗目标的决胜期，是实施追赶超越、加快推进美丽富裕新安康建设迈向更高水平的关键期，是确保农村贫困人口全面脱贫、贫困县全部摘帽的冲刺期</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A6C4F77162ED49CB89F0DD7E565C1071</vt:lpwstr>
  </property>
</Properties>
</file>