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5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rPr>
          <w:rFonts w:hint="eastAsia"/>
        </w:rPr>
      </w:pPr>
    </w:p>
    <w:p>
      <w:pPr>
        <w:adjustRightInd w:val="0"/>
        <w:snapToGrid w:val="0"/>
        <w:spacing w:line="575" w:lineRule="exact"/>
        <w:jc w:val="center"/>
        <w:rPr>
          <w:rFonts w:ascii="Times New Roman" w:hAnsi="Times New Roman" w:eastAsia="方正小标宋简体"/>
          <w:color w:val="auto"/>
          <w:sz w:val="44"/>
        </w:rPr>
      </w:pPr>
      <w:r>
        <w:rPr>
          <w:rFonts w:hint="eastAsia" w:ascii="Times New Roman" w:hAnsi="Times New Roman" w:eastAsia="方正小标宋简体"/>
          <w:color w:val="auto"/>
          <w:sz w:val="44"/>
        </w:rPr>
        <w:t>《陕西省秦岭重点保护区 一般保护区产业准入清单》</w:t>
      </w:r>
      <w:r>
        <w:rPr>
          <w:rFonts w:ascii="Times New Roman" w:hAnsi="Times New Roman" w:eastAsia="方正小标宋简体"/>
          <w:color w:val="auto"/>
          <w:sz w:val="44"/>
        </w:rPr>
        <w:t>征求意见采纳情况</w:t>
      </w:r>
    </w:p>
    <w:p>
      <w:pPr>
        <w:pStyle w:val="4"/>
        <w:rPr>
          <w:lang w:val="zh-CN"/>
        </w:rPr>
      </w:pPr>
    </w:p>
    <w:p>
      <w:pPr>
        <w:adjustRightInd w:val="0"/>
        <w:snapToGrid w:val="0"/>
        <w:spacing w:line="240" w:lineRule="exact"/>
        <w:jc w:val="center"/>
        <w:rPr>
          <w:rFonts w:ascii="Times New Roman" w:hAnsi="Times New Roman" w:eastAsia="仿宋_GB2312"/>
          <w:color w:val="auto"/>
          <w:sz w:val="32"/>
          <w:szCs w:val="32"/>
        </w:rPr>
      </w:pPr>
    </w:p>
    <w:tbl>
      <w:tblPr>
        <w:tblStyle w:val="5"/>
        <w:tblW w:w="90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840"/>
        <w:gridCol w:w="3168"/>
        <w:gridCol w:w="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11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w w:val="90"/>
                <w:sz w:val="24"/>
                <w:lang w:val="en-US"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color w:val="auto"/>
                <w:w w:val="90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w w:val="90"/>
                <w:sz w:val="24"/>
              </w:rPr>
              <w:t>所  提  意  见</w:t>
            </w:r>
          </w:p>
        </w:tc>
        <w:tc>
          <w:tcPr>
            <w:tcW w:w="31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黑体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w w:val="90"/>
                <w:sz w:val="24"/>
                <w:lang w:val="en-US" w:eastAsia="zh-CN"/>
              </w:rPr>
              <w:t>采纳情况</w:t>
            </w:r>
          </w:p>
        </w:tc>
        <w:tc>
          <w:tcPr>
            <w:tcW w:w="9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w w:val="9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w w:val="90"/>
                <w:sz w:val="24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建议进一步加强秦岭区域产业准入监管时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，因地制宜发展林下中药材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种植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2"/>
                <w:lang w:val="en-US" w:eastAsia="zh-CN"/>
              </w:rPr>
              <w:t>部分采纳。《产业准入清单》重点保护区产业允许目录中已明确：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2"/>
              </w:rPr>
              <w:t>林下养殖，茶叶、魔芋等对生态不产生破坏的特色产业种植。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楷体_GB2312"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auto"/>
                <w:w w:val="90"/>
                <w:sz w:val="24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建议对秦岭区域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风电建设项目给予一定的支持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3168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未采纳。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秦岭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是我国重要生态安全屏障，《条例》明确坚持保护优先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。风电项目的风机体积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较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大，且选址均在山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脊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等风力强劲区域，运输及施工占地较多，施工时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对林地草地等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植被扰动面积大，生态破坏严重，加之后期运行维护需要保留道路，生态恢复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时间长投资大且很难恢复原状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。风电项目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投入运行后产生的噪声和光影影响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也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对周边生态系统扰动大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30D1744F"/>
    <w:rsid w:val="30D1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spacing w:line="200" w:lineRule="atLeast"/>
    </w:pPr>
    <w:rPr>
      <w:rFonts w:ascii="Arial" w:hAnsi="Arial"/>
      <w:kern w:val="0"/>
      <w:sz w:val="20"/>
      <w:szCs w:val="20"/>
      <w:lang w:val="en-GB" w:eastAsia="en-US"/>
    </w:rPr>
  </w:style>
  <w:style w:type="paragraph" w:styleId="3">
    <w:name w:val="Body Text Indent"/>
    <w:basedOn w:val="1"/>
    <w:next w:val="2"/>
    <w:unhideWhenUsed/>
    <w:qFormat/>
    <w:uiPriority w:val="99"/>
    <w:pPr>
      <w:ind w:firstLine="628" w:firstLineChars="200"/>
    </w:pPr>
    <w:rPr>
      <w:rFonts w:eastAsia="仿宋_GB2312"/>
      <w:bCs/>
      <w:sz w:val="32"/>
      <w:szCs w:val="32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2023-03-02T01:54:00Z</dcterms:created>
  <dc:creator>WPS_1671760807</dc:creator>
  <cp:lastModifiedBy>WPS_1671760807</cp:lastModifiedBy>
  <dcterms:modified xsi:type="dcterms:W3CDTF">2023-03-02T01:54:29Z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7085B5588B1A4C20A9C8B44AB299FE4E</vt:lpwstr>
  </property>
</Properties>
</file>