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240" w:lineRule="auto"/>
        <w:jc w:val="both"/>
        <w:rPr>
          <w:rFonts w:hint="default" w:ascii="Times New Roman" w:hAnsi="Times New Roman" w:eastAsia="黑体" w:cs="Times New Roman"/>
          <w:b w:val="0"/>
          <w:bCs/>
          <w:color w:val="auto"/>
          <w:sz w:val="32"/>
          <w:szCs w:val="32"/>
          <w:shd w:val="clear" w:color="auto" w:fill="FFFFFF"/>
          <w:lang w:val="en-US" w:eastAsia="zh-CN"/>
        </w:rPr>
      </w:pPr>
      <w:r>
        <w:rPr>
          <w:rFonts w:hint="default" w:ascii="Times New Roman" w:hAnsi="Times New Roman" w:eastAsia="黑体" w:cs="Times New Roman"/>
          <w:b w:val="0"/>
          <w:bCs/>
          <w:color w:val="auto"/>
          <w:sz w:val="32"/>
          <w:szCs w:val="32"/>
          <w:shd w:val="clear" w:color="auto" w:fill="FFFFFF"/>
          <w:lang w:eastAsia="zh-CN"/>
        </w:rPr>
        <w:t>附件</w:t>
      </w:r>
      <w:r>
        <w:rPr>
          <w:rFonts w:hint="default" w:ascii="Times New Roman" w:hAnsi="Times New Roman" w:eastAsia="黑体" w:cs="Times New Roman"/>
          <w:b w:val="0"/>
          <w:bCs/>
          <w:color w:val="auto"/>
          <w:sz w:val="32"/>
          <w:szCs w:val="32"/>
          <w:shd w:val="clear" w:color="auto" w:fill="FFFFFF"/>
          <w:lang w:val="en-US" w:eastAsia="zh-CN"/>
        </w:rPr>
        <w:t>1</w:t>
      </w:r>
    </w:p>
    <w:p>
      <w:pPr>
        <w:spacing w:line="240" w:lineRule="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陕西省天然气管道运输定价成本监审办法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简体" w:cs="Times New Roman"/>
          <w:b w:val="0"/>
          <w:bCs/>
          <w:sz w:val="44"/>
          <w:szCs w:val="44"/>
          <w:shd w:val="clear" w:color="auto" w:fill="FFFFFF"/>
          <w:lang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总</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第一条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为加强天然气管道运输成本监管，规范定价成本监审行为，提高</w:t>
      </w:r>
      <w:r>
        <w:rPr>
          <w:rFonts w:hint="default" w:ascii="Times New Roman" w:hAnsi="Times New Roman" w:eastAsia="仿宋" w:cs="Times New Roman"/>
          <w:color w:val="auto"/>
          <w:sz w:val="32"/>
          <w:szCs w:val="32"/>
          <w:highlight w:val="none"/>
          <w:lang w:eastAsia="zh-CN"/>
        </w:rPr>
        <w:t>天然气管道运输价格制定</w:t>
      </w:r>
      <w:r>
        <w:rPr>
          <w:rFonts w:hint="default" w:ascii="Times New Roman" w:hAnsi="Times New Roman" w:eastAsia="仿宋" w:cs="Times New Roman"/>
          <w:color w:val="auto"/>
          <w:sz w:val="32"/>
          <w:szCs w:val="32"/>
          <w:highlight w:val="none"/>
        </w:rPr>
        <w:t>的科学性</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规范性和透明度</w:t>
      </w:r>
      <w:r>
        <w:rPr>
          <w:rFonts w:hint="default" w:ascii="Times New Roman" w:hAnsi="Times New Roman" w:eastAsia="仿宋" w:cs="Times New Roman"/>
          <w:color w:val="auto"/>
          <w:sz w:val="32"/>
          <w:szCs w:val="32"/>
          <w:highlight w:val="none"/>
        </w:rPr>
        <w:t>，根据《政府制定价格成本监审办法》（国家发展改革委令</w:t>
      </w:r>
      <w:r>
        <w:rPr>
          <w:rFonts w:hint="default" w:ascii="Times New Roman" w:hAnsi="Times New Roman" w:eastAsia="仿宋" w:cs="Times New Roman"/>
          <w:color w:val="auto"/>
          <w:sz w:val="32"/>
          <w:szCs w:val="32"/>
          <w:highlight w:val="none"/>
          <w:lang w:val="en-US" w:eastAsia="zh-CN"/>
        </w:rPr>
        <w:t>2017年</w:t>
      </w:r>
      <w:r>
        <w:rPr>
          <w:rFonts w:hint="default" w:ascii="Times New Roman" w:hAnsi="Times New Roman" w:eastAsia="仿宋" w:cs="Times New Roman"/>
          <w:color w:val="auto"/>
          <w:sz w:val="32"/>
          <w:szCs w:val="32"/>
          <w:highlight w:val="none"/>
        </w:rPr>
        <w:t>第8号）和《天然气管道运输定价成本监审办法（暂行）》（发改价格规〔2021〕818号）</w:t>
      </w:r>
      <w:r>
        <w:rPr>
          <w:rFonts w:hint="default" w:ascii="Times New Roman" w:hAnsi="Times New Roman" w:eastAsia="仿宋" w:cs="Times New Roman"/>
          <w:color w:val="auto"/>
          <w:sz w:val="32"/>
          <w:szCs w:val="32"/>
          <w:highlight w:val="none"/>
        </w:rPr>
        <w:t>等有关规定，制定本办法。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第二条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本办法适用于本省行政区域内价格主管部门</w:t>
      </w:r>
      <w:r>
        <w:rPr>
          <w:rFonts w:hint="default" w:ascii="Times New Roman" w:hAnsi="Times New Roman" w:eastAsia="仿宋" w:cs="Times New Roman"/>
          <w:color w:val="auto"/>
          <w:sz w:val="32"/>
          <w:szCs w:val="32"/>
          <w:highlight w:val="none"/>
          <w:lang w:val="en-US" w:eastAsia="zh-CN"/>
        </w:rPr>
        <w:t>实施</w:t>
      </w:r>
      <w:r>
        <w:rPr>
          <w:rFonts w:hint="default" w:ascii="Times New Roman" w:hAnsi="Times New Roman" w:eastAsia="仿宋" w:cs="Times New Roman"/>
          <w:color w:val="auto"/>
          <w:sz w:val="32"/>
          <w:szCs w:val="32"/>
          <w:highlight w:val="none"/>
        </w:rPr>
        <w:t>天然气管道运输定价成本监审行为</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第三条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本办法所称</w:t>
      </w:r>
      <w:r>
        <w:rPr>
          <w:rFonts w:hint="default" w:ascii="Times New Roman" w:hAnsi="Times New Roman" w:eastAsia="仿宋" w:cs="Times New Roman"/>
          <w:color w:val="auto"/>
          <w:sz w:val="32"/>
          <w:szCs w:val="32"/>
          <w:highlight w:val="none"/>
          <w:lang w:val="en-US" w:eastAsia="zh-CN"/>
        </w:rPr>
        <w:t>天然气</w:t>
      </w:r>
      <w:r>
        <w:rPr>
          <w:rFonts w:hint="default" w:ascii="Times New Roman" w:hAnsi="Times New Roman" w:eastAsia="仿宋" w:cs="Times New Roman"/>
          <w:color w:val="auto"/>
          <w:sz w:val="32"/>
          <w:szCs w:val="32"/>
          <w:highlight w:val="none"/>
        </w:rPr>
        <w:t>管道运输</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以下简称管道运输</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定价成本，是指价格主管部门核定的管道运输企业提供管道运输服务（不含实行市场调节价的天然气管道运输服务，下同）的合理费用支出。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 xml:space="preserve">第四条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管道运输定价成本监审工作由省级价格主管部门负责组织实施，并按规定公开定价成本信息。天然气行业主管部门及其他相关部门应当配合价格主管部门实施成本监审工作。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 xml:space="preserve">第五条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管道运输定价成本监审应当遵循</w:t>
      </w:r>
      <w:r>
        <w:rPr>
          <w:rFonts w:hint="default" w:ascii="Times New Roman" w:hAnsi="Times New Roman" w:eastAsia="仿宋" w:cs="Times New Roman"/>
          <w:color w:val="auto"/>
          <w:sz w:val="32"/>
          <w:szCs w:val="32"/>
          <w:highlight w:val="none"/>
          <w:lang w:val="en-US" w:eastAsia="zh-CN"/>
        </w:rPr>
        <w:t>以下</w:t>
      </w:r>
      <w:r>
        <w:rPr>
          <w:rFonts w:hint="default" w:ascii="Times New Roman" w:hAnsi="Times New Roman" w:eastAsia="仿宋" w:cs="Times New Roman"/>
          <w:color w:val="auto"/>
          <w:sz w:val="32"/>
          <w:szCs w:val="32"/>
          <w:highlight w:val="none"/>
        </w:rPr>
        <w:t>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（一）合法性原则。计入定价成本的费用应当符合《中华人民共和国会计法》等有关法律法规</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财务制度和国家统一的会计制度</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价格监管制度等规定。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（二）相关性原则。</w:t>
      </w:r>
      <w:r>
        <w:rPr>
          <w:rFonts w:hint="default" w:ascii="Times New Roman" w:hAnsi="Times New Roman" w:eastAsia="仿宋" w:cs="Times New Roman"/>
          <w:color w:val="auto"/>
          <w:sz w:val="32"/>
          <w:szCs w:val="32"/>
          <w:highlight w:val="none"/>
        </w:rPr>
        <w:t>计入定价成本的费用应当</w:t>
      </w:r>
      <w:r>
        <w:rPr>
          <w:rFonts w:hint="default" w:ascii="Times New Roman" w:hAnsi="Times New Roman" w:eastAsia="仿宋" w:cs="Times New Roman"/>
          <w:color w:val="auto"/>
          <w:sz w:val="32"/>
          <w:szCs w:val="32"/>
          <w:highlight w:val="none"/>
          <w:lang w:val="en-US" w:eastAsia="zh-CN"/>
        </w:rPr>
        <w:t>限于管道运输企业提供管道运输服务发生的直接费用以及需要分摊的间接费用。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（三）合理性原则。</w:t>
      </w:r>
      <w:r>
        <w:rPr>
          <w:rFonts w:hint="default" w:ascii="Times New Roman" w:hAnsi="Times New Roman" w:eastAsia="仿宋" w:cs="Times New Roman"/>
          <w:color w:val="auto"/>
          <w:sz w:val="32"/>
          <w:szCs w:val="32"/>
          <w:highlight w:val="none"/>
        </w:rPr>
        <w:t>计入定价成本的费用应当</w:t>
      </w:r>
      <w:r>
        <w:rPr>
          <w:rFonts w:hint="default" w:ascii="Times New Roman" w:hAnsi="Times New Roman" w:eastAsia="仿宋" w:cs="Times New Roman"/>
          <w:color w:val="auto"/>
          <w:sz w:val="32"/>
          <w:szCs w:val="32"/>
          <w:highlight w:val="none"/>
          <w:lang w:val="en-US" w:eastAsia="zh-CN"/>
        </w:rPr>
        <w:t>符合</w:t>
      </w:r>
      <w:r>
        <w:rPr>
          <w:rFonts w:hint="default" w:ascii="Times New Roman" w:hAnsi="Times New Roman" w:eastAsia="仿宋" w:cs="Times New Roman"/>
          <w:color w:val="auto"/>
          <w:sz w:val="32"/>
          <w:szCs w:val="32"/>
          <w:highlight w:val="none"/>
          <w:lang w:eastAsia="zh-CN"/>
        </w:rPr>
        <w:t>管道运输</w:t>
      </w:r>
      <w:r>
        <w:rPr>
          <w:rFonts w:hint="default" w:ascii="Times New Roman" w:hAnsi="Times New Roman" w:eastAsia="仿宋" w:cs="Times New Roman"/>
          <w:color w:val="auto"/>
          <w:sz w:val="32"/>
          <w:szCs w:val="32"/>
          <w:highlight w:val="none"/>
          <w:lang w:val="en-US" w:eastAsia="zh-CN"/>
        </w:rPr>
        <w:t>服务</w:t>
      </w:r>
      <w:r>
        <w:rPr>
          <w:rFonts w:hint="default" w:ascii="Times New Roman" w:hAnsi="Times New Roman" w:eastAsia="仿宋" w:cs="Times New Roman"/>
          <w:color w:val="auto"/>
          <w:sz w:val="32"/>
          <w:szCs w:val="32"/>
          <w:highlight w:val="none"/>
        </w:rPr>
        <w:t>正常需要，按照合理方法和合理标准核算；影响定价成本水平的主要技术、经济指标应当符合行业标准或者公允水平。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yellow"/>
          <w:lang w:eastAsia="zh-CN"/>
        </w:rPr>
      </w:pPr>
      <w:r>
        <w:rPr>
          <w:rFonts w:hint="default" w:ascii="Times New Roman" w:hAnsi="Times New Roman" w:eastAsia="黑体" w:cs="Times New Roman"/>
          <w:b w:val="0"/>
          <w:bCs w:val="0"/>
          <w:color w:val="auto"/>
          <w:sz w:val="32"/>
          <w:szCs w:val="32"/>
          <w:highlight w:val="none"/>
        </w:rPr>
        <w:t xml:space="preserve">第六条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管道运输定价成本监审</w:t>
      </w:r>
      <w:r>
        <w:rPr>
          <w:rFonts w:hint="default" w:ascii="Times New Roman" w:hAnsi="Times New Roman" w:eastAsia="仿宋" w:cs="Times New Roman"/>
          <w:color w:val="auto"/>
          <w:sz w:val="32"/>
          <w:szCs w:val="32"/>
          <w:highlight w:val="none"/>
          <w:lang w:eastAsia="zh-CN"/>
        </w:rPr>
        <w:t>三年为一个周</w:t>
      </w:r>
      <w:r>
        <w:rPr>
          <w:rFonts w:hint="default" w:ascii="Times New Roman" w:hAnsi="Times New Roman" w:eastAsia="仿宋" w:cs="Times New Roman"/>
          <w:color w:val="auto"/>
          <w:sz w:val="32"/>
          <w:szCs w:val="32"/>
          <w:highlight w:val="none"/>
        </w:rPr>
        <w:t>期</w:t>
      </w:r>
      <w:r>
        <w:rPr>
          <w:rFonts w:hint="default" w:ascii="Times New Roman" w:hAnsi="Times New Roman" w:eastAsia="仿宋" w:cs="Times New Roman"/>
          <w:color w:val="auto"/>
          <w:sz w:val="32"/>
          <w:szCs w:val="32"/>
          <w:highlight w:val="none"/>
          <w:lang w:eastAsia="zh-CN"/>
        </w:rPr>
        <w:t>，每年对经营者提供的资料进行审核，监审周期内最末一年出具成本监审报告</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经营者经营期不满一年的，不予实施成本监审。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 xml:space="preserve">第七条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核定管道运输定价成本，应当以监审期间经会计师事务所审计或者政府有关部门审核的年度财务</w:t>
      </w:r>
      <w:r>
        <w:rPr>
          <w:rFonts w:hint="default" w:ascii="Times New Roman" w:hAnsi="Times New Roman" w:eastAsia="仿宋" w:cs="Times New Roman"/>
          <w:color w:val="auto"/>
          <w:sz w:val="32"/>
          <w:szCs w:val="32"/>
          <w:highlight w:val="none"/>
          <w:lang w:val="en-US" w:eastAsia="zh-CN"/>
        </w:rPr>
        <w:t>会计</w:t>
      </w:r>
      <w:r>
        <w:rPr>
          <w:rFonts w:hint="default" w:ascii="Times New Roman" w:hAnsi="Times New Roman" w:eastAsia="仿宋" w:cs="Times New Roman"/>
          <w:color w:val="auto"/>
          <w:sz w:val="32"/>
          <w:szCs w:val="32"/>
          <w:highlight w:val="none"/>
        </w:rPr>
        <w:t>报告</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手续齐备的</w:t>
      </w:r>
      <w:r>
        <w:rPr>
          <w:rFonts w:hint="default" w:ascii="Times New Roman" w:hAnsi="Times New Roman" w:eastAsia="仿宋" w:cs="Times New Roman"/>
          <w:color w:val="auto"/>
          <w:sz w:val="32"/>
          <w:szCs w:val="32"/>
          <w:highlight w:val="none"/>
          <w:lang w:val="en-US" w:eastAsia="zh-CN"/>
        </w:rPr>
        <w:t>会计</w:t>
      </w:r>
      <w:r>
        <w:rPr>
          <w:rFonts w:hint="default" w:ascii="Times New Roman" w:hAnsi="Times New Roman" w:eastAsia="仿宋" w:cs="Times New Roman"/>
          <w:color w:val="auto"/>
          <w:sz w:val="32"/>
          <w:szCs w:val="32"/>
          <w:highlight w:val="none"/>
        </w:rPr>
        <w:t>凭证</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账簿</w:t>
      </w:r>
      <w:r>
        <w:rPr>
          <w:rFonts w:hint="default" w:ascii="Times New Roman" w:hAnsi="Times New Roman" w:eastAsia="仿宋" w:cs="Times New Roman"/>
          <w:color w:val="auto"/>
          <w:sz w:val="32"/>
          <w:szCs w:val="32"/>
          <w:highlight w:val="none"/>
        </w:rPr>
        <w:t>，管道投资、生产运行、政府核准文件等相关</w:t>
      </w:r>
      <w:r>
        <w:rPr>
          <w:rFonts w:hint="default" w:ascii="Times New Roman" w:hAnsi="Times New Roman" w:eastAsia="仿宋" w:cs="Times New Roman"/>
          <w:color w:val="auto"/>
          <w:sz w:val="32"/>
          <w:szCs w:val="32"/>
          <w:highlight w:val="none"/>
          <w:lang w:val="en-US" w:eastAsia="zh-CN"/>
        </w:rPr>
        <w:t>文件</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管道运输</w:t>
      </w:r>
      <w:r>
        <w:rPr>
          <w:rFonts w:hint="default" w:ascii="Times New Roman" w:hAnsi="Times New Roman" w:eastAsia="仿宋" w:cs="Times New Roman"/>
          <w:color w:val="auto"/>
          <w:sz w:val="32"/>
          <w:szCs w:val="32"/>
          <w:highlight w:val="none"/>
        </w:rPr>
        <w:t>企业对外公布的输气量、销售量等相关统计报表，以及</w:t>
      </w:r>
      <w:r>
        <w:rPr>
          <w:rFonts w:hint="default" w:ascii="Times New Roman" w:hAnsi="Times New Roman" w:eastAsia="仿宋" w:cs="Times New Roman"/>
          <w:color w:val="auto"/>
          <w:sz w:val="32"/>
          <w:szCs w:val="32"/>
          <w:highlight w:val="none"/>
          <w:lang w:val="en-US" w:eastAsia="zh-CN"/>
        </w:rPr>
        <w:t>真实、</w:t>
      </w:r>
      <w:r>
        <w:rPr>
          <w:rFonts w:hint="default" w:ascii="Times New Roman" w:hAnsi="Times New Roman" w:eastAsia="仿宋" w:cs="Times New Roman"/>
          <w:color w:val="auto"/>
          <w:sz w:val="32"/>
          <w:szCs w:val="32"/>
          <w:highlight w:val="none"/>
        </w:rPr>
        <w:t>完整、</w:t>
      </w:r>
      <w:r>
        <w:rPr>
          <w:rFonts w:hint="default" w:ascii="Times New Roman" w:hAnsi="Times New Roman" w:eastAsia="仿宋" w:cs="Times New Roman"/>
          <w:color w:val="auto"/>
          <w:sz w:val="32"/>
          <w:szCs w:val="32"/>
          <w:highlight w:val="none"/>
          <w:lang w:val="en-US" w:eastAsia="zh-CN"/>
        </w:rPr>
        <w:t>准确</w:t>
      </w:r>
      <w:r>
        <w:rPr>
          <w:rFonts w:hint="default" w:ascii="Times New Roman" w:hAnsi="Times New Roman" w:eastAsia="仿宋" w:cs="Times New Roman"/>
          <w:color w:val="auto"/>
          <w:sz w:val="32"/>
          <w:szCs w:val="32"/>
          <w:highlight w:val="none"/>
        </w:rPr>
        <w:t>的其他成本相关资料为基础。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定价成本构成及计价量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管道运输定价成本由固定资产折旧费、无形资产摊销</w:t>
      </w:r>
      <w:r>
        <w:rPr>
          <w:rFonts w:hint="default" w:ascii="Times New Roman" w:hAnsi="Times New Roman" w:eastAsia="仿宋" w:cs="Times New Roman"/>
          <w:color w:val="auto"/>
          <w:sz w:val="32"/>
          <w:szCs w:val="32"/>
          <w:highlight w:val="none"/>
          <w:lang w:val="en-US" w:eastAsia="zh-CN"/>
        </w:rPr>
        <w:t>费</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运行维护费构成。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九</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固定资产折旧费及无形资产摊销</w:t>
      </w:r>
      <w:r>
        <w:rPr>
          <w:rFonts w:hint="default" w:ascii="Times New Roman" w:hAnsi="Times New Roman" w:eastAsia="仿宋" w:cs="Times New Roman"/>
          <w:color w:val="auto"/>
          <w:sz w:val="32"/>
          <w:szCs w:val="32"/>
          <w:highlight w:val="none"/>
          <w:lang w:val="en-US" w:eastAsia="zh-CN"/>
        </w:rPr>
        <w:t>费</w:t>
      </w:r>
      <w:r>
        <w:rPr>
          <w:rFonts w:hint="default" w:ascii="Times New Roman" w:hAnsi="Times New Roman" w:eastAsia="仿宋" w:cs="Times New Roman"/>
          <w:color w:val="auto"/>
          <w:sz w:val="32"/>
          <w:szCs w:val="32"/>
          <w:highlight w:val="none"/>
        </w:rPr>
        <w:t>指与管道运输服务相关的固定资产原值、无形资产原值按照</w:t>
      </w:r>
      <w:r>
        <w:rPr>
          <w:rFonts w:hint="default" w:ascii="Times New Roman" w:hAnsi="Times New Roman" w:eastAsia="仿宋" w:cs="Times New Roman"/>
          <w:color w:val="auto"/>
          <w:sz w:val="32"/>
          <w:szCs w:val="32"/>
          <w:highlight w:val="none"/>
          <w:lang w:val="en-US" w:eastAsia="zh-CN"/>
        </w:rPr>
        <w:t>本办法</w:t>
      </w:r>
      <w:r>
        <w:rPr>
          <w:rFonts w:hint="default" w:ascii="Times New Roman" w:hAnsi="Times New Roman" w:eastAsia="仿宋" w:cs="Times New Roman"/>
          <w:color w:val="auto"/>
          <w:sz w:val="32"/>
          <w:szCs w:val="32"/>
          <w:highlight w:val="none"/>
        </w:rPr>
        <w:t>规定的</w:t>
      </w:r>
      <w:r>
        <w:rPr>
          <w:rFonts w:hint="default" w:ascii="Times New Roman" w:hAnsi="Times New Roman" w:eastAsia="仿宋" w:cs="Times New Roman"/>
          <w:color w:val="auto"/>
          <w:sz w:val="32"/>
          <w:szCs w:val="32"/>
          <w:highlight w:val="none"/>
          <w:lang w:val="en-US" w:eastAsia="zh-CN"/>
        </w:rPr>
        <w:t>方法和</w:t>
      </w:r>
      <w:r>
        <w:rPr>
          <w:rFonts w:hint="default" w:ascii="Times New Roman" w:hAnsi="Times New Roman" w:eastAsia="仿宋" w:cs="Times New Roman"/>
          <w:color w:val="auto"/>
          <w:sz w:val="32"/>
          <w:szCs w:val="32"/>
          <w:highlight w:val="none"/>
        </w:rPr>
        <w:t>年限计提的费用，包括管理费用和销售费用中的固定资产折旧费及无形资产摊销费。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运行维护费指维持管道正常运行所发生的费用，包括输气成本、管理费用、销售费用</w:t>
      </w:r>
      <w:r>
        <w:rPr>
          <w:rFonts w:hint="default" w:ascii="Times New Roman" w:hAnsi="Times New Roman" w:eastAsia="仿宋" w:cs="Times New Roman"/>
          <w:color w:val="auto"/>
          <w:sz w:val="32"/>
          <w:szCs w:val="32"/>
          <w:highlight w:val="none"/>
          <w:lang w:eastAsia="zh-CN"/>
        </w:rPr>
        <w:t>、纳入定价成本的相关税金</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（一）输气成本，包括材料费、燃料动力费、修理费、职工薪酬、输气损耗以及其他相关费用。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1. </w:t>
      </w:r>
      <w:r>
        <w:rPr>
          <w:rFonts w:hint="default" w:ascii="Times New Roman" w:hAnsi="Times New Roman" w:eastAsia="仿宋" w:cs="Times New Roman"/>
          <w:color w:val="auto"/>
          <w:sz w:val="32"/>
          <w:szCs w:val="32"/>
          <w:highlight w:val="none"/>
        </w:rPr>
        <w:t>材料费，指维持管道正常运行所耗用的原材料、辅助材料、</w:t>
      </w:r>
      <w:r>
        <w:rPr>
          <w:rFonts w:hint="default" w:ascii="Times New Roman" w:hAnsi="Times New Roman" w:eastAsia="仿宋" w:cs="Times New Roman"/>
          <w:color w:val="auto"/>
          <w:sz w:val="32"/>
          <w:szCs w:val="32"/>
          <w:highlight w:val="none"/>
          <w:lang w:val="en-US" w:eastAsia="zh-CN"/>
        </w:rPr>
        <w:t>备品</w:t>
      </w:r>
      <w:r>
        <w:rPr>
          <w:rFonts w:hint="default" w:ascii="Times New Roman" w:hAnsi="Times New Roman" w:eastAsia="仿宋" w:cs="Times New Roman"/>
          <w:color w:val="auto"/>
          <w:sz w:val="32"/>
          <w:szCs w:val="32"/>
          <w:highlight w:val="none"/>
        </w:rPr>
        <w:t>备件以及其他直接材料的</w:t>
      </w:r>
      <w:r>
        <w:rPr>
          <w:rFonts w:hint="default" w:ascii="Times New Roman" w:hAnsi="Times New Roman" w:eastAsia="仿宋" w:cs="Times New Roman"/>
          <w:color w:val="auto"/>
          <w:sz w:val="32"/>
          <w:szCs w:val="32"/>
          <w:highlight w:val="none"/>
          <w:lang w:val="en-US" w:eastAsia="zh-CN"/>
        </w:rPr>
        <w:t>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 xml:space="preserve">2. </w:t>
      </w:r>
      <w:r>
        <w:rPr>
          <w:rFonts w:hint="default" w:ascii="Times New Roman" w:hAnsi="Times New Roman" w:eastAsia="仿宋" w:cs="Times New Roman"/>
          <w:color w:val="auto"/>
          <w:sz w:val="32"/>
          <w:szCs w:val="32"/>
          <w:highlight w:val="none"/>
        </w:rPr>
        <w:t>燃料动力费，指维持管道正常运行所耗用的水、电、油、气</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煤等费用。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 xml:space="preserve">3. </w:t>
      </w:r>
      <w:r>
        <w:rPr>
          <w:rFonts w:hint="default" w:ascii="Times New Roman" w:hAnsi="Times New Roman" w:eastAsia="仿宋" w:cs="Times New Roman"/>
          <w:color w:val="auto"/>
          <w:sz w:val="32"/>
          <w:szCs w:val="32"/>
          <w:highlight w:val="none"/>
        </w:rPr>
        <w:t>修理费，指维持管道正常运行所进行的修理和维护活动发生的费用。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 xml:space="preserve">4. </w:t>
      </w:r>
      <w:r>
        <w:rPr>
          <w:rFonts w:hint="default" w:ascii="Times New Roman" w:hAnsi="Times New Roman" w:eastAsia="仿宋" w:cs="Times New Roman"/>
          <w:color w:val="auto"/>
          <w:sz w:val="32"/>
          <w:szCs w:val="32"/>
          <w:highlight w:val="none"/>
        </w:rPr>
        <w:t>职工薪酬，指给予管道运输服务</w:t>
      </w:r>
      <w:r>
        <w:rPr>
          <w:rFonts w:hint="default" w:ascii="Times New Roman" w:hAnsi="Times New Roman" w:eastAsia="仿宋" w:cs="Times New Roman"/>
          <w:color w:val="auto"/>
          <w:sz w:val="32"/>
          <w:szCs w:val="32"/>
          <w:highlight w:val="none"/>
          <w:lang w:val="en-US" w:eastAsia="zh-CN"/>
        </w:rPr>
        <w:t>相关</w:t>
      </w:r>
      <w:r>
        <w:rPr>
          <w:rFonts w:hint="default" w:ascii="Times New Roman" w:hAnsi="Times New Roman" w:eastAsia="仿宋" w:cs="Times New Roman"/>
          <w:color w:val="auto"/>
          <w:sz w:val="32"/>
          <w:szCs w:val="32"/>
          <w:highlight w:val="none"/>
        </w:rPr>
        <w:t>职工各种形式的报酬以及其他相关费用。具体包括：职工工资（基本工资、奖金、津贴和补贴）；职工福利费；基本养老保险费、基本医疗保险费、失业保险费、工伤保险费和生育保险费等社会保险费，以及按照法律法规规定为职工缴纳的补充养老保险费和补充医疗保险费；住房公积金；工会经费和职工教育经费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 xml:space="preserve">5. </w:t>
      </w:r>
      <w:r>
        <w:rPr>
          <w:rFonts w:hint="default" w:ascii="Times New Roman" w:hAnsi="Times New Roman" w:eastAsia="仿宋" w:cs="Times New Roman"/>
          <w:color w:val="auto"/>
          <w:sz w:val="32"/>
          <w:szCs w:val="32"/>
          <w:highlight w:val="none"/>
        </w:rPr>
        <w:t>输气损耗</w:t>
      </w:r>
      <w:r>
        <w:rPr>
          <w:rFonts w:hint="default" w:ascii="Times New Roman" w:hAnsi="Times New Roman" w:eastAsia="仿宋" w:cs="Times New Roman"/>
          <w:color w:val="auto"/>
          <w:sz w:val="32"/>
          <w:szCs w:val="32"/>
          <w:highlight w:val="none"/>
          <w:lang w:val="en-US" w:eastAsia="zh-CN"/>
        </w:rPr>
        <w:t>费</w:t>
      </w:r>
      <w:r>
        <w:rPr>
          <w:rFonts w:hint="default" w:ascii="Times New Roman" w:hAnsi="Times New Roman" w:eastAsia="仿宋" w:cs="Times New Roman"/>
          <w:color w:val="auto"/>
          <w:sz w:val="32"/>
          <w:szCs w:val="32"/>
          <w:highlight w:val="none"/>
        </w:rPr>
        <w:t>，指在管道运输过程中因天然气损耗</w:t>
      </w:r>
      <w:r>
        <w:rPr>
          <w:rFonts w:hint="default" w:ascii="Times New Roman" w:hAnsi="Times New Roman" w:eastAsia="仿宋" w:cs="Times New Roman"/>
          <w:color w:val="auto"/>
          <w:sz w:val="32"/>
          <w:szCs w:val="32"/>
          <w:highlight w:val="none"/>
          <w:lang w:eastAsia="zh-CN"/>
        </w:rPr>
        <w:t>折算的费用</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 xml:space="preserve">6. </w:t>
      </w:r>
      <w:r>
        <w:rPr>
          <w:rFonts w:hint="default" w:ascii="Times New Roman" w:hAnsi="Times New Roman" w:eastAsia="仿宋" w:cs="Times New Roman"/>
          <w:color w:val="auto"/>
          <w:sz w:val="32"/>
          <w:szCs w:val="32"/>
          <w:highlight w:val="none"/>
        </w:rPr>
        <w:t>其他相关费用，指除以上成本因素外管道运输企业提供</w:t>
      </w:r>
      <w:r>
        <w:rPr>
          <w:rFonts w:hint="default" w:ascii="Times New Roman" w:hAnsi="Times New Roman" w:eastAsia="仿宋" w:cs="Times New Roman"/>
          <w:color w:val="auto"/>
          <w:sz w:val="32"/>
          <w:szCs w:val="32"/>
          <w:highlight w:val="none"/>
          <w:lang w:val="en-US" w:eastAsia="zh-CN"/>
        </w:rPr>
        <w:t>正常</w:t>
      </w:r>
      <w:r>
        <w:rPr>
          <w:rFonts w:hint="default" w:ascii="Times New Roman" w:hAnsi="Times New Roman" w:eastAsia="仿宋" w:cs="Times New Roman"/>
          <w:color w:val="auto"/>
          <w:sz w:val="32"/>
          <w:szCs w:val="32"/>
          <w:highlight w:val="none"/>
        </w:rPr>
        <w:t>管道运输服务发生的其他有关费用，包括研发费用、安全生产费用、管道弃置或封存费用、承担国家应急保供任务而发生的储气服务费用、青苗补偿费、水土保持补偿费等。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（二）管理费用，</w:t>
      </w:r>
      <w:r>
        <w:rPr>
          <w:rFonts w:hint="default" w:ascii="Times New Roman" w:hAnsi="Times New Roman" w:eastAsia="仿宋" w:cs="Times New Roman"/>
          <w:color w:val="auto"/>
          <w:sz w:val="32"/>
          <w:szCs w:val="32"/>
          <w:highlight w:val="none"/>
        </w:rPr>
        <w:t>指管道运输企业</w:t>
      </w:r>
      <w:r>
        <w:rPr>
          <w:rFonts w:hint="default" w:ascii="Times New Roman" w:hAnsi="Times New Roman" w:eastAsia="仿宋" w:cs="Times New Roman"/>
          <w:color w:val="auto"/>
          <w:sz w:val="32"/>
          <w:szCs w:val="32"/>
          <w:highlight w:val="none"/>
          <w:lang w:val="en-US" w:eastAsia="zh-CN"/>
        </w:rPr>
        <w:t>管理部门</w:t>
      </w:r>
      <w:r>
        <w:rPr>
          <w:rFonts w:hint="default" w:ascii="Times New Roman" w:hAnsi="Times New Roman" w:eastAsia="仿宋" w:cs="Times New Roman"/>
          <w:color w:val="auto"/>
          <w:sz w:val="32"/>
          <w:szCs w:val="32"/>
          <w:highlight w:val="none"/>
        </w:rPr>
        <w:t>为组织和管理输气服务所发生的各项费用。包括差旅费、会议费、办公费、业务招待费、出国经费、物料消耗、低值易耗品摊销等，不含</w:t>
      </w:r>
      <w:r>
        <w:rPr>
          <w:rFonts w:hint="default" w:ascii="Times New Roman" w:hAnsi="Times New Roman" w:eastAsia="仿宋" w:cs="Times New Roman"/>
          <w:color w:val="auto"/>
          <w:sz w:val="32"/>
          <w:szCs w:val="32"/>
          <w:highlight w:val="none"/>
          <w:lang w:val="en-US" w:eastAsia="zh-CN"/>
        </w:rPr>
        <w:t>管理人员职工薪酬、</w:t>
      </w:r>
      <w:r>
        <w:rPr>
          <w:rFonts w:hint="default" w:ascii="Times New Roman" w:hAnsi="Times New Roman" w:eastAsia="仿宋" w:cs="Times New Roman"/>
          <w:color w:val="auto"/>
          <w:sz w:val="32"/>
          <w:szCs w:val="32"/>
          <w:highlight w:val="none"/>
        </w:rPr>
        <w:t>固定资产折旧费及无形资产摊销费。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仿宋" w:cs="Times New Roman"/>
          <w:color w:val="auto"/>
          <w:sz w:val="32"/>
          <w:szCs w:val="32"/>
          <w:highlight w:val="none"/>
        </w:rPr>
        <w:t>（三）销售费用，</w:t>
      </w:r>
      <w:r>
        <w:rPr>
          <w:rFonts w:hint="default" w:ascii="Times New Roman" w:hAnsi="Times New Roman" w:eastAsia="仿宋" w:cs="Times New Roman"/>
          <w:color w:val="auto"/>
          <w:sz w:val="32"/>
          <w:szCs w:val="32"/>
          <w:highlight w:val="none"/>
        </w:rPr>
        <w:t>指管道运输企业在销售或提供服务过程中发生的各项费用。包括资料费、包装费、保险费、广告费、租赁费、物料消耗、低值易耗品摊销等，不含销售人员职工薪酬、固定资产折旧费及无形资产摊销费。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四</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纳入定价成本的相关税金，</w:t>
      </w:r>
      <w:r>
        <w:rPr>
          <w:rFonts w:hint="default" w:ascii="Times New Roman" w:hAnsi="Times New Roman" w:eastAsia="仿宋" w:cs="Times New Roman"/>
          <w:color w:val="auto"/>
          <w:sz w:val="32"/>
          <w:szCs w:val="32"/>
          <w:highlight w:val="none"/>
        </w:rPr>
        <w:t>包括</w:t>
      </w:r>
      <w:r>
        <w:rPr>
          <w:rFonts w:hint="default" w:ascii="Times New Roman" w:hAnsi="Times New Roman" w:eastAsia="仿宋" w:cs="Times New Roman"/>
          <w:color w:val="auto"/>
          <w:sz w:val="32"/>
          <w:szCs w:val="32"/>
          <w:highlight w:val="none"/>
          <w:lang w:val="en-US" w:eastAsia="zh-CN"/>
        </w:rPr>
        <w:t>车船使用税、房产税、土地使用税和印花税。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w:t>
      </w:r>
      <w:r>
        <w:rPr>
          <w:rFonts w:hint="default"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下列费用不得计入定价成本</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（一）不符合《中华人民共和国会计法》等有关法律法规和国家统一的</w:t>
      </w:r>
      <w:r>
        <w:rPr>
          <w:rFonts w:hint="default" w:ascii="Times New Roman" w:hAnsi="Times New Roman" w:eastAsia="仿宋" w:cs="Times New Roman"/>
          <w:color w:val="auto"/>
          <w:sz w:val="32"/>
          <w:szCs w:val="32"/>
          <w:highlight w:val="none"/>
          <w:lang w:val="en-US" w:eastAsia="zh-CN"/>
        </w:rPr>
        <w:t>财务</w:t>
      </w:r>
      <w:r>
        <w:rPr>
          <w:rFonts w:hint="default" w:ascii="Times New Roman" w:hAnsi="Times New Roman" w:eastAsia="仿宋" w:cs="Times New Roman"/>
          <w:color w:val="auto"/>
          <w:sz w:val="32"/>
          <w:szCs w:val="32"/>
          <w:highlight w:val="none"/>
        </w:rPr>
        <w:t>会计</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价格监管制度等</w:t>
      </w:r>
      <w:r>
        <w:rPr>
          <w:rFonts w:hint="default" w:ascii="Times New Roman" w:hAnsi="Times New Roman" w:eastAsia="仿宋" w:cs="Times New Roman"/>
          <w:color w:val="auto"/>
          <w:sz w:val="32"/>
          <w:szCs w:val="32"/>
          <w:highlight w:val="none"/>
          <w:lang w:val="en-US" w:eastAsia="zh-CN"/>
        </w:rPr>
        <w:t>规定</w:t>
      </w:r>
      <w:r>
        <w:rPr>
          <w:rFonts w:hint="default" w:ascii="Times New Roman" w:hAnsi="Times New Roman" w:eastAsia="仿宋" w:cs="Times New Roman"/>
          <w:color w:val="auto"/>
          <w:sz w:val="32"/>
          <w:szCs w:val="32"/>
          <w:highlight w:val="none"/>
        </w:rPr>
        <w:t>的费用</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（二）与管道运输业务无关的费用</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（三）虽与管道运输业务有关，但按照国家有关规定由政府补助、政策优惠、社会无偿捐赠等专项资金来源予以补偿的费用</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（四）各类捐赠、赞助、滞纳金、违约金、罚款，以及计提的准备金。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（五）</w:t>
      </w:r>
      <w:r>
        <w:rPr>
          <w:rFonts w:hint="default" w:ascii="Times New Roman" w:hAnsi="Times New Roman" w:eastAsia="仿宋" w:cs="Times New Roman"/>
          <w:color w:val="auto"/>
          <w:sz w:val="32"/>
          <w:szCs w:val="32"/>
          <w:highlight w:val="none"/>
          <w:lang w:val="en-US" w:eastAsia="zh-CN"/>
        </w:rPr>
        <w:t>公益</w:t>
      </w:r>
      <w:r>
        <w:rPr>
          <w:rFonts w:hint="default" w:ascii="Times New Roman" w:hAnsi="Times New Roman" w:eastAsia="仿宋" w:cs="Times New Roman"/>
          <w:color w:val="auto"/>
          <w:sz w:val="32"/>
          <w:szCs w:val="32"/>
          <w:highlight w:val="none"/>
        </w:rPr>
        <w:t>广告、公益宣传费用</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（六）除不可抗力外的固定资产盘亏、毁损、闲置和出售的净损失</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（七）特许经营权费用</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（八）向上级公司或管理部门上交的利润性质的管理费用、代上级公司或管理部门缴纳的各项费用、向出资人支付的利润分成以及对附属单位的补助支出等</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（九）过度购置固定资产所增加的折旧、修理费等支出</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（十）关联方交易超过市场公允价值部分的成本</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（十一）其他不合理费用。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w:t>
      </w:r>
      <w:r>
        <w:rPr>
          <w:rFonts w:hint="default"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计价量，指通过分配管道运输总成本计算单位成本所依据的总周转量。单条管道周转量是指单条管道</w:t>
      </w:r>
      <w:r>
        <w:rPr>
          <w:rFonts w:hint="default" w:ascii="Times New Roman" w:hAnsi="Times New Roman" w:eastAsia="仿宋" w:cs="Times New Roman"/>
          <w:color w:val="auto"/>
          <w:sz w:val="32"/>
          <w:szCs w:val="32"/>
          <w:highlight w:val="none"/>
          <w:lang w:val="en-US" w:eastAsia="zh-CN"/>
        </w:rPr>
        <w:t>结算</w:t>
      </w:r>
      <w:r>
        <w:rPr>
          <w:rFonts w:hint="default" w:ascii="Times New Roman" w:hAnsi="Times New Roman" w:eastAsia="仿宋" w:cs="Times New Roman"/>
          <w:color w:val="auto"/>
          <w:sz w:val="32"/>
          <w:szCs w:val="32"/>
          <w:highlight w:val="none"/>
        </w:rPr>
        <w:t>气量与该管道</w:t>
      </w:r>
      <w:r>
        <w:rPr>
          <w:rFonts w:hint="default" w:ascii="Times New Roman" w:hAnsi="Times New Roman" w:eastAsia="仿宋" w:cs="Times New Roman"/>
          <w:color w:val="auto"/>
          <w:sz w:val="32"/>
          <w:szCs w:val="32"/>
          <w:highlight w:val="none"/>
          <w:lang w:val="en-US" w:eastAsia="zh-CN"/>
        </w:rPr>
        <w:t>约定路径平均</w:t>
      </w:r>
      <w:r>
        <w:rPr>
          <w:rFonts w:hint="default" w:ascii="Times New Roman" w:hAnsi="Times New Roman" w:eastAsia="仿宋" w:cs="Times New Roman"/>
          <w:color w:val="auto"/>
          <w:sz w:val="32"/>
          <w:szCs w:val="32"/>
          <w:highlight w:val="none"/>
        </w:rPr>
        <w:t>运输距离之积。总周转量是指管道运输企业拥有的所有天然气管道周转量之和。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定价成本审核标准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十三</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计入定价成本的固定资产折旧费，按照核定的</w:t>
      </w:r>
      <w:r>
        <w:rPr>
          <w:rFonts w:hint="default" w:ascii="Times New Roman" w:hAnsi="Times New Roman" w:eastAsia="仿宋" w:cs="Times New Roman"/>
          <w:color w:val="auto"/>
          <w:sz w:val="32"/>
          <w:szCs w:val="32"/>
          <w:highlight w:val="none"/>
          <w:lang w:val="en-US" w:eastAsia="zh-CN"/>
        </w:rPr>
        <w:t>监审期间最末一年可计提折旧</w:t>
      </w:r>
      <w:r>
        <w:rPr>
          <w:rFonts w:hint="default" w:ascii="Times New Roman" w:hAnsi="Times New Roman" w:eastAsia="仿宋" w:cs="Times New Roman"/>
          <w:color w:val="auto"/>
          <w:sz w:val="32"/>
          <w:szCs w:val="32"/>
          <w:highlight w:val="none"/>
        </w:rPr>
        <w:t>固定资产原值、规定的折旧年限和残值率，采用年限平均法核定。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可计提折旧的固定资产是指经有权限的行业投资主管部门批准建设的输气管道、设备以及其他与输气业务相关的资产，原值按照历史成本核定，不考虑评估增值部分。铺底天然气按原值核定。按规定进行过清产核资的，按财政或国有资产部门认定的各类固定资产价值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二</w:t>
      </w:r>
      <w:r>
        <w:rPr>
          <w:rFonts w:hint="default" w:ascii="Times New Roman" w:hAnsi="Times New Roman" w:eastAsia="仿宋" w:cs="Times New Roman"/>
          <w:color w:val="auto"/>
          <w:sz w:val="32"/>
          <w:szCs w:val="32"/>
          <w:highlight w:val="none"/>
        </w:rPr>
        <w:t>）折旧年限根据固定资产的性质、实际使用情况等因素确定</w:t>
      </w:r>
      <w:r>
        <w:rPr>
          <w:rFonts w:hint="default" w:ascii="Times New Roman" w:hAnsi="Times New Roman" w:eastAsia="仿宋" w:cs="Times New Roman"/>
          <w:color w:val="auto"/>
          <w:sz w:val="32"/>
          <w:szCs w:val="32"/>
          <w:highlight w:val="none"/>
          <w:lang w:eastAsia="zh-CN"/>
        </w:rPr>
        <w:t>，各类固定资产折旧年限见附件；</w:t>
      </w:r>
      <w:r>
        <w:rPr>
          <w:rFonts w:hint="default" w:ascii="Times New Roman" w:hAnsi="Times New Roman" w:eastAsia="仿宋" w:cs="Times New Roman"/>
          <w:color w:val="auto"/>
          <w:sz w:val="32"/>
          <w:szCs w:val="32"/>
          <w:highlight w:val="none"/>
          <w:u w:val="none"/>
          <w:lang w:eastAsia="zh-CN"/>
        </w:rPr>
        <w:t>固定资产残值率一般按5%核定，</w:t>
      </w:r>
      <w:r>
        <w:rPr>
          <w:rFonts w:hint="default" w:ascii="Times New Roman" w:hAnsi="Times New Roman" w:eastAsia="仿宋" w:cs="Times New Roman"/>
          <w:color w:val="auto"/>
          <w:sz w:val="32"/>
          <w:szCs w:val="32"/>
          <w:highlight w:val="none"/>
          <w:u w:val="none"/>
          <w:lang w:val="en-US" w:eastAsia="zh-CN"/>
        </w:rPr>
        <w:t>其中</w:t>
      </w:r>
      <w:r>
        <w:rPr>
          <w:rFonts w:hint="default" w:ascii="Times New Roman" w:hAnsi="Times New Roman" w:eastAsia="仿宋" w:cs="Times New Roman"/>
          <w:color w:val="auto"/>
          <w:sz w:val="32"/>
          <w:szCs w:val="32"/>
          <w:highlight w:val="none"/>
          <w:u w:val="none"/>
          <w:lang w:eastAsia="zh-CN"/>
        </w:rPr>
        <w:t>管道固定资产残值率按0%核定</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管道运输企业固定资产实际折旧年限高于</w:t>
      </w:r>
      <w:r>
        <w:rPr>
          <w:rFonts w:hint="default" w:ascii="Times New Roman" w:hAnsi="Times New Roman" w:eastAsia="仿宋" w:cs="Times New Roman"/>
          <w:color w:val="auto"/>
          <w:sz w:val="32"/>
          <w:szCs w:val="32"/>
          <w:highlight w:val="none"/>
          <w:lang w:val="en-US" w:eastAsia="zh-CN"/>
        </w:rPr>
        <w:t>附件</w:t>
      </w:r>
      <w:r>
        <w:rPr>
          <w:rFonts w:hint="default" w:ascii="Times New Roman" w:hAnsi="Times New Roman" w:eastAsia="仿宋" w:cs="Times New Roman"/>
          <w:color w:val="auto"/>
          <w:sz w:val="32"/>
          <w:szCs w:val="32"/>
          <w:highlight w:val="none"/>
        </w:rPr>
        <w:t>规定的，按实际折旧年限核定。</w:t>
      </w:r>
      <w:r>
        <w:rPr>
          <w:rFonts w:hint="default" w:ascii="Times New Roman" w:hAnsi="Times New Roman" w:eastAsia="仿宋" w:cs="Times New Roman"/>
          <w:color w:val="auto"/>
          <w:sz w:val="32"/>
          <w:szCs w:val="32"/>
          <w:highlight w:val="none"/>
          <w:lang w:eastAsia="zh-CN"/>
        </w:rPr>
        <w:t>已计提完折旧仍在使用的固定资产不再计提折旧费。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三）</w:t>
      </w:r>
      <w:r>
        <w:rPr>
          <w:rFonts w:hint="default" w:ascii="Times New Roman" w:hAnsi="Times New Roman" w:eastAsia="仿宋" w:cs="Times New Roman"/>
          <w:color w:val="auto"/>
          <w:sz w:val="32"/>
          <w:szCs w:val="32"/>
          <w:highlight w:val="none"/>
        </w:rPr>
        <w:t>折旧费不</w:t>
      </w:r>
      <w:r>
        <w:rPr>
          <w:rFonts w:hint="default" w:ascii="Times New Roman" w:hAnsi="Times New Roman" w:eastAsia="仿宋" w:cs="Times New Roman"/>
          <w:color w:val="auto"/>
          <w:sz w:val="32"/>
          <w:szCs w:val="32"/>
          <w:highlight w:val="none"/>
          <w:lang w:eastAsia="zh-CN"/>
        </w:rPr>
        <w:t>得</w:t>
      </w:r>
      <w:r>
        <w:rPr>
          <w:rFonts w:hint="default" w:ascii="Times New Roman" w:hAnsi="Times New Roman" w:eastAsia="仿宋" w:cs="Times New Roman"/>
          <w:color w:val="auto"/>
          <w:sz w:val="32"/>
          <w:szCs w:val="32"/>
          <w:highlight w:val="none"/>
        </w:rPr>
        <w:t>计入定价成本的固定资产包括：未经有权限的行业投资主管部门审批建设的管道资产；政府无偿投入</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投资补助、贷款贴息等）</w:t>
      </w:r>
      <w:r>
        <w:rPr>
          <w:rFonts w:hint="default" w:ascii="Times New Roman" w:hAnsi="Times New Roman" w:eastAsia="仿宋" w:cs="Times New Roman"/>
          <w:color w:val="auto"/>
          <w:sz w:val="32"/>
          <w:szCs w:val="32"/>
          <w:highlight w:val="none"/>
        </w:rPr>
        <w:t>和社会无偿投入形成的固定资产；储气库、液化天然气接收站资产；从管道运输企业分离出去的辅业、多种经营等资产；其他与管道运输业务无关的固定资产；</w:t>
      </w:r>
      <w:r>
        <w:rPr>
          <w:rFonts w:hint="default" w:ascii="Times New Roman" w:hAnsi="Times New Roman" w:eastAsia="仿宋" w:cs="Times New Roman"/>
          <w:color w:val="auto"/>
          <w:sz w:val="32"/>
          <w:szCs w:val="32"/>
          <w:highlight w:val="none"/>
          <w:lang w:val="en-US" w:eastAsia="zh-CN"/>
        </w:rPr>
        <w:t>铺底天然气；</w:t>
      </w:r>
      <w:r>
        <w:rPr>
          <w:rFonts w:hint="default" w:ascii="Times New Roman" w:hAnsi="Times New Roman" w:eastAsia="仿宋" w:cs="Times New Roman"/>
          <w:color w:val="auto"/>
          <w:sz w:val="32"/>
          <w:szCs w:val="32"/>
          <w:highlight w:val="none"/>
        </w:rPr>
        <w:t>未投入使用的固定资产；不能提供固定资产价值有效证明的固定资产；固定资产评估增值的部分</w:t>
      </w:r>
      <w:r>
        <w:rPr>
          <w:rFonts w:hint="default" w:ascii="Times New Roman" w:hAnsi="Times New Roman" w:eastAsia="仿宋" w:cs="Times New Roman"/>
          <w:color w:val="auto"/>
          <w:sz w:val="32"/>
          <w:szCs w:val="32"/>
          <w:highlight w:val="none"/>
          <w:lang w:eastAsia="zh-CN"/>
        </w:rPr>
        <w:t>；其他不应当计提折旧的情形</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十四</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计入定价成本的</w:t>
      </w:r>
      <w:r>
        <w:rPr>
          <w:rFonts w:hint="default" w:ascii="Times New Roman" w:hAnsi="Times New Roman" w:eastAsia="仿宋" w:cs="Times New Roman"/>
          <w:color w:val="auto"/>
          <w:sz w:val="32"/>
          <w:szCs w:val="32"/>
          <w:highlight w:val="none"/>
          <w:lang w:eastAsia="zh-CN"/>
        </w:rPr>
        <w:t>无形资产</w:t>
      </w:r>
      <w:r>
        <w:rPr>
          <w:rFonts w:hint="default" w:ascii="Times New Roman" w:hAnsi="Times New Roman" w:eastAsia="仿宋" w:cs="Times New Roman"/>
          <w:color w:val="auto"/>
          <w:sz w:val="32"/>
          <w:szCs w:val="32"/>
          <w:highlight w:val="none"/>
        </w:rPr>
        <w:t>摊销费按照核定的监审期间最末一年可摊销无形资产（不含商誉）原值、规定的摊销年限，采用直线摊销法核定。评估增值部分不计入无形资产原值。土地使用权费已计入地面建筑物价值且无法分离的，随建筑物提取折旧，与管道相关的土地使用权按40年摊销</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其他按照土地使用权年限分摊；</w:t>
      </w:r>
      <w:r>
        <w:rPr>
          <w:rFonts w:hint="default" w:ascii="Times New Roman" w:hAnsi="Times New Roman" w:eastAsia="仿宋" w:cs="Times New Roman"/>
          <w:b w:val="0"/>
          <w:bCs w:val="0"/>
          <w:color w:val="000000"/>
          <w:sz w:val="32"/>
          <w:szCs w:val="32"/>
          <w:highlight w:val="none"/>
        </w:rPr>
        <w:t>特许经营权费用原则上不得计入定价成本，政府规定允许计入的，按照特许经营年限分摊，没有特许经营年限的按</w:t>
      </w:r>
      <w:r>
        <w:rPr>
          <w:rFonts w:hint="default" w:ascii="Times New Roman" w:hAnsi="Times New Roman" w:eastAsia="仿宋" w:cs="Times New Roman"/>
          <w:b w:val="0"/>
          <w:bCs w:val="0"/>
          <w:color w:val="000000"/>
          <w:sz w:val="32"/>
          <w:szCs w:val="32"/>
          <w:highlight w:val="none"/>
          <w:lang w:val="en-US" w:eastAsia="zh-CN"/>
        </w:rPr>
        <w:t>30</w:t>
      </w:r>
      <w:r>
        <w:rPr>
          <w:rFonts w:hint="default" w:ascii="Times New Roman" w:hAnsi="Times New Roman" w:eastAsia="仿宋" w:cs="Times New Roman"/>
          <w:b w:val="0"/>
          <w:bCs w:val="0"/>
          <w:color w:val="000000"/>
          <w:sz w:val="32"/>
          <w:szCs w:val="32"/>
          <w:highlight w:val="none"/>
        </w:rPr>
        <w:t>年分摊。</w:t>
      </w:r>
      <w:r>
        <w:rPr>
          <w:rFonts w:hint="default" w:ascii="Times New Roman" w:hAnsi="Times New Roman" w:eastAsia="仿宋" w:cs="Times New Roman"/>
          <w:color w:val="auto"/>
          <w:sz w:val="32"/>
          <w:szCs w:val="32"/>
          <w:highlight w:val="none"/>
          <w:lang w:val="en-US" w:eastAsia="zh-CN"/>
        </w:rPr>
        <w:t>其他</w:t>
      </w:r>
      <w:r>
        <w:rPr>
          <w:rFonts w:hint="default" w:ascii="Times New Roman" w:hAnsi="Times New Roman" w:eastAsia="仿宋" w:cs="Times New Roman"/>
          <w:color w:val="auto"/>
          <w:sz w:val="32"/>
          <w:szCs w:val="32"/>
          <w:highlight w:val="none"/>
        </w:rPr>
        <w:t>无形资产的摊销年限，有法律法规规定或合同约定的，从其规定或约定，没有规定或约定的，原则上按不少于10年摊销</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lang w:val="en-US" w:eastAsia="zh-CN"/>
        </w:rPr>
        <w:t xml:space="preserve">第十五条  </w:t>
      </w:r>
      <w:r>
        <w:rPr>
          <w:rFonts w:hint="default" w:ascii="Times New Roman" w:hAnsi="Times New Roman" w:eastAsia="仿宋" w:cs="Times New Roman"/>
          <w:color w:val="auto"/>
          <w:sz w:val="32"/>
          <w:szCs w:val="32"/>
          <w:highlight w:val="none"/>
        </w:rPr>
        <w:t>运行维护费各构成项目核定方法如下：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（一）材料费、燃料动力费按照管道运输企业监审</w:t>
      </w:r>
      <w:r>
        <w:rPr>
          <w:rFonts w:hint="default" w:ascii="Times New Roman" w:hAnsi="Times New Roman" w:eastAsia="仿宋" w:cs="Times New Roman"/>
          <w:color w:val="auto"/>
          <w:sz w:val="32"/>
          <w:szCs w:val="32"/>
          <w:highlight w:val="none"/>
          <w:lang w:val="en-US" w:eastAsia="zh-CN"/>
        </w:rPr>
        <w:t>期间剔除不合理因素后的平均水平核定</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（二）修理费按照管道运输企业监审</w:t>
      </w:r>
      <w:r>
        <w:rPr>
          <w:rFonts w:hint="default" w:ascii="Times New Roman" w:hAnsi="Times New Roman" w:eastAsia="仿宋" w:cs="Times New Roman"/>
          <w:color w:val="auto"/>
          <w:sz w:val="32"/>
          <w:szCs w:val="32"/>
          <w:highlight w:val="none"/>
          <w:lang w:val="en-US" w:eastAsia="zh-CN"/>
        </w:rPr>
        <w:t>期间剔除不合理因素后的平均水平核定</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每年最高不超过当年</w:t>
      </w:r>
      <w:r>
        <w:rPr>
          <w:rFonts w:hint="default" w:ascii="Times New Roman" w:hAnsi="Times New Roman" w:eastAsia="仿宋" w:cs="Times New Roman"/>
          <w:color w:val="auto"/>
          <w:sz w:val="32"/>
          <w:szCs w:val="32"/>
          <w:highlight w:val="none"/>
          <w:lang w:val="en-US" w:eastAsia="zh-CN"/>
        </w:rPr>
        <w:t>使用的</w:t>
      </w:r>
      <w:r>
        <w:rPr>
          <w:rFonts w:hint="default" w:ascii="Times New Roman" w:hAnsi="Times New Roman" w:eastAsia="仿宋" w:cs="Times New Roman"/>
          <w:color w:val="auto"/>
          <w:sz w:val="32"/>
          <w:szCs w:val="32"/>
          <w:highlight w:val="none"/>
        </w:rPr>
        <w:t>管道固定资产年末原值的2.5%。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（三）输气损耗</w:t>
      </w:r>
      <w:r>
        <w:rPr>
          <w:rFonts w:hint="default" w:ascii="Times New Roman" w:hAnsi="Times New Roman" w:eastAsia="仿宋" w:cs="Times New Roman"/>
          <w:color w:val="auto"/>
          <w:sz w:val="32"/>
          <w:szCs w:val="32"/>
          <w:highlight w:val="none"/>
          <w:lang w:val="en-US" w:eastAsia="zh-CN"/>
        </w:rPr>
        <w:t>费</w:t>
      </w:r>
      <w:r>
        <w:rPr>
          <w:rFonts w:hint="default" w:ascii="Times New Roman" w:hAnsi="Times New Roman" w:eastAsia="仿宋" w:cs="Times New Roman"/>
          <w:color w:val="auto"/>
          <w:sz w:val="32"/>
          <w:szCs w:val="32"/>
          <w:highlight w:val="none"/>
        </w:rPr>
        <w:t>按照管道运输企业监审</w:t>
      </w:r>
      <w:r>
        <w:rPr>
          <w:rFonts w:hint="default" w:ascii="Times New Roman" w:hAnsi="Times New Roman" w:eastAsia="仿宋" w:cs="Times New Roman"/>
          <w:color w:val="auto"/>
          <w:sz w:val="32"/>
          <w:szCs w:val="32"/>
          <w:highlight w:val="none"/>
          <w:lang w:val="en-US" w:eastAsia="zh-CN"/>
        </w:rPr>
        <w:t>期间剔除不合理因素后的平均水平核定</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每年核定</w:t>
      </w:r>
      <w:r>
        <w:rPr>
          <w:rFonts w:hint="default" w:ascii="Times New Roman" w:hAnsi="Times New Roman" w:eastAsia="仿宋" w:cs="Times New Roman"/>
          <w:color w:val="auto"/>
          <w:sz w:val="32"/>
          <w:szCs w:val="32"/>
          <w:highlight w:val="none"/>
        </w:rPr>
        <w:t>损耗气量最高不超过</w:t>
      </w:r>
      <w:r>
        <w:rPr>
          <w:rFonts w:hint="default" w:ascii="Times New Roman" w:hAnsi="Times New Roman" w:eastAsia="仿宋" w:cs="Times New Roman"/>
          <w:color w:val="auto"/>
          <w:sz w:val="32"/>
          <w:szCs w:val="32"/>
          <w:highlight w:val="none"/>
          <w:lang w:val="en-US" w:eastAsia="zh-CN"/>
        </w:rPr>
        <w:t>当年</w:t>
      </w:r>
      <w:r>
        <w:rPr>
          <w:rFonts w:hint="default" w:ascii="Times New Roman" w:hAnsi="Times New Roman" w:eastAsia="仿宋" w:cs="Times New Roman"/>
          <w:color w:val="auto"/>
          <w:sz w:val="32"/>
          <w:szCs w:val="32"/>
          <w:highlight w:val="none"/>
        </w:rPr>
        <w:t>输气量的0.2%。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（四）职工薪酬的核定。国有管道运输企业的工资总额参照</w:t>
      </w:r>
      <w:r>
        <w:rPr>
          <w:rFonts w:hint="default" w:ascii="Times New Roman" w:hAnsi="Times New Roman" w:eastAsia="仿宋" w:cs="Times New Roman"/>
          <w:color w:val="auto"/>
          <w:sz w:val="32"/>
          <w:szCs w:val="32"/>
          <w:highlight w:val="none"/>
          <w:lang w:val="en-US" w:eastAsia="zh-CN"/>
        </w:rPr>
        <w:t>监审期间最末一年同级</w:t>
      </w:r>
      <w:r>
        <w:rPr>
          <w:rFonts w:hint="default" w:ascii="Times New Roman" w:hAnsi="Times New Roman" w:eastAsia="仿宋" w:cs="Times New Roman"/>
          <w:color w:val="auto"/>
          <w:sz w:val="32"/>
          <w:szCs w:val="32"/>
          <w:highlight w:val="none"/>
        </w:rPr>
        <w:t>国有资产监督管理部门有关国有企业工资管理办法核定。未达到国有资产监督管理部门确定的工资总额的，剔除不合理因素后据实核定。其他</w:t>
      </w:r>
      <w:r>
        <w:rPr>
          <w:rFonts w:hint="default" w:ascii="Times New Roman" w:hAnsi="Times New Roman" w:eastAsia="仿宋" w:cs="Times New Roman"/>
          <w:color w:val="auto"/>
          <w:sz w:val="32"/>
          <w:szCs w:val="32"/>
          <w:highlight w:val="none"/>
          <w:lang w:eastAsia="zh-CN"/>
        </w:rPr>
        <w:t>管道运输</w:t>
      </w:r>
      <w:r>
        <w:rPr>
          <w:rFonts w:hint="default" w:ascii="Times New Roman" w:hAnsi="Times New Roman" w:eastAsia="仿宋" w:cs="Times New Roman"/>
          <w:color w:val="auto"/>
          <w:sz w:val="32"/>
          <w:szCs w:val="32"/>
          <w:highlight w:val="none"/>
        </w:rPr>
        <w:t>企业职工工资总额按照职工平均工资与职工人数核定。其中，职工平均工资原则上据实核定，但不得超过统计部门公布的当地电力、热力、燃气及水生产和供应业职工平均工资水平；职工人数按照实际在岗职工人数核定，政府有关部门或者行业有明确规定的，不得超过其规定人数</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职工福利费、社会保险费（包括补充养老保险费和补充医疗保险费）、住房公积金</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工会经费</w:t>
      </w:r>
      <w:r>
        <w:rPr>
          <w:rFonts w:hint="default" w:ascii="Times New Roman" w:hAnsi="Times New Roman" w:eastAsia="仿宋" w:cs="Times New Roman"/>
          <w:color w:val="auto"/>
          <w:sz w:val="32"/>
          <w:szCs w:val="32"/>
          <w:highlight w:val="none"/>
          <w:lang w:eastAsia="zh-CN"/>
        </w:rPr>
        <w:t>和</w:t>
      </w:r>
      <w:r>
        <w:rPr>
          <w:rFonts w:hint="default" w:ascii="Times New Roman" w:hAnsi="Times New Roman" w:eastAsia="仿宋" w:cs="Times New Roman"/>
          <w:color w:val="auto"/>
          <w:sz w:val="32"/>
          <w:szCs w:val="32"/>
          <w:highlight w:val="none"/>
        </w:rPr>
        <w:t>职工教育经费，</w:t>
      </w:r>
      <w:r>
        <w:rPr>
          <w:rFonts w:hint="default" w:ascii="Times New Roman" w:hAnsi="Times New Roman" w:eastAsia="仿宋" w:cs="Times New Roman"/>
          <w:b w:val="0"/>
          <w:bCs w:val="0"/>
          <w:color w:val="000000"/>
          <w:kern w:val="0"/>
          <w:sz w:val="32"/>
          <w:szCs w:val="32"/>
          <w:highlight w:val="none"/>
          <w:lang w:val="en-US" w:eastAsia="zh-CN" w:bidi="ar"/>
        </w:rPr>
        <w:t>审核计算基数原则上按监审期间最</w:t>
      </w:r>
      <w:r>
        <w:rPr>
          <w:rFonts w:hint="default" w:ascii="Times New Roman" w:hAnsi="Times New Roman" w:eastAsia="仿宋" w:cs="Times New Roman"/>
          <w:b w:val="0"/>
          <w:bCs w:val="0"/>
          <w:color w:val="000000"/>
          <w:kern w:val="0"/>
          <w:sz w:val="32"/>
          <w:szCs w:val="32"/>
          <w:highlight w:val="none"/>
          <w:lang w:val="en-US" w:eastAsia="zh-CN" w:bidi="ar"/>
        </w:rPr>
        <w:t>末</w:t>
      </w:r>
      <w:r>
        <w:rPr>
          <w:rFonts w:hint="default" w:ascii="Times New Roman" w:hAnsi="Times New Roman" w:eastAsia="仿宋" w:cs="Times New Roman"/>
          <w:b w:val="0"/>
          <w:bCs w:val="0"/>
          <w:color w:val="000000"/>
          <w:kern w:val="0"/>
          <w:sz w:val="32"/>
          <w:szCs w:val="32"/>
          <w:highlight w:val="none"/>
          <w:lang w:val="en-US" w:eastAsia="zh-CN" w:bidi="ar"/>
        </w:rPr>
        <w:t>一年企业实缴基数确定</w:t>
      </w:r>
      <w:r>
        <w:rPr>
          <w:rFonts w:hint="default" w:ascii="Times New Roman" w:hAnsi="Times New Roman" w:eastAsia="仿宋" w:cs="Times New Roman"/>
          <w:color w:val="auto"/>
          <w:sz w:val="32"/>
          <w:szCs w:val="32"/>
          <w:highlight w:val="none"/>
        </w:rPr>
        <w:t>，但不得超过核定的工资总额和当地政府规定的基数，计算比例按照不超过国家或者当地政府统一规定的比例确定。其中，职工福利费、工会经费、职工教育经费最高不得超过计入定价成本的工资总额的</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4%、2%、</w:t>
      </w:r>
      <w:r>
        <w:rPr>
          <w:rFonts w:hint="default"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val="0"/>
          <w:bCs w:val="0"/>
          <w:snapToGrid w:val="0"/>
          <w:color w:val="000000" w:themeColor="text1"/>
          <w:spacing w:val="0"/>
          <w:kern w:val="0"/>
          <w:sz w:val="32"/>
          <w:szCs w:val="32"/>
          <w:highlight w:val="none"/>
          <w14:textFill>
            <w14:solidFill>
              <w14:schemeClr w14:val="tx1"/>
            </w14:solidFill>
          </w14:textFill>
        </w:rPr>
        <w:t>国家有新规定的</w:t>
      </w:r>
      <w:r>
        <w:rPr>
          <w:rFonts w:hint="default" w:ascii="Times New Roman" w:hAnsi="Times New Roman" w:eastAsia="仿宋" w:cs="Times New Roman"/>
          <w:b w:val="0"/>
          <w:bCs w:val="0"/>
          <w:snapToGrid w:val="0"/>
          <w:color w:val="000000" w:themeColor="text1"/>
          <w:spacing w:val="0"/>
          <w:kern w:val="0"/>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snapToGrid w:val="0"/>
          <w:color w:val="000000" w:themeColor="text1"/>
          <w:spacing w:val="0"/>
          <w:kern w:val="0"/>
          <w:sz w:val="32"/>
          <w:szCs w:val="32"/>
          <w:highlight w:val="none"/>
          <w14:textFill>
            <w14:solidFill>
              <w14:schemeClr w14:val="tx1"/>
            </w14:solidFill>
          </w14:textFill>
        </w:rPr>
        <w:t>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因解除与职工的劳动关系给予的补偿，按照</w:t>
      </w:r>
      <w:r>
        <w:rPr>
          <w:rFonts w:hint="default" w:ascii="Times New Roman" w:hAnsi="Times New Roman" w:eastAsia="仿宋" w:cs="Times New Roman"/>
          <w:color w:val="auto"/>
          <w:sz w:val="32"/>
          <w:szCs w:val="32"/>
          <w:highlight w:val="none"/>
          <w:lang w:val="en-US" w:eastAsia="zh-CN"/>
        </w:rPr>
        <w:t>实际补偿年限平均分摊</w:t>
      </w:r>
      <w:r>
        <w:rPr>
          <w:rFonts w:hint="default" w:ascii="Times New Roman" w:hAnsi="Times New Roman" w:eastAsia="仿宋" w:cs="Times New Roman"/>
          <w:color w:val="auto"/>
          <w:sz w:val="32"/>
          <w:szCs w:val="32"/>
          <w:highlight w:val="none"/>
        </w:rPr>
        <w:t>计入定价成本。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val="en-US" w:eastAsia="zh-CN"/>
        </w:rPr>
        <w:t>第十六条</w:t>
      </w: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安全生产费原则上按管道运输企业监审期间最末一年实际计提数核定，但不得超过管道运输业务收入的1.5%。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 xml:space="preserve">第十七条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管理费用</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销售费用</w:t>
      </w:r>
      <w:r>
        <w:rPr>
          <w:rFonts w:hint="default" w:ascii="Times New Roman" w:hAnsi="Times New Roman" w:eastAsia="仿宋" w:cs="Times New Roman"/>
          <w:color w:val="auto"/>
          <w:sz w:val="32"/>
          <w:szCs w:val="32"/>
          <w:highlight w:val="none"/>
          <w:lang w:val="en-US" w:eastAsia="zh-CN"/>
        </w:rPr>
        <w:t>以及其他相关费用</w:t>
      </w:r>
      <w:r>
        <w:rPr>
          <w:rFonts w:hint="default" w:ascii="Times New Roman" w:hAnsi="Times New Roman" w:eastAsia="仿宋" w:cs="Times New Roman"/>
          <w:color w:val="auto"/>
          <w:sz w:val="32"/>
          <w:szCs w:val="32"/>
          <w:highlight w:val="none"/>
        </w:rPr>
        <w:t>按照管道运输企业监审期间剔除不合理因素后的平均水平核定</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应当符合行业公允水平。</w:t>
      </w:r>
      <w:r>
        <w:rPr>
          <w:rFonts w:hint="default" w:ascii="Times New Roman" w:hAnsi="Times New Roman" w:eastAsia="仿宋" w:cs="Times New Roman"/>
          <w:color w:val="auto"/>
          <w:sz w:val="32"/>
          <w:szCs w:val="32"/>
          <w:highlight w:val="none"/>
        </w:rPr>
        <w:t>业务招待费不得超过当年管道运输业务收入的5‰。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val="en-US" w:eastAsia="zh-CN"/>
        </w:rPr>
        <w:t xml:space="preserve">第十八条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纳入定价成本的相关税金按照现行国家税法规定以监审期间最末一年水平核定。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 xml:space="preserve">第十九条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存在关联交易的，其关联交易的结果应符合行业公允水平，必要时，可聘请第三方对关联交易事项进行专项审核。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 xml:space="preserve">第二十条  </w:t>
      </w:r>
      <w:r>
        <w:rPr>
          <w:rFonts w:hint="default" w:ascii="Times New Roman" w:hAnsi="Times New Roman" w:eastAsia="仿宋" w:cs="Times New Roman"/>
          <w:color w:val="auto"/>
          <w:sz w:val="32"/>
          <w:szCs w:val="32"/>
          <w:highlight w:val="none"/>
        </w:rPr>
        <w:t>应在职工福利费、工会经费、职工教育经费、安全生产费等中列支的费用，不得在其他费用项目中列支。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default" w:ascii="Times New Roman" w:hAnsi="Times New Roman" w:eastAsia="黑体" w:cs="Times New Roman"/>
          <w:b w:val="0"/>
          <w:bCs w:val="0"/>
          <w:color w:val="auto"/>
          <w:sz w:val="32"/>
          <w:szCs w:val="32"/>
          <w:highlight w:val="none"/>
          <w:lang w:val="en-US" w:eastAsia="zh-CN"/>
        </w:rPr>
        <w:t>二十一</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val="en-US" w:eastAsia="zh-CN"/>
        </w:rPr>
        <w:t>总</w:t>
      </w:r>
      <w:r>
        <w:rPr>
          <w:rFonts w:hint="default" w:ascii="Times New Roman" w:hAnsi="Times New Roman" w:eastAsia="仿宋" w:cs="Times New Roman"/>
          <w:color w:val="auto"/>
          <w:sz w:val="32"/>
          <w:szCs w:val="32"/>
          <w:highlight w:val="none"/>
        </w:rPr>
        <w:t>周转量按照管道运输企业监审</w:t>
      </w:r>
      <w:r>
        <w:rPr>
          <w:rFonts w:hint="default" w:ascii="Times New Roman" w:hAnsi="Times New Roman" w:eastAsia="仿宋" w:cs="Times New Roman"/>
          <w:color w:val="auto"/>
          <w:sz w:val="32"/>
          <w:szCs w:val="32"/>
          <w:highlight w:val="none"/>
          <w:lang w:val="en-US" w:eastAsia="zh-CN"/>
        </w:rPr>
        <w:t>期间最末一年</w:t>
      </w:r>
      <w:r>
        <w:rPr>
          <w:rFonts w:hint="default" w:ascii="Times New Roman" w:hAnsi="Times New Roman" w:eastAsia="仿宋" w:cs="Times New Roman"/>
          <w:color w:val="auto"/>
          <w:sz w:val="32"/>
          <w:szCs w:val="32"/>
          <w:highlight w:val="none"/>
        </w:rPr>
        <w:t>实际水平，剔除不合理因素并适当参考监审期间变化核定。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定价成本的归集和计算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default" w:ascii="Times New Roman" w:hAnsi="Times New Roman" w:eastAsia="黑体" w:cs="Times New Roman"/>
          <w:b w:val="0"/>
          <w:bCs w:val="0"/>
          <w:color w:val="auto"/>
          <w:sz w:val="32"/>
          <w:szCs w:val="32"/>
          <w:highlight w:val="none"/>
          <w:lang w:val="en-US" w:eastAsia="zh-CN"/>
        </w:rPr>
        <w:t>二十</w:t>
      </w:r>
      <w:r>
        <w:rPr>
          <w:rFonts w:hint="default" w:ascii="Times New Roman" w:hAnsi="Times New Roman" w:eastAsia="黑体" w:cs="Times New Roman"/>
          <w:b w:val="0"/>
          <w:bCs w:val="0"/>
          <w:color w:val="auto"/>
          <w:sz w:val="32"/>
          <w:szCs w:val="32"/>
          <w:highlight w:val="none"/>
          <w:lang w:val="en-US" w:eastAsia="zh-CN"/>
        </w:rPr>
        <w:t>二条</w:t>
      </w: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管道运输企业存在多种业务的，对于业务未单独核算的，应采取合理的方法核定</w:t>
      </w:r>
      <w:r>
        <w:rPr>
          <w:rFonts w:hint="default" w:ascii="Times New Roman" w:hAnsi="Times New Roman" w:eastAsia="仿宋" w:cs="Times New Roman"/>
          <w:color w:val="auto"/>
          <w:sz w:val="32"/>
          <w:szCs w:val="32"/>
          <w:highlight w:val="none"/>
          <w:lang w:eastAsia="zh-CN"/>
        </w:rPr>
        <w:t>管道运输</w:t>
      </w:r>
      <w:r>
        <w:rPr>
          <w:rFonts w:hint="default" w:ascii="Times New Roman" w:hAnsi="Times New Roman" w:eastAsia="仿宋" w:cs="Times New Roman"/>
          <w:color w:val="auto"/>
          <w:sz w:val="32"/>
          <w:szCs w:val="32"/>
          <w:highlight w:val="none"/>
        </w:rPr>
        <w:t>经营费用。计算公式如下：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（一）管道运输业务与其他业务</w:t>
      </w:r>
      <w:r>
        <w:rPr>
          <w:rFonts w:hint="default" w:ascii="Times New Roman" w:hAnsi="Times New Roman" w:eastAsia="仿宋" w:cs="Times New Roman"/>
          <w:color w:val="auto"/>
          <w:sz w:val="32"/>
          <w:szCs w:val="32"/>
          <w:highlight w:val="none"/>
          <w:lang w:val="en-US" w:eastAsia="zh-CN"/>
        </w:rPr>
        <w:t>管理费用、销售费用</w:t>
      </w:r>
      <w:r>
        <w:rPr>
          <w:rFonts w:hint="default" w:ascii="Times New Roman" w:hAnsi="Times New Roman" w:eastAsia="仿宋" w:cs="Times New Roman"/>
          <w:color w:val="auto"/>
          <w:sz w:val="32"/>
          <w:szCs w:val="32"/>
          <w:highlight w:val="none"/>
        </w:rPr>
        <w:t>共同核算的，按照长输管道销售收入（不含代输收入）占管道运输企业营业收入（不含代输收入）比例分配、核定</w:t>
      </w:r>
      <w:r>
        <w:rPr>
          <w:rFonts w:hint="default" w:ascii="Times New Roman" w:hAnsi="Times New Roman" w:eastAsia="仿宋" w:cs="Times New Roman"/>
          <w:color w:val="auto"/>
          <w:sz w:val="32"/>
          <w:szCs w:val="32"/>
          <w:highlight w:val="none"/>
          <w:lang w:val="en-US" w:eastAsia="zh-CN"/>
        </w:rPr>
        <w:t>管理费用、销售费用</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应分摊</w:t>
      </w:r>
      <w:r>
        <w:rPr>
          <w:rFonts w:hint="default" w:ascii="Times New Roman" w:hAnsi="Times New Roman" w:eastAsia="楷体" w:cs="Times New Roman"/>
          <w:color w:val="auto"/>
          <w:sz w:val="28"/>
          <w:szCs w:val="28"/>
          <w:highlight w:val="none"/>
          <w:lang w:val="en-US" w:eastAsia="zh-CN"/>
        </w:rPr>
        <w:t>管理费用（销售费用）</w:t>
      </w:r>
      <w:r>
        <w:rPr>
          <w:rFonts w:hint="default" w:ascii="Times New Roman" w:hAnsi="Times New Roman" w:eastAsia="楷体" w:cs="Times New Roman"/>
          <w:color w:val="auto"/>
          <w:sz w:val="28"/>
          <w:szCs w:val="28"/>
          <w:highlight w:val="none"/>
        </w:rPr>
        <w:t>=</w:t>
      </w:r>
      <w:r>
        <w:rPr>
          <w:rFonts w:hint="default" w:ascii="Times New Roman" w:hAnsi="Times New Roman" w:eastAsia="楷体" w:cs="Times New Roman"/>
          <w:color w:val="auto"/>
          <w:sz w:val="28"/>
          <w:szCs w:val="28"/>
          <w:highlight w:val="none"/>
          <w:lang w:val="en-US" w:eastAsia="zh-CN"/>
        </w:rPr>
        <w:t>管理费用（销售费用）</w:t>
      </w:r>
      <w:r>
        <w:rPr>
          <w:rFonts w:hint="default" w:ascii="Times New Roman" w:hAnsi="Times New Roman" w:eastAsia="楷体" w:cs="Times New Roman"/>
          <w:color w:val="auto"/>
          <w:sz w:val="28"/>
          <w:szCs w:val="28"/>
          <w:highlight w:val="none"/>
        </w:rPr>
        <w:t>×分配率</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default" w:ascii="Times New Roman" w:hAnsi="Times New Roman" w:eastAsia="楷体" w:cs="Times New Roman"/>
          <w:color w:val="auto"/>
          <w:sz w:val="28"/>
          <w:szCs w:val="28"/>
          <w:highlight w:val="none"/>
          <w:lang w:val="zh-TW" w:eastAsia="zh-TW"/>
        </w:rPr>
      </w:pPr>
    </w:p>
    <w:p>
      <w:pPr>
        <w:pStyle w:val="7"/>
        <w:keepNext w:val="0"/>
        <w:keepLines w:val="0"/>
        <w:pageBreakBefore w:val="0"/>
        <w:widowControl w:val="0"/>
        <w:kinsoku/>
        <w:wordWrap/>
        <w:overflowPunct/>
        <w:topLinePunct w:val="0"/>
        <w:autoSpaceDE/>
        <w:autoSpaceDN/>
        <w:bidi w:val="0"/>
        <w:adjustRightInd/>
        <w:snapToGrid/>
        <w:spacing w:line="300" w:lineRule="exact"/>
        <w:ind w:firstLine="1960" w:firstLineChars="700"/>
        <w:textAlignment w:val="auto"/>
        <w:rPr>
          <w:rFonts w:hint="default" w:ascii="Times New Roman" w:hAnsi="Times New Roman" w:eastAsia="楷体" w:cs="Times New Roman"/>
          <w:color w:val="auto"/>
          <w:spacing w:val="0"/>
          <w:w w:val="100"/>
          <w:kern w:val="2"/>
          <w:position w:val="0"/>
          <w:sz w:val="28"/>
          <w:szCs w:val="28"/>
          <w:highlight w:val="none"/>
          <w:u w:val="none"/>
          <w:vertAlign w:val="baseline"/>
          <w:lang w:val="zh-TW" w:eastAsia="zh-TW" w:bidi="ar-SA"/>
        </w:rPr>
      </w:pPr>
      <w:r>
        <w:rPr>
          <w:rFonts w:hint="default" w:ascii="Times New Roman" w:hAnsi="Times New Roman" w:eastAsia="楷体" w:cs="Times New Roman"/>
          <w:color w:val="auto"/>
          <w:spacing w:val="0"/>
          <w:w w:val="100"/>
          <w:kern w:val="2"/>
          <w:position w:val="0"/>
          <w:sz w:val="28"/>
          <w:szCs w:val="28"/>
          <w:highlight w:val="none"/>
          <w:u w:val="none"/>
          <w:vertAlign w:val="baseline"/>
          <w:lang w:val="zh-TW" w:eastAsia="zh-TW" w:bidi="ar-SA"/>
        </w:rPr>
        <w:t>长输管道销售收入（不含代输收入）</w:t>
      </w:r>
    </w:p>
    <w:p>
      <w:pPr>
        <w:pStyle w:val="7"/>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textAlignment w:val="auto"/>
        <w:rPr>
          <w:rFonts w:hint="default" w:ascii="Times New Roman" w:hAnsi="Times New Roman" w:eastAsia="楷体" w:cs="Times New Roman"/>
          <w:color w:val="auto"/>
          <w:spacing w:val="0"/>
          <w:w w:val="100"/>
          <w:kern w:val="2"/>
          <w:position w:val="0"/>
          <w:sz w:val="28"/>
          <w:szCs w:val="28"/>
          <w:highlight w:val="none"/>
          <w:u w:val="none"/>
          <w:vertAlign w:val="baseline"/>
          <w:lang w:val="en-US" w:eastAsia="zh-CN" w:bidi="ar-SA"/>
        </w:rPr>
      </w:pPr>
      <w:r>
        <w:rPr>
          <w:rFonts w:hint="default" w:ascii="Times New Roman" w:hAnsi="Times New Roman" w:eastAsia="楷体" w:cs="Times New Roman"/>
          <w:color w:val="auto"/>
          <w:spacing w:val="0"/>
          <w:w w:val="100"/>
          <w:kern w:val="2"/>
          <w:position w:val="0"/>
          <w:sz w:val="28"/>
          <w:szCs w:val="28"/>
          <w:highlight w:val="none"/>
          <w:u w:val="none"/>
          <w:vertAlign w:val="baseline"/>
          <w:lang w:val="en-US" w:eastAsia="zh-TW" w:bidi="ar-SA"/>
        </w:rPr>
        <mc:AlternateContent>
          <mc:Choice Requires="wps">
            <w:drawing>
              <wp:anchor distT="0" distB="0" distL="114300" distR="114300" simplePos="0" relativeHeight="251659264" behindDoc="0" locked="0" layoutInCell="1" allowOverlap="1">
                <wp:simplePos x="0" y="0"/>
                <wp:positionH relativeFrom="column">
                  <wp:posOffset>1064895</wp:posOffset>
                </wp:positionH>
                <wp:positionV relativeFrom="line">
                  <wp:posOffset>75565</wp:posOffset>
                </wp:positionV>
                <wp:extent cx="3384550"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84550" cy="12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83.85pt;margin-top:5.95pt;height:0.1pt;width:266.5pt;mso-position-vertical-relative:line;z-index:251659264;mso-width-relative:page;mso-height-relative:page;" filled="f" stroked="t" coordsize="21600,21600" o:gfxdata="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er4//VAAAACQEAAA8AAAAA&#10;AAAAAQAgAAAAIgAAAGRycy9kb3ducmV2LnhtbFBLAQIUABQAAAAIAIdO4kCcBi0J3gEAAJkDAAAO&#10;AAAAAAAAAAEAIAAAACQ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楷体" w:cs="Times New Roman"/>
          <w:color w:val="auto"/>
          <w:spacing w:val="0"/>
          <w:w w:val="100"/>
          <w:kern w:val="2"/>
          <w:position w:val="0"/>
          <w:sz w:val="28"/>
          <w:szCs w:val="28"/>
          <w:highlight w:val="none"/>
          <w:u w:val="none"/>
          <w:vertAlign w:val="baseline"/>
          <w:lang w:val="zh-TW" w:eastAsia="zh-TW" w:bidi="ar-SA"/>
        </w:rPr>
        <w:t>分配率</w:t>
      </w:r>
      <w:r>
        <w:rPr>
          <w:rFonts w:hint="default" w:ascii="Times New Roman" w:hAnsi="Times New Roman" w:eastAsia="楷体" w:cs="Times New Roman"/>
          <w:color w:val="auto"/>
          <w:spacing w:val="0"/>
          <w:w w:val="100"/>
          <w:kern w:val="2"/>
          <w:position w:val="0"/>
          <w:sz w:val="28"/>
          <w:szCs w:val="28"/>
          <w:highlight w:val="none"/>
          <w:u w:val="none"/>
          <w:vertAlign w:val="baseline"/>
          <w:lang w:val="en-US" w:eastAsia="zh-TW" w:bidi="ar-SA"/>
        </w:rPr>
        <w:t>=</w:t>
      </w:r>
      <w:r>
        <w:rPr>
          <w:rFonts w:hint="default" w:ascii="Times New Roman" w:hAnsi="Times New Roman" w:eastAsia="楷体" w:cs="Times New Roman"/>
          <w:color w:val="auto"/>
          <w:spacing w:val="0"/>
          <w:w w:val="100"/>
          <w:kern w:val="2"/>
          <w:position w:val="0"/>
          <w:sz w:val="28"/>
          <w:szCs w:val="28"/>
          <w:highlight w:val="none"/>
          <w:u w:val="none"/>
          <w:vertAlign w:val="baseline"/>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hint="default" w:ascii="Times New Roman" w:hAnsi="Times New Roman" w:eastAsia="楷体" w:cs="Times New Roman"/>
          <w:color w:val="auto"/>
          <w:spacing w:val="0"/>
          <w:w w:val="100"/>
          <w:kern w:val="2"/>
          <w:position w:val="0"/>
          <w:sz w:val="28"/>
          <w:szCs w:val="28"/>
          <w:highlight w:val="none"/>
          <w:u w:val="none"/>
          <w:vertAlign w:val="baseline"/>
          <w:lang w:val="zh-TW" w:eastAsia="zh-TW" w:bidi="ar-SA"/>
        </w:rPr>
      </w:pPr>
      <w:r>
        <w:rPr>
          <w:rStyle w:val="8"/>
          <w:rFonts w:hint="default" w:ascii="Times New Roman" w:hAnsi="Times New Roman" w:eastAsia="楷体" w:cs="Times New Roman"/>
          <w:color w:val="auto"/>
          <w:sz w:val="28"/>
          <w:szCs w:val="28"/>
          <w:highlight w:val="none"/>
          <w:u w:val="none" w:color="000000"/>
          <w:lang w:val="zh-TW" w:eastAsia="zh-TW"/>
        </w:rPr>
        <w:t xml:space="preserve"> </w:t>
      </w:r>
      <w:r>
        <w:rPr>
          <w:rStyle w:val="8"/>
          <w:rFonts w:hint="default" w:ascii="Times New Roman" w:hAnsi="Times New Roman" w:eastAsia="楷体" w:cs="Times New Roman"/>
          <w:color w:val="auto"/>
          <w:sz w:val="28"/>
          <w:szCs w:val="28"/>
          <w:highlight w:val="none"/>
          <w:u w:val="none" w:color="000000"/>
          <w:lang w:val="en-US" w:eastAsia="zh-CN"/>
        </w:rPr>
        <w:t xml:space="preserve">              </w:t>
      </w:r>
      <w:r>
        <w:rPr>
          <w:rFonts w:hint="default" w:ascii="Times New Roman" w:hAnsi="Times New Roman" w:eastAsia="楷体" w:cs="Times New Roman"/>
          <w:color w:val="auto"/>
          <w:spacing w:val="0"/>
          <w:w w:val="100"/>
          <w:kern w:val="2"/>
          <w:position w:val="0"/>
          <w:sz w:val="28"/>
          <w:szCs w:val="28"/>
          <w:highlight w:val="none"/>
          <w:u w:val="none"/>
          <w:vertAlign w:val="baseline"/>
          <w:lang w:val="zh-TW" w:eastAsia="zh-TW" w:bidi="ar-SA"/>
        </w:rPr>
        <w:t>营业收入（不含代输收入）</w:t>
      </w:r>
    </w:p>
    <w:p>
      <w:pPr>
        <w:pStyle w:val="7"/>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hint="default" w:ascii="Times New Roman" w:hAnsi="Times New Roman" w:eastAsia="楷体" w:cs="Times New Roman"/>
          <w:color w:val="auto"/>
          <w:spacing w:val="0"/>
          <w:w w:val="100"/>
          <w:kern w:val="2"/>
          <w:position w:val="0"/>
          <w:sz w:val="30"/>
          <w:szCs w:val="30"/>
          <w:highlight w:val="none"/>
          <w:u w:val="none"/>
          <w:vertAlign w:val="baseline"/>
          <w:lang w:val="zh-TW" w:eastAsia="zh-TW"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管道运输业务与城镇管道燃气配气业务、储气库、液化天然气接收站等其他业务直接成本共同核算的，应合理分配、核定。其中，使用的固定资产能明确划分的，按照固定资产原值</w:t>
      </w:r>
      <w:r>
        <w:rPr>
          <w:rFonts w:hint="default" w:ascii="Times New Roman" w:hAnsi="Times New Roman" w:eastAsia="仿宋" w:cs="Times New Roman"/>
          <w:color w:val="auto"/>
          <w:sz w:val="30"/>
          <w:szCs w:val="30"/>
          <w:highlight w:val="none"/>
          <w:lang w:val="en-US" w:eastAsia="zh-CN"/>
        </w:rPr>
        <w:t>比例</w:t>
      </w:r>
      <w:r>
        <w:rPr>
          <w:rFonts w:hint="default" w:ascii="Times New Roman" w:hAnsi="Times New Roman" w:eastAsia="仿宋" w:cs="Times New Roman"/>
          <w:color w:val="auto"/>
          <w:sz w:val="30"/>
          <w:szCs w:val="30"/>
          <w:highlight w:val="none"/>
        </w:rPr>
        <w:t>分摊、核定相关成本；使用的人员能明确划分的，按照人员数量</w:t>
      </w:r>
      <w:r>
        <w:rPr>
          <w:rFonts w:hint="default" w:ascii="Times New Roman" w:hAnsi="Times New Roman" w:eastAsia="仿宋" w:cs="Times New Roman"/>
          <w:color w:val="auto"/>
          <w:sz w:val="30"/>
          <w:szCs w:val="30"/>
          <w:highlight w:val="none"/>
          <w:lang w:val="en-US" w:eastAsia="zh-CN"/>
        </w:rPr>
        <w:t>比例</w:t>
      </w:r>
      <w:r>
        <w:rPr>
          <w:rFonts w:hint="default" w:ascii="Times New Roman" w:hAnsi="Times New Roman" w:eastAsia="仿宋" w:cs="Times New Roman"/>
          <w:color w:val="auto"/>
          <w:sz w:val="30"/>
          <w:szCs w:val="30"/>
          <w:highlight w:val="none"/>
        </w:rPr>
        <w:t>分摊、核定相关成本。无法按照固定资产原值、人员数量合理分摊共用成本的，按照各业务销售收入</w:t>
      </w:r>
      <w:r>
        <w:rPr>
          <w:rFonts w:hint="default" w:ascii="Times New Roman" w:hAnsi="Times New Roman" w:eastAsia="仿宋" w:cs="Times New Roman"/>
          <w:color w:val="auto"/>
          <w:sz w:val="30"/>
          <w:szCs w:val="30"/>
          <w:highlight w:val="none"/>
          <w:lang w:val="en-US" w:eastAsia="zh-CN"/>
        </w:rPr>
        <w:t>比例</w:t>
      </w:r>
      <w:r>
        <w:rPr>
          <w:rFonts w:hint="default" w:ascii="Times New Roman" w:hAnsi="Times New Roman" w:eastAsia="仿宋" w:cs="Times New Roman"/>
          <w:color w:val="auto"/>
          <w:sz w:val="30"/>
          <w:szCs w:val="30"/>
          <w:highlight w:val="none"/>
        </w:rPr>
        <w:t>或</w:t>
      </w:r>
      <w:r>
        <w:rPr>
          <w:rFonts w:hint="default" w:ascii="Times New Roman" w:hAnsi="Times New Roman" w:eastAsia="仿宋" w:cs="Times New Roman"/>
          <w:color w:val="auto"/>
          <w:sz w:val="30"/>
          <w:szCs w:val="30"/>
          <w:highlight w:val="none"/>
          <w:lang w:val="en-US" w:eastAsia="zh-CN"/>
        </w:rPr>
        <w:t>其他</w:t>
      </w:r>
      <w:r>
        <w:rPr>
          <w:rFonts w:hint="default" w:ascii="Times New Roman" w:hAnsi="Times New Roman" w:eastAsia="仿宋" w:cs="Times New Roman"/>
          <w:color w:val="auto"/>
          <w:sz w:val="30"/>
          <w:szCs w:val="30"/>
          <w:highlight w:val="none"/>
        </w:rPr>
        <w:t>合理分配方法分摊、核定相关成本。</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应分摊</w:t>
      </w:r>
      <w:r>
        <w:rPr>
          <w:rFonts w:hint="default" w:ascii="Times New Roman" w:hAnsi="Times New Roman" w:eastAsia="楷体" w:cs="Times New Roman"/>
          <w:color w:val="auto"/>
          <w:sz w:val="28"/>
          <w:szCs w:val="28"/>
          <w:highlight w:val="none"/>
          <w:lang w:val="en-US" w:eastAsia="zh-CN"/>
        </w:rPr>
        <w:t>共用</w:t>
      </w:r>
      <w:r>
        <w:rPr>
          <w:rFonts w:hint="default" w:ascii="Times New Roman" w:hAnsi="Times New Roman" w:eastAsia="楷体" w:cs="Times New Roman"/>
          <w:color w:val="auto"/>
          <w:sz w:val="28"/>
          <w:szCs w:val="28"/>
          <w:highlight w:val="none"/>
        </w:rPr>
        <w:t>成本=共</w:t>
      </w:r>
      <w:r>
        <w:rPr>
          <w:rFonts w:hint="default" w:ascii="Times New Roman" w:hAnsi="Times New Roman" w:eastAsia="楷体" w:cs="Times New Roman"/>
          <w:color w:val="auto"/>
          <w:sz w:val="28"/>
          <w:szCs w:val="28"/>
          <w:highlight w:val="none"/>
          <w:lang w:val="en-US" w:eastAsia="zh-CN"/>
        </w:rPr>
        <w:t>用</w:t>
      </w:r>
      <w:r>
        <w:rPr>
          <w:rFonts w:hint="default" w:ascii="Times New Roman" w:hAnsi="Times New Roman" w:eastAsia="楷体" w:cs="Times New Roman"/>
          <w:color w:val="auto"/>
          <w:sz w:val="28"/>
          <w:szCs w:val="28"/>
          <w:highlight w:val="none"/>
        </w:rPr>
        <w:t>成本×分配率</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default" w:ascii="Times New Roman" w:hAnsi="Times New Roman" w:eastAsia="楷体" w:cs="Times New Roman"/>
          <w:color w:val="auto"/>
          <w:sz w:val="28"/>
          <w:szCs w:val="28"/>
          <w:highlight w:val="none"/>
        </w:rPr>
      </w:pPr>
    </w:p>
    <w:p>
      <w:pPr>
        <w:pStyle w:val="7"/>
        <w:keepNext w:val="0"/>
        <w:keepLines w:val="0"/>
        <w:pageBreakBefore w:val="0"/>
        <w:widowControl w:val="0"/>
        <w:kinsoku/>
        <w:wordWrap/>
        <w:overflowPunct/>
        <w:topLinePunct w:val="0"/>
        <w:autoSpaceDE/>
        <w:autoSpaceDN/>
        <w:bidi w:val="0"/>
        <w:adjustRightInd/>
        <w:snapToGrid/>
        <w:spacing w:line="300" w:lineRule="exact"/>
        <w:ind w:firstLine="1968" w:firstLineChars="800"/>
        <w:textAlignment w:val="auto"/>
        <w:rPr>
          <w:rFonts w:hint="default" w:ascii="Times New Roman" w:hAnsi="Times New Roman" w:eastAsia="楷体" w:cs="Times New Roman"/>
          <w:color w:val="auto"/>
          <w:spacing w:val="-17"/>
          <w:w w:val="100"/>
          <w:kern w:val="2"/>
          <w:position w:val="0"/>
          <w:sz w:val="28"/>
          <w:szCs w:val="28"/>
          <w:highlight w:val="none"/>
          <w:u w:val="none"/>
          <w:vertAlign w:val="baseline"/>
          <w:lang w:val="zh-TW" w:eastAsia="zh-TW" w:bidi="ar-SA"/>
        </w:rPr>
      </w:pPr>
      <w:r>
        <w:rPr>
          <w:rFonts w:hint="default" w:ascii="Times New Roman" w:hAnsi="Times New Roman" w:eastAsia="楷体" w:cs="Times New Roman"/>
          <w:color w:val="auto"/>
          <w:spacing w:val="-17"/>
          <w:sz w:val="28"/>
          <w:szCs w:val="28"/>
          <w:highlight w:val="none"/>
        </w:rPr>
        <w:t>共同使用中运输业务固定资产原值（人员数、销售收入）</w:t>
      </w:r>
    </w:p>
    <w:p>
      <w:pPr>
        <w:pStyle w:val="7"/>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560" w:firstLineChars="200"/>
        <w:textAlignment w:val="auto"/>
        <w:rPr>
          <w:rFonts w:hint="default" w:ascii="Times New Roman" w:hAnsi="Times New Roman" w:eastAsia="楷体" w:cs="Times New Roman"/>
          <w:color w:val="auto"/>
          <w:spacing w:val="0"/>
          <w:w w:val="100"/>
          <w:kern w:val="2"/>
          <w:position w:val="0"/>
          <w:sz w:val="28"/>
          <w:szCs w:val="28"/>
          <w:highlight w:val="none"/>
          <w:u w:val="none"/>
          <w:vertAlign w:val="baseline"/>
          <w:lang w:val="en-US" w:eastAsia="zh-CN" w:bidi="ar-SA"/>
        </w:rPr>
      </w:pPr>
      <w:r>
        <w:rPr>
          <w:rFonts w:hint="default" w:ascii="Times New Roman" w:hAnsi="Times New Roman" w:eastAsia="楷体" w:cs="Times New Roman"/>
          <w:color w:val="auto"/>
          <w:spacing w:val="0"/>
          <w:w w:val="100"/>
          <w:kern w:val="2"/>
          <w:position w:val="0"/>
          <w:sz w:val="28"/>
          <w:szCs w:val="28"/>
          <w:highlight w:val="none"/>
          <w:u w:val="none"/>
          <w:vertAlign w:val="baseline"/>
          <w:lang w:val="en-US" w:eastAsia="zh-TW" w:bidi="ar-SA"/>
        </w:rPr>
        <mc:AlternateContent>
          <mc:Choice Requires="wps">
            <w:drawing>
              <wp:anchor distT="0" distB="0" distL="114300" distR="114300" simplePos="0" relativeHeight="251660288" behindDoc="0" locked="0" layoutInCell="1" allowOverlap="1">
                <wp:simplePos x="0" y="0"/>
                <wp:positionH relativeFrom="column">
                  <wp:posOffset>1085215</wp:posOffset>
                </wp:positionH>
                <wp:positionV relativeFrom="line">
                  <wp:posOffset>85725</wp:posOffset>
                </wp:positionV>
                <wp:extent cx="42767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276725"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85.45pt;margin-top:6.75pt;height:0pt;width:336.75pt;mso-position-vertical-relative:line;z-index:251660288;mso-width-relative:page;mso-height-relative:page;" filled="f" stroked="t" coordsize="21600,21600" o:gfxdata="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kr9W9YAAAAJAQAADwAAAAAAAAAB&#10;ACAAAAAiAAAAZHJzL2Rvd25yZXYueG1sUEsBAhQAFAAAAAgAh07iQDn6EezZAQAAlgMAAA4AAAAA&#10;AAAAAQAgAAAAJQ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楷体" w:cs="Times New Roman"/>
          <w:color w:val="auto"/>
          <w:spacing w:val="0"/>
          <w:w w:val="100"/>
          <w:kern w:val="2"/>
          <w:position w:val="0"/>
          <w:sz w:val="28"/>
          <w:szCs w:val="28"/>
          <w:highlight w:val="none"/>
          <w:u w:val="none"/>
          <w:vertAlign w:val="baseline"/>
          <w:lang w:val="zh-TW" w:eastAsia="zh-TW" w:bidi="ar-SA"/>
        </w:rPr>
        <w:t>分配率</w:t>
      </w:r>
      <w:r>
        <w:rPr>
          <w:rFonts w:hint="default" w:ascii="Times New Roman" w:hAnsi="Times New Roman" w:eastAsia="楷体" w:cs="Times New Roman"/>
          <w:color w:val="auto"/>
          <w:spacing w:val="0"/>
          <w:w w:val="100"/>
          <w:kern w:val="2"/>
          <w:position w:val="0"/>
          <w:sz w:val="28"/>
          <w:szCs w:val="28"/>
          <w:highlight w:val="none"/>
          <w:u w:val="none"/>
          <w:vertAlign w:val="baseline"/>
          <w:lang w:val="en-US" w:eastAsia="zh-TW" w:bidi="ar-SA"/>
        </w:rPr>
        <w:t>=</w:t>
      </w:r>
      <w:r>
        <w:rPr>
          <w:rFonts w:hint="default" w:ascii="Times New Roman" w:hAnsi="Times New Roman" w:eastAsia="楷体" w:cs="Times New Roman"/>
          <w:color w:val="auto"/>
          <w:spacing w:val="0"/>
          <w:w w:val="100"/>
          <w:kern w:val="2"/>
          <w:position w:val="0"/>
          <w:sz w:val="28"/>
          <w:szCs w:val="28"/>
          <w:highlight w:val="none"/>
          <w:u w:val="none"/>
          <w:vertAlign w:val="baseline"/>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hint="default" w:ascii="Times New Roman" w:hAnsi="Times New Roman" w:eastAsia="楷体" w:cs="Times New Roman"/>
          <w:color w:val="auto"/>
          <w:spacing w:val="0"/>
          <w:w w:val="100"/>
          <w:kern w:val="2"/>
          <w:position w:val="0"/>
          <w:sz w:val="28"/>
          <w:szCs w:val="28"/>
          <w:highlight w:val="none"/>
          <w:u w:val="none"/>
          <w:vertAlign w:val="baseline"/>
          <w:lang w:val="zh-TW" w:eastAsia="zh-TW" w:bidi="ar-SA"/>
        </w:rPr>
      </w:pPr>
      <w:r>
        <w:rPr>
          <w:rStyle w:val="8"/>
          <w:rFonts w:hint="default" w:ascii="Times New Roman" w:hAnsi="Times New Roman" w:eastAsia="楷体" w:cs="Times New Roman"/>
          <w:color w:val="auto"/>
          <w:sz w:val="28"/>
          <w:szCs w:val="28"/>
          <w:highlight w:val="none"/>
          <w:u w:val="none" w:color="000000"/>
          <w:lang w:val="zh-TW" w:eastAsia="zh-TW"/>
        </w:rPr>
        <w:t xml:space="preserve">          </w:t>
      </w:r>
      <w:r>
        <w:rPr>
          <w:rStyle w:val="8"/>
          <w:rFonts w:hint="default" w:ascii="Times New Roman" w:hAnsi="Times New Roman" w:eastAsia="楷体" w:cs="Times New Roman"/>
          <w:color w:val="auto"/>
          <w:sz w:val="28"/>
          <w:szCs w:val="28"/>
          <w:highlight w:val="none"/>
          <w:u w:val="none" w:color="000000"/>
          <w:lang w:val="en-US" w:eastAsia="zh-CN"/>
        </w:rPr>
        <w:t xml:space="preserve">   </w:t>
      </w:r>
      <w:r>
        <w:rPr>
          <w:rFonts w:hint="default" w:ascii="Times New Roman" w:hAnsi="Times New Roman" w:eastAsia="楷体" w:cs="Times New Roman"/>
          <w:color w:val="auto"/>
          <w:spacing w:val="0"/>
          <w:w w:val="100"/>
          <w:kern w:val="2"/>
          <w:position w:val="0"/>
          <w:sz w:val="28"/>
          <w:szCs w:val="28"/>
          <w:highlight w:val="none"/>
          <w:u w:val="none"/>
          <w:vertAlign w:val="baseline"/>
          <w:lang w:val="zh-TW" w:eastAsia="zh-TW" w:bidi="ar-SA"/>
        </w:rPr>
        <w:t>共同使用固定资产原值（人员数、销售收入）</w:t>
      </w:r>
    </w:p>
    <w:p>
      <w:pPr>
        <w:pStyle w:val="7"/>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hint="default" w:ascii="Times New Roman" w:hAnsi="Times New Roman" w:eastAsia="楷体" w:cs="Times New Roman"/>
          <w:color w:val="auto"/>
          <w:spacing w:val="0"/>
          <w:w w:val="100"/>
          <w:kern w:val="2"/>
          <w:position w:val="0"/>
          <w:sz w:val="28"/>
          <w:szCs w:val="28"/>
          <w:highlight w:val="none"/>
          <w:u w:val="none"/>
          <w:vertAlign w:val="baseline"/>
          <w:lang w:val="zh-TW"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（三）管道运输业务内部多条管线的供气成本共同核算的，多条管线共用管道、设备设施、运行维护的，按照周转量、投资额分配率等分摊、核定相关成本。</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应分摊直接成本=共同核算的成本×分配率</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default" w:ascii="Times New Roman" w:hAnsi="Times New Roman" w:eastAsia="楷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2520" w:firstLineChars="900"/>
        <w:textAlignment w:val="auto"/>
        <w:rPr>
          <w:rFonts w:hint="default" w:ascii="Times New Roman" w:hAnsi="Times New Roman" w:eastAsia="楷体" w:cs="Times New Roman"/>
          <w:color w:val="auto"/>
          <w:sz w:val="28"/>
          <w:szCs w:val="28"/>
          <w:highlight w:val="none"/>
          <w:lang w:val="zh-TW" w:eastAsia="zh-TW"/>
        </w:rPr>
      </w:pPr>
      <w:r>
        <w:rPr>
          <w:rFonts w:hint="default" w:ascii="Times New Roman" w:hAnsi="Times New Roman" w:eastAsia="楷体" w:cs="Times New Roman"/>
          <w:color w:val="auto"/>
          <w:sz w:val="28"/>
          <w:szCs w:val="28"/>
          <w:highlight w:val="none"/>
        </w:rPr>
        <w:t>某管道周转量（某管道投资额）</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default" w:ascii="Times New Roman" w:hAnsi="Times New Roman" w:eastAsia="楷体" w:cs="Times New Roman"/>
          <w:color w:val="auto"/>
          <w:sz w:val="28"/>
          <w:szCs w:val="28"/>
          <w:highlight w:val="none"/>
          <w:lang w:val="en-US" w:eastAsia="zh-CN"/>
        </w:rPr>
      </w:pPr>
      <w:r>
        <w:rPr>
          <w:rFonts w:hint="default" w:ascii="Times New Roman" w:hAnsi="Times New Roman" w:eastAsia="楷体" w:cs="Times New Roman"/>
          <w:color w:val="auto"/>
          <w:sz w:val="28"/>
          <w:szCs w:val="28"/>
          <w:highlight w:val="none"/>
          <w:lang w:val="en-US" w:eastAsia="zh-TW"/>
        </w:rPr>
        <mc:AlternateContent>
          <mc:Choice Requires="wps">
            <w:drawing>
              <wp:anchor distT="0" distB="0" distL="114300" distR="114300" simplePos="0" relativeHeight="251661312" behindDoc="0" locked="0" layoutInCell="1" allowOverlap="1">
                <wp:simplePos x="0" y="0"/>
                <wp:positionH relativeFrom="column">
                  <wp:posOffset>1112520</wp:posOffset>
                </wp:positionH>
                <wp:positionV relativeFrom="line">
                  <wp:posOffset>73660</wp:posOffset>
                </wp:positionV>
                <wp:extent cx="3430270" cy="3810"/>
                <wp:effectExtent l="0" t="0" r="0" b="0"/>
                <wp:wrapNone/>
                <wp:docPr id="3" name="直接连接符 3"/>
                <wp:cNvGraphicFramePr/>
                <a:graphic xmlns:a="http://schemas.openxmlformats.org/drawingml/2006/main">
                  <a:graphicData uri="http://schemas.microsoft.com/office/word/2010/wordprocessingShape">
                    <wps:wsp>
                      <wps:cNvCnPr/>
                      <wps:spPr>
                        <a:xfrm>
                          <a:off x="0" y="0"/>
                          <a:ext cx="3430270" cy="38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87.6pt;margin-top:5.8pt;height:0.3pt;width:270.1pt;mso-position-vertical-relative:line;z-index:251661312;mso-width-relative:page;mso-height-relative:page;" filled="f" stroked="t" coordsize="21600,21600" o:gfxdata="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dWSMbXAAAACQEAAA8A&#10;AAAAAAAAAQAgAAAAIgAAAGRycy9kb3ducmV2LnhtbFBLAQIUABQAAAAIAIdO4kAOpFSm3wEAAJkD&#10;AAAOAAAAAAAAAAEAIAAAACY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楷体" w:cs="Times New Roman"/>
          <w:color w:val="auto"/>
          <w:sz w:val="28"/>
          <w:szCs w:val="28"/>
          <w:highlight w:val="none"/>
          <w:lang w:val="zh-TW" w:eastAsia="zh-TW"/>
        </w:rPr>
        <w:t>分配率</w:t>
      </w:r>
      <w:r>
        <w:rPr>
          <w:rFonts w:hint="default" w:ascii="Times New Roman" w:hAnsi="Times New Roman" w:eastAsia="楷体" w:cs="Times New Roman"/>
          <w:color w:val="auto"/>
          <w:sz w:val="28"/>
          <w:szCs w:val="28"/>
          <w:highlight w:val="none"/>
          <w:lang w:val="en-US" w:eastAsia="zh-TW"/>
        </w:rPr>
        <w:t>=</w:t>
      </w:r>
      <w:r>
        <w:rPr>
          <w:rFonts w:hint="default" w:ascii="Times New Roman" w:hAnsi="Times New Roman" w:eastAsia="楷体" w:cs="Times New Roman"/>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default" w:ascii="Times New Roman" w:hAnsi="Times New Roman" w:eastAsia="楷体" w:cs="Times New Roman"/>
          <w:color w:val="auto"/>
          <w:sz w:val="28"/>
          <w:szCs w:val="28"/>
          <w:highlight w:val="none"/>
          <w:lang w:val="zh-TW" w:eastAsia="zh-TW"/>
        </w:rPr>
      </w:pPr>
      <w:r>
        <w:rPr>
          <w:rFonts w:hint="default" w:ascii="Times New Roman" w:hAnsi="Times New Roman" w:eastAsia="楷体" w:cs="Times New Roman"/>
          <w:color w:val="auto"/>
          <w:sz w:val="28"/>
          <w:szCs w:val="28"/>
          <w:highlight w:val="none"/>
          <w:lang w:val="zh-TW" w:eastAsia="zh-TW"/>
        </w:rPr>
        <w:t xml:space="preserve">       </w:t>
      </w:r>
      <w:r>
        <w:rPr>
          <w:rFonts w:hint="default" w:ascii="Times New Roman" w:hAnsi="Times New Roman" w:eastAsia="楷体" w:cs="Times New Roman"/>
          <w:color w:val="auto"/>
          <w:sz w:val="28"/>
          <w:szCs w:val="28"/>
          <w:highlight w:val="none"/>
          <w:lang w:val="en-US" w:eastAsia="zh-CN"/>
        </w:rPr>
        <w:t xml:space="preserve">   </w:t>
      </w:r>
      <w:r>
        <w:rPr>
          <w:rFonts w:hint="default" w:ascii="Times New Roman" w:hAnsi="Times New Roman" w:eastAsia="楷体" w:cs="Times New Roman"/>
          <w:color w:val="auto"/>
          <w:sz w:val="28"/>
          <w:szCs w:val="28"/>
          <w:highlight w:val="none"/>
          <w:lang w:val="zh-TW" w:eastAsia="zh-TW"/>
        </w:rPr>
        <w:t>Σ单条管道周转量（Σ单条管道投资额）</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default" w:ascii="Times New Roman" w:hAnsi="Times New Roman" w:eastAsia="楷体" w:cs="Times New Roman"/>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第二十</w:t>
      </w:r>
      <w:r>
        <w:rPr>
          <w:rFonts w:hint="default"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管道运输企业获得的与</w:t>
      </w:r>
      <w:r>
        <w:rPr>
          <w:rFonts w:hint="default" w:ascii="Times New Roman" w:hAnsi="Times New Roman" w:eastAsia="仿宋" w:cs="Times New Roman"/>
          <w:color w:val="auto"/>
          <w:sz w:val="32"/>
          <w:szCs w:val="32"/>
          <w:highlight w:val="none"/>
          <w:lang w:eastAsia="zh-CN"/>
        </w:rPr>
        <w:t>管道运输</w:t>
      </w:r>
      <w:r>
        <w:rPr>
          <w:rFonts w:hint="default" w:ascii="Times New Roman" w:hAnsi="Times New Roman" w:eastAsia="仿宋" w:cs="Times New Roman"/>
          <w:color w:val="auto"/>
          <w:sz w:val="32"/>
          <w:szCs w:val="32"/>
          <w:highlight w:val="none"/>
        </w:rPr>
        <w:t>生产经营有关的政府补助，用于购买固定资产的，按照本办法第十</w:t>
      </w:r>
      <w:r>
        <w:rPr>
          <w:rFonts w:hint="default" w:ascii="Times New Roman" w:hAnsi="Times New Roman" w:eastAsia="仿宋" w:cs="Times New Roman"/>
          <w:color w:val="auto"/>
          <w:sz w:val="32"/>
          <w:szCs w:val="32"/>
          <w:highlight w:val="none"/>
          <w:lang w:val="en-US" w:eastAsia="zh-CN"/>
        </w:rPr>
        <w:t>三</w:t>
      </w:r>
      <w:r>
        <w:rPr>
          <w:rFonts w:hint="default" w:ascii="Times New Roman" w:hAnsi="Times New Roman" w:eastAsia="仿宋" w:cs="Times New Roman"/>
          <w:color w:val="auto"/>
          <w:sz w:val="32"/>
          <w:szCs w:val="32"/>
          <w:highlight w:val="none"/>
        </w:rPr>
        <w:t>条规定核定；用于补助专门项目的，按照本办法第十</w:t>
      </w:r>
      <w:r>
        <w:rPr>
          <w:rFonts w:hint="default" w:ascii="Times New Roman" w:hAnsi="Times New Roman" w:eastAsia="仿宋" w:cs="Times New Roman"/>
          <w:color w:val="auto"/>
          <w:sz w:val="32"/>
          <w:szCs w:val="32"/>
          <w:highlight w:val="none"/>
          <w:lang w:val="en-US" w:eastAsia="zh-CN"/>
        </w:rPr>
        <w:t>一</w:t>
      </w:r>
      <w:r>
        <w:rPr>
          <w:rFonts w:hint="default" w:ascii="Times New Roman" w:hAnsi="Times New Roman" w:eastAsia="仿宋" w:cs="Times New Roman"/>
          <w:color w:val="auto"/>
          <w:sz w:val="32"/>
          <w:szCs w:val="32"/>
          <w:highlight w:val="none"/>
        </w:rPr>
        <w:t>条规定核定，其中补助专门项目发生的费用计入成本的，直接冲减该项费用；未明确规定专项用途的且对应相关费用计入成本的，应当冲减总成本。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default" w:ascii="Times New Roman" w:hAnsi="Times New Roman" w:eastAsia="黑体" w:cs="Times New Roman"/>
          <w:b w:val="0"/>
          <w:bCs w:val="0"/>
          <w:color w:val="auto"/>
          <w:sz w:val="32"/>
          <w:szCs w:val="32"/>
          <w:highlight w:val="none"/>
          <w:lang w:val="en-US" w:eastAsia="zh-CN"/>
        </w:rPr>
        <w:t>二十四</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其他业务依托管道运输业务从事生产经营活动，以及因管道运输业务而获得政府优惠政策，且与管道运输业务共同核算的，应当将其他业务收入</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不含税</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冲减总成本，单独核算的，用其净收入冲减总成本。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default" w:ascii="Times New Roman" w:hAnsi="Times New Roman" w:eastAsia="黑体" w:cs="Times New Roman"/>
          <w:b w:val="0"/>
          <w:bCs w:val="0"/>
          <w:color w:val="auto"/>
          <w:sz w:val="32"/>
          <w:szCs w:val="32"/>
          <w:highlight w:val="none"/>
          <w:lang w:val="en-US" w:eastAsia="zh-CN"/>
        </w:rPr>
        <w:t>二十</w:t>
      </w:r>
      <w:r>
        <w:rPr>
          <w:rFonts w:hint="default" w:ascii="Times New Roman" w:hAnsi="Times New Roman" w:eastAsia="黑体" w:cs="Times New Roman"/>
          <w:b w:val="0"/>
          <w:bCs w:val="0"/>
          <w:color w:val="auto"/>
          <w:sz w:val="32"/>
          <w:szCs w:val="32"/>
          <w:highlight w:val="none"/>
          <w:lang w:val="en-US" w:eastAsia="zh-CN"/>
        </w:rPr>
        <w:t xml:space="preserve">五条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eastAsia="zh-CN"/>
        </w:rPr>
        <w:t>管道运输</w:t>
      </w:r>
      <w:r>
        <w:rPr>
          <w:rFonts w:hint="default" w:ascii="Times New Roman" w:hAnsi="Times New Roman" w:eastAsia="仿宋" w:cs="Times New Roman"/>
          <w:color w:val="auto"/>
          <w:sz w:val="32"/>
          <w:szCs w:val="32"/>
          <w:highlight w:val="none"/>
        </w:rPr>
        <w:t>单位定价成本按核定的定价总成本除以总周转量计算确定。计算公式如下：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楷体" w:cs="Times New Roman"/>
          <w:color w:val="auto"/>
          <w:sz w:val="28"/>
          <w:szCs w:val="28"/>
          <w:highlight w:val="none"/>
          <w:lang w:val="en-US" w:eastAsia="zh-CN"/>
        </w:rPr>
      </w:pPr>
      <w:r>
        <w:rPr>
          <w:rFonts w:hint="default" w:ascii="Times New Roman" w:hAnsi="Times New Roman" w:eastAsia="楷体" w:cs="Times New Roman"/>
          <w:color w:val="auto"/>
          <w:sz w:val="28"/>
          <w:szCs w:val="28"/>
          <w:highlight w:val="none"/>
        </w:rPr>
        <w:t>单位定价成本=定价总成本÷总周转量</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default" w:ascii="Times New Roman" w:hAnsi="Times New Roman" w:eastAsia="楷体" w:cs="Times New Roman"/>
          <w:color w:val="auto"/>
          <w:spacing w:val="-6"/>
          <w:sz w:val="28"/>
          <w:szCs w:val="28"/>
          <w:highlight w:val="none"/>
        </w:rPr>
      </w:pPr>
      <w:r>
        <w:rPr>
          <w:rFonts w:hint="default" w:ascii="Times New Roman" w:hAnsi="Times New Roman" w:eastAsia="楷体" w:cs="Times New Roman"/>
          <w:color w:val="auto"/>
          <w:spacing w:val="-6"/>
          <w:sz w:val="28"/>
          <w:szCs w:val="28"/>
          <w:highlight w:val="none"/>
        </w:rPr>
        <w:t>定价总成本=（</w:t>
      </w:r>
      <w:r>
        <w:rPr>
          <w:rFonts w:hint="default" w:ascii="Times New Roman" w:hAnsi="Times New Roman" w:eastAsia="楷体" w:cs="Times New Roman"/>
          <w:color w:val="auto"/>
          <w:spacing w:val="-6"/>
          <w:sz w:val="28"/>
          <w:szCs w:val="28"/>
          <w:highlight w:val="none"/>
          <w:lang w:val="en-US" w:eastAsia="zh-CN"/>
        </w:rPr>
        <w:t>固定资产</w:t>
      </w:r>
      <w:r>
        <w:rPr>
          <w:rFonts w:hint="default" w:ascii="Times New Roman" w:hAnsi="Times New Roman" w:eastAsia="楷体" w:cs="Times New Roman"/>
          <w:color w:val="auto"/>
          <w:spacing w:val="-6"/>
          <w:sz w:val="28"/>
          <w:szCs w:val="28"/>
          <w:highlight w:val="none"/>
        </w:rPr>
        <w:t>折旧费+无形资产摊销费+运行维护费）</w:t>
      </w:r>
      <w:r>
        <w:rPr>
          <w:rFonts w:hint="default" w:ascii="Times New Roman" w:hAnsi="Times New Roman" w:eastAsia="楷体" w:cs="Times New Roman"/>
          <w:color w:val="auto"/>
          <w:spacing w:val="-6"/>
          <w:sz w:val="28"/>
          <w:szCs w:val="28"/>
          <w:highlight w:val="none"/>
          <w:lang w:val="en-US" w:eastAsia="zh-CN"/>
        </w:rPr>
        <w:t>-</w:t>
      </w:r>
      <w:r>
        <w:rPr>
          <w:rFonts w:hint="default" w:ascii="Times New Roman" w:hAnsi="Times New Roman" w:eastAsia="楷体" w:cs="Times New Roman"/>
          <w:color w:val="auto"/>
          <w:spacing w:val="-6"/>
          <w:sz w:val="28"/>
          <w:szCs w:val="28"/>
          <w:highlight w:val="none"/>
        </w:rPr>
        <w:t>应冲减的政府补助-应冲减的其他业务收入</w:t>
      </w:r>
      <w:r>
        <w:rPr>
          <w:rFonts w:hint="default" w:ascii="Times New Roman" w:hAnsi="Times New Roman" w:eastAsia="楷体" w:cs="Times New Roman"/>
          <w:color w:val="auto"/>
          <w:spacing w:val="-6"/>
          <w:sz w:val="28"/>
          <w:szCs w:val="28"/>
          <w:highlight w:val="none"/>
          <w:lang w:eastAsia="zh-CN"/>
        </w:rPr>
        <w:t>（</w:t>
      </w:r>
      <w:r>
        <w:rPr>
          <w:rFonts w:hint="default" w:ascii="Times New Roman" w:hAnsi="Times New Roman" w:eastAsia="楷体" w:cs="Times New Roman"/>
          <w:color w:val="auto"/>
          <w:spacing w:val="-6"/>
          <w:sz w:val="28"/>
          <w:szCs w:val="28"/>
          <w:highlight w:val="none"/>
          <w:lang w:val="en-US" w:eastAsia="zh-CN"/>
        </w:rPr>
        <w:t>不含税</w:t>
      </w:r>
      <w:r>
        <w:rPr>
          <w:rFonts w:hint="default" w:ascii="Times New Roman" w:hAnsi="Times New Roman" w:eastAsia="楷体" w:cs="Times New Roman"/>
          <w:color w:val="auto"/>
          <w:spacing w:val="-6"/>
          <w:sz w:val="28"/>
          <w:szCs w:val="28"/>
          <w:highlight w:val="none"/>
          <w:lang w:eastAsia="zh-CN"/>
        </w:rPr>
        <w:t>）</w:t>
      </w:r>
      <w:r>
        <w:rPr>
          <w:rFonts w:hint="default" w:ascii="Times New Roman" w:hAnsi="Times New Roman" w:eastAsia="楷体" w:cs="Times New Roman"/>
          <w:color w:val="auto"/>
          <w:spacing w:val="-6"/>
          <w:sz w:val="28"/>
          <w:szCs w:val="28"/>
          <w:highlight w:val="none"/>
        </w:rPr>
        <w:t>或净收入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运行维护费=输气成本+管理费用+销售费用</w:t>
      </w:r>
      <w:r>
        <w:rPr>
          <w:rFonts w:hint="default" w:ascii="Times New Roman" w:hAnsi="Times New Roman" w:eastAsia="楷体" w:cs="Times New Roman"/>
          <w:color w:val="auto"/>
          <w:sz w:val="28"/>
          <w:szCs w:val="28"/>
          <w:highlight w:val="none"/>
          <w:lang w:val="en-US" w:eastAsia="zh-CN"/>
        </w:rPr>
        <w:t>+</w:t>
      </w:r>
      <w:r>
        <w:rPr>
          <w:rFonts w:hint="default" w:ascii="Times New Roman" w:hAnsi="Times New Roman" w:eastAsia="楷体" w:cs="Times New Roman"/>
          <w:color w:val="auto"/>
          <w:sz w:val="28"/>
          <w:szCs w:val="28"/>
          <w:highlight w:val="none"/>
        </w:rPr>
        <w:t>纳入定价成本的相关税金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输气成本=材料费+燃料动力费+修理费+职工薪酬+输气损耗</w:t>
      </w:r>
      <w:r>
        <w:rPr>
          <w:rFonts w:hint="default" w:ascii="Times New Roman" w:hAnsi="Times New Roman" w:eastAsia="楷体" w:cs="Times New Roman"/>
          <w:color w:val="auto"/>
          <w:sz w:val="28"/>
          <w:szCs w:val="28"/>
          <w:highlight w:val="none"/>
          <w:lang w:val="en-US" w:eastAsia="zh-CN"/>
        </w:rPr>
        <w:t>费</w:t>
      </w:r>
      <w:r>
        <w:rPr>
          <w:rFonts w:hint="default" w:ascii="Times New Roman" w:hAnsi="Times New Roman" w:eastAsia="楷体" w:cs="Times New Roman"/>
          <w:color w:val="auto"/>
          <w:sz w:val="28"/>
          <w:szCs w:val="28"/>
          <w:highlight w:val="none"/>
        </w:rPr>
        <w:t>+其他相关费用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总周转量=Σ单条管道周转量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楷体" w:cs="Times New Roman"/>
          <w:color w:val="auto"/>
          <w:sz w:val="28"/>
          <w:szCs w:val="28"/>
          <w:highlight w:val="none"/>
        </w:rPr>
        <w:t>单条管道周转量=管道</w:t>
      </w:r>
      <w:r>
        <w:rPr>
          <w:rFonts w:hint="default" w:ascii="Times New Roman" w:hAnsi="Times New Roman" w:eastAsia="楷体" w:cs="Times New Roman"/>
          <w:color w:val="auto"/>
          <w:sz w:val="28"/>
          <w:szCs w:val="28"/>
          <w:highlight w:val="none"/>
          <w:lang w:val="en-US" w:eastAsia="zh-CN"/>
        </w:rPr>
        <w:t>约定路径平均</w:t>
      </w:r>
      <w:r>
        <w:rPr>
          <w:rFonts w:hint="default" w:ascii="Times New Roman" w:hAnsi="Times New Roman" w:eastAsia="楷体" w:cs="Times New Roman"/>
          <w:color w:val="auto"/>
          <w:sz w:val="28"/>
          <w:szCs w:val="28"/>
          <w:highlight w:val="none"/>
        </w:rPr>
        <w:t>运输距离×</w:t>
      </w:r>
      <w:r>
        <w:rPr>
          <w:rFonts w:hint="default" w:ascii="Times New Roman" w:hAnsi="Times New Roman" w:eastAsia="楷体" w:cs="Times New Roman"/>
          <w:color w:val="auto"/>
          <w:sz w:val="28"/>
          <w:szCs w:val="28"/>
          <w:highlight w:val="none"/>
          <w:lang w:val="en-US" w:eastAsia="zh-CN"/>
        </w:rPr>
        <w:t>结算</w:t>
      </w:r>
      <w:r>
        <w:rPr>
          <w:rFonts w:hint="default" w:ascii="Times New Roman" w:hAnsi="Times New Roman" w:eastAsia="楷体" w:cs="Times New Roman"/>
          <w:color w:val="auto"/>
          <w:sz w:val="28"/>
          <w:szCs w:val="28"/>
          <w:highlight w:val="none"/>
        </w:rPr>
        <w:t>气量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K" w:cs="Times New Roman"/>
          <w:color w:val="auto"/>
          <w:sz w:val="28"/>
          <w:szCs w:val="28"/>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经营者责任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第二十</w:t>
      </w:r>
      <w:r>
        <w:rPr>
          <w:rFonts w:hint="default" w:ascii="Times New Roman" w:hAnsi="Times New Roman" w:eastAsia="黑体" w:cs="Times New Roman"/>
          <w:b w:val="0"/>
          <w:bCs w:val="0"/>
          <w:color w:val="auto"/>
          <w:sz w:val="32"/>
          <w:szCs w:val="32"/>
          <w:highlight w:val="none"/>
          <w:lang w:val="en-US" w:eastAsia="zh-CN"/>
        </w:rPr>
        <w:t>六</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val="en-US" w:eastAsia="zh-CN"/>
        </w:rPr>
        <w:t>管道运输企业应当按照定价成本监审要求建立单独账目和相应成本核算制度，形成年度成本报告，完整准确记录、单独核算管道运输业务成本和收入；建立健全内部关联方交易管理制度，按照公允水平确定内部关联方交易费用项目价格。管道运输企业应当于每年4月底之前将上一年度成本报告、管道运输成本调查表及其填报说明和其他成本监审所需资料报价格主管部门成本调查监审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第二十</w:t>
      </w:r>
      <w:r>
        <w:rPr>
          <w:rFonts w:hint="default" w:ascii="Times New Roman" w:hAnsi="Times New Roman" w:eastAsia="黑体" w:cs="Times New Roman"/>
          <w:b w:val="0"/>
          <w:bCs w:val="0"/>
          <w:color w:val="auto"/>
          <w:sz w:val="32"/>
          <w:szCs w:val="32"/>
          <w:highlight w:val="none"/>
          <w:lang w:val="en-US" w:eastAsia="zh-CN"/>
        </w:rPr>
        <w:t>七</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val="en-US" w:eastAsia="zh-CN"/>
        </w:rPr>
        <w:t>管道运输企业应当积极</w:t>
      </w:r>
      <w:r>
        <w:rPr>
          <w:rFonts w:hint="default" w:ascii="Times New Roman" w:hAnsi="Times New Roman" w:eastAsia="仿宋" w:cs="Times New Roman"/>
          <w:color w:val="auto"/>
          <w:sz w:val="32"/>
          <w:szCs w:val="32"/>
          <w:highlight w:val="none"/>
          <w:lang w:val="en-US" w:eastAsia="zh-CN"/>
        </w:rPr>
        <w:t>配合</w:t>
      </w:r>
      <w:r>
        <w:rPr>
          <w:rFonts w:hint="default" w:ascii="Times New Roman" w:hAnsi="Times New Roman" w:eastAsia="仿宋" w:cs="Times New Roman"/>
          <w:color w:val="auto"/>
          <w:sz w:val="32"/>
          <w:szCs w:val="32"/>
          <w:highlight w:val="none"/>
          <w:lang w:val="en-US" w:eastAsia="zh-CN"/>
        </w:rPr>
        <w:t>价格主管部门组织开展的成本监审工作，</w:t>
      </w:r>
      <w:r>
        <w:rPr>
          <w:rFonts w:hint="default" w:ascii="Times New Roman" w:hAnsi="Times New Roman" w:eastAsia="仿宋" w:cs="Times New Roman"/>
          <w:color w:val="auto"/>
          <w:sz w:val="32"/>
          <w:szCs w:val="32"/>
          <w:highlight w:val="none"/>
        </w:rPr>
        <w:t>自收到成本监审书面通知之日起20个工作日内，向价格主管部门提供管道运输定价成本监审所需资料</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以下简称成本资料</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，并对所提供资料的真实性、合法性、完整性负责。成本资料应当包括下列内容：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（一）按照定价机关要求和规定表式核算填报的成本报表，主要成本项目的核算方法、成本费用分摊方法及相关依据；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（二）经会计师事务所审计或者政府有关部门审核的年度财务报告，以及手续齐备的会计凭证、账簿，费用支出、收入明细表，监审期间内</w:t>
      </w:r>
      <w:r>
        <w:rPr>
          <w:rFonts w:hint="default" w:ascii="Times New Roman" w:hAnsi="Times New Roman" w:eastAsia="仿宋" w:cs="Times New Roman"/>
          <w:color w:val="auto"/>
          <w:sz w:val="32"/>
          <w:szCs w:val="32"/>
          <w:highlight w:val="none"/>
          <w:lang w:val="en-US" w:eastAsia="zh-CN"/>
        </w:rPr>
        <w:t>各年末最末级</w:t>
      </w:r>
      <w:r>
        <w:rPr>
          <w:rFonts w:hint="default" w:ascii="Times New Roman" w:hAnsi="Times New Roman" w:eastAsia="仿宋" w:cs="Times New Roman"/>
          <w:color w:val="auto"/>
          <w:sz w:val="32"/>
          <w:szCs w:val="32"/>
          <w:highlight w:val="none"/>
        </w:rPr>
        <w:t>科目余额表；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（三）进气量、销售量、输气量以及相关的统计报表；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（四</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营业执照或准许经营许可证等能够说明经营范围的相关证明材料；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（五）工艺服务流程及管网分布、结构、规划示意图；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（六）天然气行业管理文件、管理规范，及行业会计核算制度；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（七）成本监审所需的其他资料。</w:t>
      </w:r>
    </w:p>
    <w:p>
      <w:pPr>
        <w:keepNext w:val="0"/>
        <w:keepLines w:val="0"/>
        <w:widowControl/>
        <w:suppressLineNumbers w:val="0"/>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第二十</w:t>
      </w:r>
      <w:r>
        <w:rPr>
          <w:rFonts w:hint="default"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val="en-US" w:eastAsia="zh-CN"/>
        </w:rPr>
        <w:t>管道运输企业应当按照成本监审要求，向监审人员开放查询企业相关资料的权限，及时提供情况，反馈意见。管道运输企业拒绝提供、未在规定时间内提供、虚假或不完整提供成本监审所需资料的，价格主管部门可以按照从低原则核定定价成本</w:t>
      </w:r>
      <w:r>
        <w:rPr>
          <w:rFonts w:hint="default" w:ascii="Times New Roman" w:hAnsi="Times New Roman" w:eastAsia="仿宋" w:cs="Times New Roman"/>
          <w:color w:val="auto"/>
          <w:sz w:val="32"/>
          <w:szCs w:val="32"/>
          <w:highlight w:val="none"/>
          <w:lang w:val="en-US" w:eastAsia="zh-CN"/>
        </w:rPr>
        <w:t>。情节严重的，可以按照上一监审周期单位定价成本的50%核定本监审周期定价成本，由此产生的定价成本减少不能在后续监审周期内进行弥补，</w:t>
      </w:r>
      <w:r>
        <w:rPr>
          <w:rFonts w:hint="default" w:ascii="Times New Roman" w:hAnsi="Times New Roman" w:eastAsia="仿宋" w:cs="Times New Roman"/>
          <w:color w:val="auto"/>
          <w:sz w:val="32"/>
          <w:szCs w:val="32"/>
          <w:highlight w:val="none"/>
          <w:lang w:val="en-US" w:eastAsia="zh-CN"/>
        </w:rPr>
        <w:t>并依法依规将</w:t>
      </w:r>
      <w:r>
        <w:rPr>
          <w:rFonts w:hint="default" w:ascii="Times New Roman" w:hAnsi="Times New Roman" w:eastAsia="仿宋" w:cs="Times New Roman"/>
          <w:color w:val="auto"/>
          <w:sz w:val="32"/>
          <w:szCs w:val="32"/>
          <w:highlight w:val="none"/>
          <w:lang w:val="en-US" w:eastAsia="zh-CN"/>
        </w:rPr>
        <w:t>相关单位及其负责人</w:t>
      </w:r>
      <w:r>
        <w:rPr>
          <w:rFonts w:hint="default" w:ascii="Times New Roman" w:hAnsi="Times New Roman" w:eastAsia="仿宋" w:cs="Times New Roman"/>
          <w:color w:val="auto"/>
          <w:sz w:val="32"/>
          <w:szCs w:val="32"/>
          <w:highlight w:val="none"/>
          <w:lang w:val="en-US" w:eastAsia="zh-CN"/>
        </w:rPr>
        <w:t>不良信用记录纳入全国信用信息共享平台，实施失信</w:t>
      </w:r>
      <w:r>
        <w:rPr>
          <w:rFonts w:hint="default" w:ascii="Times New Roman" w:hAnsi="Times New Roman" w:eastAsia="仿宋" w:cs="Times New Roman"/>
          <w:color w:val="auto"/>
          <w:sz w:val="32"/>
          <w:szCs w:val="32"/>
          <w:highlight w:val="none"/>
          <w:lang w:val="en-US" w:eastAsia="zh-CN"/>
        </w:rPr>
        <w:t>联合</w:t>
      </w:r>
      <w:r>
        <w:rPr>
          <w:rFonts w:hint="default" w:ascii="Times New Roman" w:hAnsi="Times New Roman" w:eastAsia="仿宋" w:cs="Times New Roman"/>
          <w:color w:val="auto"/>
          <w:sz w:val="32"/>
          <w:szCs w:val="32"/>
          <w:highlight w:val="none"/>
          <w:lang w:val="en-US" w:eastAsia="zh-CN"/>
        </w:rPr>
        <w:t>惩戒。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default" w:ascii="Times New Roman" w:hAnsi="Times New Roman" w:eastAsia="黑体" w:cs="Times New Roman"/>
          <w:b w:val="0"/>
          <w:bCs w:val="0"/>
          <w:color w:val="auto"/>
          <w:sz w:val="32"/>
          <w:szCs w:val="32"/>
          <w:highlight w:val="none"/>
          <w:lang w:val="en-US" w:eastAsia="zh-CN"/>
        </w:rPr>
        <w:t>二十九</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管道运输企业应从</w:t>
      </w:r>
      <w:r>
        <w:rPr>
          <w:rFonts w:hint="default" w:ascii="Times New Roman" w:hAnsi="Times New Roman" w:eastAsia="仿宋" w:cs="Times New Roman"/>
          <w:color w:val="auto"/>
          <w:sz w:val="32"/>
          <w:szCs w:val="32"/>
          <w:highlight w:val="none"/>
          <w:lang w:val="en-US" w:eastAsia="zh-CN"/>
        </w:rPr>
        <w:t>价格主管部门</w:t>
      </w:r>
      <w:r>
        <w:rPr>
          <w:rFonts w:hint="default" w:ascii="Times New Roman" w:hAnsi="Times New Roman" w:eastAsia="仿宋" w:cs="Times New Roman"/>
          <w:color w:val="auto"/>
          <w:sz w:val="32"/>
          <w:szCs w:val="32"/>
          <w:highlight w:val="none"/>
        </w:rPr>
        <w:t>实地监审结束之日起，在企业门户网站或</w:t>
      </w:r>
      <w:r>
        <w:rPr>
          <w:rFonts w:hint="default" w:ascii="Times New Roman" w:hAnsi="Times New Roman" w:eastAsia="仿宋" w:cs="Times New Roman"/>
          <w:color w:val="auto"/>
          <w:sz w:val="32"/>
          <w:szCs w:val="32"/>
          <w:highlight w:val="none"/>
          <w:lang w:val="en-US" w:eastAsia="zh-CN"/>
        </w:rPr>
        <w:t>价格主管部门</w:t>
      </w:r>
      <w:r>
        <w:rPr>
          <w:rFonts w:hint="default" w:ascii="Times New Roman" w:hAnsi="Times New Roman" w:eastAsia="仿宋" w:cs="Times New Roman"/>
          <w:color w:val="auto"/>
          <w:sz w:val="32"/>
          <w:szCs w:val="32"/>
          <w:highlight w:val="none"/>
        </w:rPr>
        <w:t>门户网站公开监审期间</w:t>
      </w:r>
      <w:r>
        <w:rPr>
          <w:rFonts w:hint="default" w:ascii="Times New Roman" w:hAnsi="Times New Roman" w:eastAsia="仿宋" w:cs="Times New Roman"/>
          <w:color w:val="auto"/>
          <w:sz w:val="32"/>
          <w:szCs w:val="32"/>
          <w:highlight w:val="none"/>
          <w:lang w:val="en-US" w:eastAsia="zh-CN"/>
        </w:rPr>
        <w:t>企业</w:t>
      </w:r>
      <w:r>
        <w:rPr>
          <w:rFonts w:hint="default" w:ascii="Times New Roman" w:hAnsi="Times New Roman" w:eastAsia="仿宋" w:cs="Times New Roman"/>
          <w:color w:val="auto"/>
          <w:sz w:val="32"/>
          <w:szCs w:val="32"/>
          <w:highlight w:val="none"/>
        </w:rPr>
        <w:t>成本信息。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第三十条</w:t>
      </w:r>
      <w:r>
        <w:rPr>
          <w:rFonts w:hint="default" w:ascii="Times New Roman" w:hAnsi="Times New Roman" w:eastAsia="仿宋" w:cs="Times New Roman"/>
          <w:color w:val="auto"/>
          <w:sz w:val="32"/>
          <w:szCs w:val="32"/>
          <w:highlight w:val="none"/>
          <w:lang w:val="en-US" w:eastAsia="zh-CN"/>
        </w:rPr>
        <w:t xml:space="preserve">  定价成本监审报告应抄送上级价格主管部门报备。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第</w:t>
      </w:r>
      <w:r>
        <w:rPr>
          <w:rFonts w:hint="default" w:ascii="Times New Roman" w:hAnsi="Times New Roman" w:eastAsia="黑体" w:cs="Times New Roman"/>
          <w:b w:val="0"/>
          <w:bCs w:val="0"/>
          <w:color w:val="auto"/>
          <w:sz w:val="32"/>
          <w:szCs w:val="32"/>
          <w:highlight w:val="none"/>
          <w:lang w:val="en-US" w:eastAsia="zh-CN"/>
        </w:rPr>
        <w:t>三十一</w:t>
      </w:r>
      <w:r>
        <w:rPr>
          <w:rFonts w:hint="default" w:ascii="Times New Roman" w:hAnsi="Times New Roman" w:eastAsia="黑体" w:cs="Times New Roman"/>
          <w:b w:val="0"/>
          <w:bCs w:val="0"/>
          <w:color w:val="auto"/>
          <w:sz w:val="32"/>
          <w:szCs w:val="32"/>
          <w:highlight w:val="none"/>
          <w:lang w:val="en-US" w:eastAsia="zh-CN"/>
        </w:rPr>
        <w:t xml:space="preserve">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val="en-US" w:eastAsia="zh-CN"/>
        </w:rPr>
        <w:t>本办法</w:t>
      </w:r>
      <w:r>
        <w:rPr>
          <w:rFonts w:hint="default" w:ascii="Times New Roman" w:hAnsi="Times New Roman" w:eastAsia="仿宋" w:cs="Times New Roman"/>
          <w:color w:val="auto"/>
          <w:sz w:val="32"/>
          <w:szCs w:val="32"/>
          <w:highlight w:val="none"/>
        </w:rPr>
        <w:t>自</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日起施行</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办法</w:t>
      </w:r>
      <w:r>
        <w:rPr>
          <w:rFonts w:hint="default" w:ascii="Times New Roman" w:hAnsi="Times New Roman" w:eastAsia="仿宋" w:cs="Times New Roman"/>
          <w:color w:val="auto"/>
          <w:sz w:val="32"/>
          <w:szCs w:val="32"/>
          <w:highlight w:val="none"/>
          <w:lang w:val="en-US" w:eastAsia="zh-CN"/>
        </w:rPr>
        <w:t>施</w:t>
      </w:r>
      <w:r>
        <w:rPr>
          <w:rFonts w:hint="default" w:ascii="Times New Roman" w:hAnsi="Times New Roman" w:eastAsia="仿宋" w:cs="Times New Roman"/>
          <w:color w:val="auto"/>
          <w:sz w:val="32"/>
          <w:szCs w:val="32"/>
          <w:highlight w:val="none"/>
        </w:rPr>
        <w:t>行期间如遇相关法律、法规和政策调整，按调整后的规定执行。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附件：</w:t>
      </w:r>
      <w:r>
        <w:rPr>
          <w:rFonts w:hint="default" w:ascii="Times New Roman" w:hAnsi="Times New Roman" w:eastAsia="仿宋" w:cs="Times New Roman"/>
          <w:color w:val="auto"/>
          <w:sz w:val="32"/>
          <w:szCs w:val="32"/>
          <w:highlight w:val="none"/>
          <w:lang w:val="en-US" w:eastAsia="zh-CN"/>
        </w:rPr>
        <w:t>管道运输</w:t>
      </w:r>
      <w:r>
        <w:rPr>
          <w:rFonts w:hint="default" w:ascii="Times New Roman" w:hAnsi="Times New Roman" w:eastAsia="仿宋" w:cs="Times New Roman"/>
          <w:color w:val="auto"/>
          <w:sz w:val="32"/>
          <w:szCs w:val="32"/>
          <w:highlight w:val="none"/>
          <w:lang w:val="en-US" w:eastAsia="zh-CN"/>
        </w:rPr>
        <w:t>企业固定资产定价折旧年限表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br w:type="page"/>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default" w:ascii="Times New Roman" w:hAnsi="Times New Roman" w:eastAsia="黑体" w:cs="Times New Roman"/>
          <w:color w:val="auto"/>
          <w:kern w:val="0"/>
          <w:sz w:val="30"/>
          <w:szCs w:val="30"/>
          <w:highlight w:val="none"/>
          <w:lang w:val="en-US" w:eastAsia="zh-CN" w:bidi="ar"/>
        </w:rPr>
      </w:pPr>
      <w:r>
        <w:rPr>
          <w:rFonts w:hint="default" w:ascii="Times New Roman" w:hAnsi="Times New Roman" w:eastAsia="黑体" w:cs="Times New Roman"/>
          <w:color w:val="auto"/>
          <w:kern w:val="0"/>
          <w:sz w:val="30"/>
          <w:szCs w:val="30"/>
          <w:highlight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default" w:ascii="Times New Roman" w:hAnsi="Times New Roman" w:eastAsia="黑体" w:cs="Times New Roman"/>
          <w:color w:val="auto"/>
          <w:kern w:val="0"/>
          <w:sz w:val="30"/>
          <w:szCs w:val="30"/>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方正小标宋_GBK" w:cs="Times New Roman"/>
          <w:color w:val="auto"/>
          <w:kern w:val="0"/>
          <w:sz w:val="36"/>
          <w:szCs w:val="36"/>
          <w:highlight w:val="none"/>
          <w:lang w:val="en-US" w:eastAsia="zh-CN" w:bidi="ar"/>
        </w:rPr>
      </w:pPr>
      <w:r>
        <w:rPr>
          <w:rFonts w:hint="default" w:ascii="Times New Roman" w:hAnsi="Times New Roman" w:eastAsia="方正小标宋_GBK" w:cs="Times New Roman"/>
          <w:color w:val="auto"/>
          <w:kern w:val="0"/>
          <w:sz w:val="36"/>
          <w:szCs w:val="36"/>
          <w:highlight w:val="none"/>
          <w:lang w:val="en-US" w:eastAsia="zh-CN" w:bidi="ar"/>
        </w:rPr>
        <w:t>管道运输</w:t>
      </w:r>
      <w:r>
        <w:rPr>
          <w:rFonts w:hint="default" w:ascii="Times New Roman" w:hAnsi="Times New Roman" w:eastAsia="方正小标宋_GBK" w:cs="Times New Roman"/>
          <w:color w:val="auto"/>
          <w:kern w:val="0"/>
          <w:sz w:val="36"/>
          <w:szCs w:val="36"/>
          <w:highlight w:val="none"/>
          <w:lang w:val="en-US" w:eastAsia="zh-CN" w:bidi="ar"/>
        </w:rPr>
        <w:t>企业固定资产定价折旧年限表</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default" w:ascii="Times New Roman" w:hAnsi="Times New Roman" w:eastAsia="方正小标宋_GBK" w:cs="Times New Roman"/>
          <w:color w:val="auto"/>
          <w:kern w:val="0"/>
          <w:sz w:val="18"/>
          <w:szCs w:val="18"/>
          <w:highlight w:val="none"/>
          <w:lang w:val="en-US" w:eastAsia="zh-CN" w:bidi="ar"/>
        </w:rPr>
      </w:pPr>
    </w:p>
    <w:tbl>
      <w:tblPr>
        <w:tblStyle w:val="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526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黑体" w:cs="Times New Roman"/>
                <w:color w:val="auto"/>
                <w:sz w:val="28"/>
                <w:szCs w:val="28"/>
                <w:highlight w:val="none"/>
                <w:lang w:val="en-US" w:eastAsia="zh-CN"/>
              </w:rPr>
              <w:t>序号</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黑体" w:cs="Times New Roman"/>
                <w:color w:val="auto"/>
                <w:sz w:val="28"/>
                <w:szCs w:val="28"/>
                <w:highlight w:val="none"/>
                <w:lang w:val="en-US" w:eastAsia="zh-CN"/>
              </w:rPr>
              <w:t>资产分类</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黑体" w:cs="Times New Roman"/>
                <w:color w:val="auto"/>
                <w:sz w:val="28"/>
                <w:szCs w:val="28"/>
                <w:highlight w:val="no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天然气管道</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4</w:t>
            </w:r>
            <w:r>
              <w:rPr>
                <w:rFonts w:hint="default" w:ascii="Times New Roman" w:hAnsi="Times New Roman" w:eastAsia="仿宋" w:cs="Times New Roman"/>
                <w:color w:val="auto"/>
                <w:kern w:val="0"/>
                <w:sz w:val="28"/>
                <w:szCs w:val="28"/>
                <w:highlight w:val="none"/>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2</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储油气水及化学化工容器设施</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3</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工程机械、道路运输设备</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4</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发变电机组、变电、配电设备及设施、锅炉等</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5</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油气水集输处理设施工艺管网、供排水设施工</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艺管网、通信线路、通信设备、供排水设施</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6</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自动化控制设备、通用测控仪器设备、安全检</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（监）测仪器、制造和机修加工设备</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7</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计算机类设备</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8</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办公设备、生产、生活辅助配套设备</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9</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生产经营用房</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10</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非生产用房（办公）</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11</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构筑物（桥梁、架、码头、公路、沟渠）</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25</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注：未列示的其他固定资产按照企业规定折旧年限上限计提折旧。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32C85"/>
    <w:multiLevelType w:val="singleLevel"/>
    <w:tmpl w:val="8F132C85"/>
    <w:lvl w:ilvl="0" w:tentative="0">
      <w:start w:val="2"/>
      <w:numFmt w:val="chineseCounting"/>
      <w:suff w:val="nothing"/>
      <w:lvlText w:val="（%1）"/>
      <w:lvlJc w:val="left"/>
      <w:rPr>
        <w:rFonts w:hint="eastAsia"/>
      </w:rPr>
    </w:lvl>
  </w:abstractNum>
  <w:abstractNum w:abstractNumId="1">
    <w:nsid w:val="BF27B7F8"/>
    <w:multiLevelType w:val="singleLevel"/>
    <w:tmpl w:val="BF27B7F8"/>
    <w:lvl w:ilvl="0" w:tentative="0">
      <w:start w:val="1"/>
      <w:numFmt w:val="chineseCounting"/>
      <w:suff w:val="space"/>
      <w:lvlText w:val="第%1章"/>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32666"/>
    <w:rsid w:val="00412773"/>
    <w:rsid w:val="0084046A"/>
    <w:rsid w:val="00C54BD7"/>
    <w:rsid w:val="01554520"/>
    <w:rsid w:val="01B8675F"/>
    <w:rsid w:val="02CF7807"/>
    <w:rsid w:val="030259F5"/>
    <w:rsid w:val="03D572FB"/>
    <w:rsid w:val="05295D60"/>
    <w:rsid w:val="05882026"/>
    <w:rsid w:val="06D728D5"/>
    <w:rsid w:val="073E4F44"/>
    <w:rsid w:val="077E5327"/>
    <w:rsid w:val="08662C46"/>
    <w:rsid w:val="089146F4"/>
    <w:rsid w:val="08987A66"/>
    <w:rsid w:val="099941EE"/>
    <w:rsid w:val="0A821B33"/>
    <w:rsid w:val="0ACF05F5"/>
    <w:rsid w:val="0AD93BC8"/>
    <w:rsid w:val="0BC77579"/>
    <w:rsid w:val="0C366FD0"/>
    <w:rsid w:val="0C5041E4"/>
    <w:rsid w:val="0E154D10"/>
    <w:rsid w:val="0E682458"/>
    <w:rsid w:val="0E7229A3"/>
    <w:rsid w:val="0E9815A8"/>
    <w:rsid w:val="0EAE601B"/>
    <w:rsid w:val="0F853D34"/>
    <w:rsid w:val="105D1C35"/>
    <w:rsid w:val="10D71AE7"/>
    <w:rsid w:val="11BE763F"/>
    <w:rsid w:val="11E75B1D"/>
    <w:rsid w:val="1233126C"/>
    <w:rsid w:val="12E93257"/>
    <w:rsid w:val="132002B3"/>
    <w:rsid w:val="13387AA9"/>
    <w:rsid w:val="14352571"/>
    <w:rsid w:val="144A01D3"/>
    <w:rsid w:val="152A4054"/>
    <w:rsid w:val="15746CBE"/>
    <w:rsid w:val="15BE6CEE"/>
    <w:rsid w:val="16775B31"/>
    <w:rsid w:val="16BD4BBC"/>
    <w:rsid w:val="17155D09"/>
    <w:rsid w:val="187E1556"/>
    <w:rsid w:val="196759A8"/>
    <w:rsid w:val="1C0C0F73"/>
    <w:rsid w:val="1C2E7554"/>
    <w:rsid w:val="1D8920A8"/>
    <w:rsid w:val="1DF62B87"/>
    <w:rsid w:val="1EF945A1"/>
    <w:rsid w:val="1F73154A"/>
    <w:rsid w:val="1F73732E"/>
    <w:rsid w:val="20736A32"/>
    <w:rsid w:val="20744A4D"/>
    <w:rsid w:val="20920B22"/>
    <w:rsid w:val="20B15247"/>
    <w:rsid w:val="21956F21"/>
    <w:rsid w:val="219D559E"/>
    <w:rsid w:val="22A6400B"/>
    <w:rsid w:val="23591B36"/>
    <w:rsid w:val="23771E96"/>
    <w:rsid w:val="23EF43C3"/>
    <w:rsid w:val="248C2C4C"/>
    <w:rsid w:val="254656F1"/>
    <w:rsid w:val="2565429A"/>
    <w:rsid w:val="2651775C"/>
    <w:rsid w:val="2758326E"/>
    <w:rsid w:val="27B331B6"/>
    <w:rsid w:val="27E5627C"/>
    <w:rsid w:val="28157E58"/>
    <w:rsid w:val="28482D28"/>
    <w:rsid w:val="288B73F5"/>
    <w:rsid w:val="28AA58F9"/>
    <w:rsid w:val="295A263C"/>
    <w:rsid w:val="29A0716A"/>
    <w:rsid w:val="29F21937"/>
    <w:rsid w:val="2A3E3EC3"/>
    <w:rsid w:val="2A5D5C8C"/>
    <w:rsid w:val="2A772E9A"/>
    <w:rsid w:val="2A814AC7"/>
    <w:rsid w:val="2AC8421D"/>
    <w:rsid w:val="2B4E197E"/>
    <w:rsid w:val="2C502A22"/>
    <w:rsid w:val="2C672CB7"/>
    <w:rsid w:val="2C9B527D"/>
    <w:rsid w:val="2CBF6566"/>
    <w:rsid w:val="2D094B4A"/>
    <w:rsid w:val="2D3D19D8"/>
    <w:rsid w:val="2D4721F3"/>
    <w:rsid w:val="2E3419B5"/>
    <w:rsid w:val="2E6B7655"/>
    <w:rsid w:val="2F16040A"/>
    <w:rsid w:val="2FDF12B6"/>
    <w:rsid w:val="31372210"/>
    <w:rsid w:val="31472908"/>
    <w:rsid w:val="31725996"/>
    <w:rsid w:val="31A7794C"/>
    <w:rsid w:val="32164F84"/>
    <w:rsid w:val="325E0D00"/>
    <w:rsid w:val="32A25A3D"/>
    <w:rsid w:val="337B112D"/>
    <w:rsid w:val="341F4AF2"/>
    <w:rsid w:val="34212ACC"/>
    <w:rsid w:val="344A02CF"/>
    <w:rsid w:val="357E7097"/>
    <w:rsid w:val="35B240E5"/>
    <w:rsid w:val="35E23CA5"/>
    <w:rsid w:val="36541519"/>
    <w:rsid w:val="36AD78CF"/>
    <w:rsid w:val="37AB74D5"/>
    <w:rsid w:val="37F714A7"/>
    <w:rsid w:val="38574215"/>
    <w:rsid w:val="38E16943"/>
    <w:rsid w:val="38FD380A"/>
    <w:rsid w:val="39441313"/>
    <w:rsid w:val="399F26A0"/>
    <w:rsid w:val="3A0371BF"/>
    <w:rsid w:val="3A1775C0"/>
    <w:rsid w:val="3A483487"/>
    <w:rsid w:val="3A7C2AE4"/>
    <w:rsid w:val="3B4030F3"/>
    <w:rsid w:val="3B4C6F1F"/>
    <w:rsid w:val="3B5022E5"/>
    <w:rsid w:val="3C6B1767"/>
    <w:rsid w:val="3CD25F0D"/>
    <w:rsid w:val="3D437FC5"/>
    <w:rsid w:val="3D8E70AE"/>
    <w:rsid w:val="3DA55CBF"/>
    <w:rsid w:val="3E341FDF"/>
    <w:rsid w:val="3F080D57"/>
    <w:rsid w:val="3FA3211F"/>
    <w:rsid w:val="406801CD"/>
    <w:rsid w:val="40C33740"/>
    <w:rsid w:val="418B0E36"/>
    <w:rsid w:val="41DF6747"/>
    <w:rsid w:val="43361264"/>
    <w:rsid w:val="439E029F"/>
    <w:rsid w:val="446858D9"/>
    <w:rsid w:val="44B221A2"/>
    <w:rsid w:val="45E60135"/>
    <w:rsid w:val="46023D7D"/>
    <w:rsid w:val="468D379F"/>
    <w:rsid w:val="46916291"/>
    <w:rsid w:val="469A5EAA"/>
    <w:rsid w:val="46B3554B"/>
    <w:rsid w:val="482D1A46"/>
    <w:rsid w:val="48676BDA"/>
    <w:rsid w:val="48730228"/>
    <w:rsid w:val="49065FFC"/>
    <w:rsid w:val="49384AE9"/>
    <w:rsid w:val="497F61CB"/>
    <w:rsid w:val="49931783"/>
    <w:rsid w:val="49A03FE2"/>
    <w:rsid w:val="4A35087A"/>
    <w:rsid w:val="4BC16053"/>
    <w:rsid w:val="4C40326A"/>
    <w:rsid w:val="4CA46F1C"/>
    <w:rsid w:val="4CC0239B"/>
    <w:rsid w:val="4D0D6347"/>
    <w:rsid w:val="4D123258"/>
    <w:rsid w:val="4DEB36BB"/>
    <w:rsid w:val="4EF5338E"/>
    <w:rsid w:val="4F6F536C"/>
    <w:rsid w:val="4FB65FC6"/>
    <w:rsid w:val="4FC109B4"/>
    <w:rsid w:val="50DB660E"/>
    <w:rsid w:val="51354C53"/>
    <w:rsid w:val="51805FA0"/>
    <w:rsid w:val="51AE6211"/>
    <w:rsid w:val="51D349BB"/>
    <w:rsid w:val="51F07EFD"/>
    <w:rsid w:val="51FC1382"/>
    <w:rsid w:val="52512A47"/>
    <w:rsid w:val="526E75C3"/>
    <w:rsid w:val="533049C7"/>
    <w:rsid w:val="533D7802"/>
    <w:rsid w:val="534D5565"/>
    <w:rsid w:val="53A81021"/>
    <w:rsid w:val="53E3443B"/>
    <w:rsid w:val="542C2AAC"/>
    <w:rsid w:val="54A91121"/>
    <w:rsid w:val="554A35F0"/>
    <w:rsid w:val="55A35779"/>
    <w:rsid w:val="55F70D7A"/>
    <w:rsid w:val="56232666"/>
    <w:rsid w:val="564057E5"/>
    <w:rsid w:val="56A359EC"/>
    <w:rsid w:val="56DA38B5"/>
    <w:rsid w:val="56E07BCD"/>
    <w:rsid w:val="56E937BF"/>
    <w:rsid w:val="56FF2CE3"/>
    <w:rsid w:val="5711240B"/>
    <w:rsid w:val="57186C64"/>
    <w:rsid w:val="57187A27"/>
    <w:rsid w:val="57202AB0"/>
    <w:rsid w:val="57AD7815"/>
    <w:rsid w:val="57AF0CEE"/>
    <w:rsid w:val="57C36D96"/>
    <w:rsid w:val="58740ACD"/>
    <w:rsid w:val="59F77D04"/>
    <w:rsid w:val="5A4E568B"/>
    <w:rsid w:val="5BB21466"/>
    <w:rsid w:val="5BE512C7"/>
    <w:rsid w:val="5C325BBB"/>
    <w:rsid w:val="5CB90427"/>
    <w:rsid w:val="5D33721E"/>
    <w:rsid w:val="5D730FB5"/>
    <w:rsid w:val="5E042DB0"/>
    <w:rsid w:val="5E4D0C84"/>
    <w:rsid w:val="5F0334E1"/>
    <w:rsid w:val="5F0D70DA"/>
    <w:rsid w:val="5F676EE6"/>
    <w:rsid w:val="5F784A26"/>
    <w:rsid w:val="5FE0342F"/>
    <w:rsid w:val="5FED47A6"/>
    <w:rsid w:val="5FF36BDD"/>
    <w:rsid w:val="5FFE13C1"/>
    <w:rsid w:val="604E28F7"/>
    <w:rsid w:val="60AA5230"/>
    <w:rsid w:val="61502982"/>
    <w:rsid w:val="61966305"/>
    <w:rsid w:val="61C652C9"/>
    <w:rsid w:val="61E361E5"/>
    <w:rsid w:val="62053B87"/>
    <w:rsid w:val="622D7746"/>
    <w:rsid w:val="642F268A"/>
    <w:rsid w:val="64465D11"/>
    <w:rsid w:val="64E803D3"/>
    <w:rsid w:val="65F24129"/>
    <w:rsid w:val="65F63D7D"/>
    <w:rsid w:val="661C7C88"/>
    <w:rsid w:val="66D578FC"/>
    <w:rsid w:val="67237761"/>
    <w:rsid w:val="673A2458"/>
    <w:rsid w:val="676E50B4"/>
    <w:rsid w:val="68087367"/>
    <w:rsid w:val="684A3F0B"/>
    <w:rsid w:val="68EB6CC2"/>
    <w:rsid w:val="691D2983"/>
    <w:rsid w:val="693E4A5B"/>
    <w:rsid w:val="69C153B3"/>
    <w:rsid w:val="6A140392"/>
    <w:rsid w:val="6ADB25D9"/>
    <w:rsid w:val="6B796CCF"/>
    <w:rsid w:val="6C26317C"/>
    <w:rsid w:val="6D47034B"/>
    <w:rsid w:val="6DAD03B2"/>
    <w:rsid w:val="6E221080"/>
    <w:rsid w:val="6E6805A0"/>
    <w:rsid w:val="6E9C3E8F"/>
    <w:rsid w:val="6EC96A63"/>
    <w:rsid w:val="700B1233"/>
    <w:rsid w:val="704C2035"/>
    <w:rsid w:val="70D25718"/>
    <w:rsid w:val="70E27DC7"/>
    <w:rsid w:val="712B3D16"/>
    <w:rsid w:val="713F3B06"/>
    <w:rsid w:val="71DE2417"/>
    <w:rsid w:val="71F5402F"/>
    <w:rsid w:val="72000064"/>
    <w:rsid w:val="72471174"/>
    <w:rsid w:val="73BC0CFB"/>
    <w:rsid w:val="73E76272"/>
    <w:rsid w:val="74566F42"/>
    <w:rsid w:val="76043D24"/>
    <w:rsid w:val="76076371"/>
    <w:rsid w:val="760C3B8D"/>
    <w:rsid w:val="76407AB3"/>
    <w:rsid w:val="76882D95"/>
    <w:rsid w:val="76EB5629"/>
    <w:rsid w:val="77492E36"/>
    <w:rsid w:val="77700267"/>
    <w:rsid w:val="777153E1"/>
    <w:rsid w:val="779C0F84"/>
    <w:rsid w:val="784D6A47"/>
    <w:rsid w:val="786569A9"/>
    <w:rsid w:val="796C4DF9"/>
    <w:rsid w:val="799A7FF3"/>
    <w:rsid w:val="7B585A0A"/>
    <w:rsid w:val="7D07007E"/>
    <w:rsid w:val="7D755E79"/>
    <w:rsid w:val="7DFB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32"/>
      <w:szCs w:val="32"/>
      <w:u w:val="none" w:color="000000"/>
      <w:vertAlign w:val="baseline"/>
      <w:lang w:val="en-US"/>
    </w:rPr>
  </w:style>
  <w:style w:type="character" w:customStyle="1" w:styleId="8">
    <w:name w:val="无"/>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2021-10-26T02:40:00Z</dcterms:created>
  <dc:creator>Lenovo</dc:creator>
  <cp:lastModifiedBy>马物</cp:lastModifiedBy>
  <cp:lastPrinted>2022-03-02T03:21:48Z</cp:lastPrinted>
  <dcterms:modified xsi:type="dcterms:W3CDTF">2022-03-02T07:33:00Z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ABE59D460A6C4F29BC0705AF6F40A3BE</vt:lpwstr>
  </property>
</Properties>
</file>