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240" w:lineRule="auto"/>
        <w:rPr>
          <w:rFonts w:hint="default" w:ascii="Times New Roman" w:hAnsi="Times New Roman" w:eastAsia="黑体" w:cs="Times New Roman"/>
          <w:color w:val="000000"/>
          <w:sz w:val="32"/>
          <w:szCs w:val="32"/>
          <w:shd w:val="clear" w:color="auto" w:fill="FFFFFF"/>
          <w:lang w:val="en-US" w:eastAsia="zh-CN"/>
        </w:rPr>
      </w:pPr>
      <w:r>
        <w:rPr>
          <w:rFonts w:hint="default" w:ascii="Times New Roman" w:hAnsi="Times New Roman" w:eastAsia="黑体" w:cs="Times New Roman"/>
          <w:color w:val="000000"/>
          <w:sz w:val="32"/>
          <w:szCs w:val="32"/>
          <w:shd w:val="clear" w:color="auto" w:fill="FFFFFF"/>
          <w:lang w:eastAsia="zh-CN"/>
        </w:rPr>
        <w:t>附件</w:t>
      </w:r>
      <w:r>
        <w:rPr>
          <w:rFonts w:hint="eastAsia" w:ascii="Times New Roman" w:hAnsi="Times New Roman" w:eastAsia="黑体" w:cs="Times New Roman"/>
          <w:color w:val="000000"/>
          <w:sz w:val="32"/>
          <w:szCs w:val="32"/>
          <w:shd w:val="clear" w:color="auto" w:fill="FFFFFF"/>
          <w:lang w:val="en-US" w:eastAsia="zh-CN"/>
        </w:rPr>
        <w:t>6</w:t>
      </w:r>
    </w:p>
    <w:p>
      <w:pPr>
        <w:spacing w:line="240" w:lineRule="auto"/>
        <w:rPr>
          <w:rFonts w:hint="default" w:ascii="Times New Roman" w:hAnsi="Times New Roman" w:cs="Times New Roman"/>
          <w:sz w:val="32"/>
          <w:szCs w:val="32"/>
          <w:lang w:val="en-US" w:eastAsia="zh-CN"/>
        </w:rPr>
      </w:pP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b w:val="0"/>
          <w:bCs/>
          <w:sz w:val="44"/>
          <w:szCs w:val="44"/>
          <w:shd w:val="clear" w:color="auto" w:fill="FFFFFF"/>
        </w:rPr>
      </w:pPr>
      <w:r>
        <w:rPr>
          <w:rFonts w:hint="default" w:ascii="Times New Roman" w:hAnsi="Times New Roman" w:eastAsia="方正小标宋简体" w:cs="Times New Roman"/>
          <w:b w:val="0"/>
          <w:bCs/>
          <w:sz w:val="44"/>
          <w:szCs w:val="44"/>
          <w:shd w:val="clear" w:color="auto" w:fill="FFFFFF"/>
          <w:lang w:eastAsia="zh-CN"/>
        </w:rPr>
        <w:t>《</w:t>
      </w:r>
      <w:r>
        <w:rPr>
          <w:rFonts w:hint="default" w:ascii="Times New Roman" w:hAnsi="Times New Roman" w:eastAsia="方正小标宋简体" w:cs="Times New Roman"/>
          <w:b w:val="0"/>
          <w:bCs/>
          <w:sz w:val="44"/>
          <w:szCs w:val="44"/>
          <w:shd w:val="clear" w:color="auto" w:fill="FFFFFF"/>
        </w:rPr>
        <w:t>城镇供水定价成本监审办法》实施意见</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方正小标宋简体" w:cs="Times New Roman"/>
          <w:b w:val="0"/>
          <w:bCs/>
          <w:sz w:val="44"/>
          <w:szCs w:val="44"/>
          <w:shd w:val="clear" w:color="auto" w:fill="FFFFFF"/>
          <w:lang w:eastAsia="zh-CN"/>
        </w:rPr>
      </w:pPr>
      <w:r>
        <w:rPr>
          <w:rFonts w:hint="default" w:ascii="Times New Roman" w:hAnsi="Times New Roman" w:eastAsia="方正小标宋简体" w:cs="Times New Roman"/>
          <w:b w:val="0"/>
          <w:bCs/>
          <w:sz w:val="44"/>
          <w:szCs w:val="44"/>
          <w:shd w:val="clear" w:color="auto" w:fill="FFFFFF"/>
          <w:lang w:eastAsia="zh-CN"/>
        </w:rPr>
        <w:t>（征求意见稿）</w:t>
      </w:r>
    </w:p>
    <w:p>
      <w:pPr>
        <w:pStyle w:val="5"/>
        <w:widowControl/>
        <w:spacing w:beforeAutospacing="0" w:afterAutospacing="0" w:line="240" w:lineRule="auto"/>
        <w:rPr>
          <w:rFonts w:hint="default" w:ascii="Times New Roman" w:hAnsi="Times New Roman" w:eastAsia="仿宋_GB2312" w:cs="Times New Roman"/>
          <w:color w:val="000000"/>
          <w:sz w:val="32"/>
          <w:szCs w:val="32"/>
          <w:shd w:val="clear" w:color="auto" w:fill="FFFFFF"/>
        </w:rPr>
      </w:pPr>
    </w:p>
    <w:p>
      <w:pPr>
        <w:pStyle w:val="5"/>
        <w:widowControl/>
        <w:spacing w:beforeAutospacing="0" w:afterAutospacing="0" w:line="240" w:lineRule="auto"/>
        <w:ind w:firstLine="640" w:firstLineChars="200"/>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为进一步做好《城镇供水定价成本监审办法》（国家发展改革委 住房城乡建设部令</w:t>
      </w:r>
      <w:r>
        <w:rPr>
          <w:rFonts w:hint="eastAsia" w:ascii="Times New Roman" w:hAnsi="Times New Roman" w:eastAsia="仿宋_GB2312" w:cs="Times New Roman"/>
          <w:color w:val="000000"/>
          <w:sz w:val="32"/>
          <w:szCs w:val="32"/>
          <w:shd w:val="clear" w:color="auto" w:fill="FFFFFF"/>
          <w:lang w:val="en-US" w:eastAsia="zh-CN"/>
        </w:rPr>
        <w:t>2021年</w:t>
      </w:r>
      <w:r>
        <w:rPr>
          <w:rFonts w:hint="default" w:ascii="Times New Roman" w:hAnsi="Times New Roman" w:eastAsia="仿宋_GB2312" w:cs="Times New Roman"/>
          <w:color w:val="000000"/>
          <w:sz w:val="32"/>
          <w:szCs w:val="32"/>
          <w:shd w:val="clear" w:color="auto" w:fill="FFFFFF"/>
        </w:rPr>
        <w:t>第45号）（以下简称“《办法》”）贯彻落实工作，根据《政府制定价格成本监审办法》（国家发展改革委令2017年第8号）规定，结合我省实际，提出以下实施意见请一并贯彻执行。</w:t>
      </w:r>
    </w:p>
    <w:p>
      <w:pPr>
        <w:pStyle w:val="5"/>
        <w:widowControl/>
        <w:spacing w:beforeAutospacing="0" w:afterAutospacing="0" w:line="240" w:lineRule="auto"/>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一、关于职工人数核定</w:t>
      </w:r>
    </w:p>
    <w:p>
      <w:pPr>
        <w:pStyle w:val="5"/>
        <w:widowControl/>
        <w:spacing w:beforeAutospacing="0" w:afterAutospacing="0" w:line="240" w:lineRule="auto"/>
        <w:ind w:firstLine="64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大型城市城镇供水企业职工人数定员按日生产能力每万立方米不高于12人，中小型城市城镇供水企业职工人数定员按日生产能力每万立方米不高于15人核定。</w:t>
      </w:r>
    </w:p>
    <w:p>
      <w:pPr>
        <w:pStyle w:val="5"/>
        <w:widowControl/>
        <w:numPr>
          <w:ilvl w:val="0"/>
          <w:numId w:val="0"/>
        </w:numPr>
        <w:spacing w:beforeAutospacing="0" w:afterAutospacing="0"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关于固定资产折旧年限和残值率</w:t>
      </w:r>
    </w:p>
    <w:p>
      <w:pPr>
        <w:spacing w:line="24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城镇供水企业固定资产</w:t>
      </w:r>
      <w:r>
        <w:rPr>
          <w:rFonts w:hint="eastAsia" w:ascii="Times New Roman" w:hAnsi="Times New Roman" w:eastAsia="仿宋" w:cs="Times New Roman"/>
          <w:sz w:val="32"/>
          <w:szCs w:val="32"/>
          <w:lang w:eastAsia="zh-CN"/>
        </w:rPr>
        <w:t>定价</w:t>
      </w:r>
      <w:r>
        <w:rPr>
          <w:rFonts w:hint="default" w:ascii="Times New Roman" w:hAnsi="Times New Roman" w:eastAsia="仿宋" w:cs="Times New Roman"/>
          <w:sz w:val="32"/>
          <w:szCs w:val="32"/>
        </w:rPr>
        <w:t>折旧年限详见附</w:t>
      </w:r>
      <w:r>
        <w:rPr>
          <w:rFonts w:hint="eastAsia" w:ascii="Times New Roman" w:hAnsi="Times New Roman" w:eastAsia="仿宋" w:cs="Times New Roman"/>
          <w:sz w:val="32"/>
          <w:szCs w:val="32"/>
          <w:lang w:eastAsia="zh-CN"/>
        </w:rPr>
        <w:t>件</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固定资产折旧残值率按5%计算。</w:t>
      </w:r>
    </w:p>
    <w:p>
      <w:pPr>
        <w:pStyle w:val="5"/>
        <w:widowControl/>
        <w:spacing w:beforeAutospacing="0" w:afterAutospacing="0" w:line="240" w:lineRule="auto"/>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三、关于特许经营权费用</w:t>
      </w:r>
    </w:p>
    <w:p>
      <w:pPr>
        <w:pStyle w:val="5"/>
        <w:widowControl/>
        <w:spacing w:beforeAutospacing="0" w:afterAutospacing="0" w:line="240" w:lineRule="auto"/>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特许经营权费用原则上不得计入定价成本，政府规定允许计入的，按照特许经营年限分摊，没有特许经营年限的按30年分摊。</w:t>
      </w:r>
    </w:p>
    <w:p>
      <w:pPr>
        <w:pStyle w:val="5"/>
        <w:widowControl/>
        <w:spacing w:beforeAutospacing="0" w:afterAutospacing="0" w:line="240" w:lineRule="auto"/>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四、关于因解除与职工的劳动关系给予职工的一次性补偿费用</w:t>
      </w:r>
    </w:p>
    <w:p>
      <w:pPr>
        <w:pStyle w:val="5"/>
        <w:widowControl/>
        <w:spacing w:beforeAutospacing="0" w:afterAutospacing="0" w:line="240" w:lineRule="auto"/>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因解除与职工的劳动关系给予的一次性补偿费用的分摊方法明确为按实际补偿年限平均分摊计入定价成本。</w:t>
      </w:r>
    </w:p>
    <w:p>
      <w:pPr>
        <w:pStyle w:val="5"/>
        <w:widowControl/>
        <w:spacing w:beforeAutospacing="0" w:afterAutospacing="0" w:line="240" w:lineRule="auto"/>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五、关于自用水率和漏损率</w:t>
      </w:r>
    </w:p>
    <w:p>
      <w:pPr>
        <w:pStyle w:val="5"/>
        <w:widowControl/>
        <w:spacing w:beforeAutospacing="0" w:afterAutospacing="0" w:line="240" w:lineRule="auto"/>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自用水率按</w:t>
      </w:r>
      <w:r>
        <w:rPr>
          <w:rFonts w:hint="eastAsia" w:ascii="Times New Roman" w:hAnsi="Times New Roman" w:eastAsia="仿宋" w:cs="Times New Roman"/>
          <w:sz w:val="32"/>
          <w:szCs w:val="32"/>
          <w:lang w:eastAsia="zh-CN"/>
        </w:rPr>
        <w:t>不</w:t>
      </w:r>
      <w:r>
        <w:rPr>
          <w:rFonts w:hint="default" w:ascii="Times New Roman" w:hAnsi="Times New Roman" w:eastAsia="仿宋" w:cs="Times New Roman"/>
          <w:sz w:val="32"/>
          <w:szCs w:val="32"/>
        </w:rPr>
        <w:t>超过水厂设计水量的5%</w:t>
      </w:r>
      <w:r>
        <w:rPr>
          <w:rFonts w:hint="eastAsia" w:ascii="Times New Roman" w:hAnsi="Times New Roman" w:eastAsia="仿宋" w:cs="Times New Roman"/>
          <w:sz w:val="32"/>
          <w:szCs w:val="32"/>
          <w:lang w:eastAsia="zh-CN"/>
        </w:rPr>
        <w:t>据实</w:t>
      </w:r>
      <w:r>
        <w:rPr>
          <w:rFonts w:hint="default" w:ascii="Times New Roman" w:hAnsi="Times New Roman" w:eastAsia="仿宋" w:cs="Times New Roman"/>
          <w:sz w:val="32"/>
          <w:szCs w:val="32"/>
        </w:rPr>
        <w:t>核定，超出部分的损失费用不得计入成本。漏损率原则上据实核定，但最高不超过《城镇供水管网漏损控制及评定标准》（CJJ92）确定的一级评定标准10%。</w:t>
      </w:r>
    </w:p>
    <w:p>
      <w:pPr>
        <w:pStyle w:val="5"/>
        <w:widowControl/>
        <w:spacing w:beforeAutospacing="0" w:afterAutospacing="0" w:line="240" w:lineRule="auto"/>
        <w:ind w:firstLine="640" w:firstLineChars="200"/>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六、关于固定资产折旧费、无形资产摊销费、供水量取值时间</w:t>
      </w:r>
    </w:p>
    <w:p>
      <w:pPr>
        <w:pStyle w:val="5"/>
        <w:widowControl/>
        <w:spacing w:beforeAutospacing="0" w:afterAutospacing="0" w:line="240" w:lineRule="auto"/>
        <w:ind w:firstLine="640" w:firstLineChars="200"/>
        <w:rPr>
          <w:rFonts w:hint="default" w:ascii="Times New Roman" w:hAnsi="Times New Roman" w:eastAsia="华文楷体" w:cs="Times New Roman"/>
          <w:b/>
          <w:bCs/>
          <w:sz w:val="28"/>
          <w:szCs w:val="28"/>
        </w:rPr>
      </w:pPr>
      <w:r>
        <w:rPr>
          <w:rFonts w:hint="default" w:ascii="Times New Roman" w:hAnsi="Times New Roman" w:eastAsia="仿宋_GB2312" w:cs="Times New Roman"/>
          <w:sz w:val="32"/>
          <w:szCs w:val="32"/>
        </w:rPr>
        <w:t>计算定价总成本的固定资产折旧费、无形资产摊销费，以及计算单位定价成本采用的供水量，按监审期间最末一年核定数取值。</w:t>
      </w:r>
    </w:p>
    <w:p>
      <w:pPr>
        <w:pStyle w:val="5"/>
        <w:widowControl/>
        <w:spacing w:beforeAutospacing="0" w:afterAutospacing="0" w:line="240" w:lineRule="auto"/>
        <w:ind w:left="638" w:leftChars="304"/>
        <w:rPr>
          <w:rFonts w:hint="default" w:ascii="Times New Roman" w:hAnsi="Times New Roman" w:eastAsia="黑体" w:cs="Times New Roman"/>
          <w:color w:val="000000"/>
          <w:sz w:val="32"/>
          <w:szCs w:val="32"/>
          <w:shd w:val="clear" w:color="auto" w:fill="FFFFFF"/>
        </w:rPr>
      </w:pPr>
      <w:r>
        <w:rPr>
          <w:rFonts w:hint="default" w:ascii="Times New Roman" w:hAnsi="Times New Roman" w:eastAsia="黑体" w:cs="Times New Roman"/>
          <w:color w:val="000000"/>
          <w:sz w:val="32"/>
          <w:szCs w:val="32"/>
          <w:shd w:val="clear" w:color="auto" w:fill="FFFFFF"/>
        </w:rPr>
        <w:t>七、关于供水企业应提交的基本资料</w:t>
      </w:r>
    </w:p>
    <w:p>
      <w:pPr>
        <w:numPr>
          <w:ilvl w:val="0"/>
          <w:numId w:val="0"/>
        </w:numPr>
        <w:spacing w:line="24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按照价格主管部门要求和规定表式核算填报的成本报表，主要成本项目的核算方法、成本费用分摊方法及相关依据；</w:t>
      </w:r>
    </w:p>
    <w:p>
      <w:pPr>
        <w:numPr>
          <w:ilvl w:val="0"/>
          <w:numId w:val="0"/>
        </w:numPr>
        <w:spacing w:line="24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经会计师事务所审计或者政府有关部门审核的年度财务报告，以及手续齐备的会计凭证、账簿，费用支出、收入明细表，监审期间内各年末最末级科目余额表；</w:t>
      </w:r>
    </w:p>
    <w:p>
      <w:pPr>
        <w:numPr>
          <w:ilvl w:val="0"/>
          <w:numId w:val="0"/>
        </w:numPr>
        <w:spacing w:line="24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供水量、售水量、原水量（取水量）、外购成品水量等相关的统计台账、报表；</w:t>
      </w:r>
    </w:p>
    <w:p>
      <w:pPr>
        <w:numPr>
          <w:ilvl w:val="0"/>
          <w:numId w:val="0"/>
        </w:numPr>
        <w:spacing w:line="24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营业执照或准许经营许可证等能够说明经营范围的相关证明材料；</w:t>
      </w:r>
    </w:p>
    <w:p>
      <w:pPr>
        <w:numPr>
          <w:ilvl w:val="0"/>
          <w:numId w:val="0"/>
        </w:numPr>
        <w:spacing w:line="24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城镇供水业务服务流程及管网分布、结构、规划示意图；</w:t>
      </w:r>
    </w:p>
    <w:p>
      <w:pPr>
        <w:numPr>
          <w:ilvl w:val="0"/>
          <w:numId w:val="0"/>
        </w:numPr>
        <w:spacing w:line="240" w:lineRule="auto"/>
        <w:ind w:firstLine="640" w:firstLineChars="200"/>
        <w:rPr>
          <w:rFonts w:hint="default" w:ascii="Times New Roman" w:hAnsi="Times New Roman" w:eastAsia="华文楷体" w:cs="Times New Roman"/>
          <w:b/>
          <w:bCs/>
          <w:sz w:val="28"/>
          <w:szCs w:val="28"/>
        </w:rPr>
      </w:pP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可行性研究报告、竣工决算报告等能说明城镇供水企业设计规模的相关证明材料；</w:t>
      </w:r>
    </w:p>
    <w:p>
      <w:pPr>
        <w:numPr>
          <w:ilvl w:val="0"/>
          <w:numId w:val="0"/>
        </w:numPr>
        <w:spacing w:line="240" w:lineRule="auto"/>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成本监审所需的其他资料。</w:t>
      </w:r>
    </w:p>
    <w:p>
      <w:pPr>
        <w:numPr>
          <w:ilvl w:val="0"/>
          <w:numId w:val="0"/>
        </w:numPr>
        <w:spacing w:line="240" w:lineRule="auto"/>
        <w:rPr>
          <w:rFonts w:hint="default" w:ascii="Times New Roman" w:hAnsi="Times New Roman" w:eastAsia="仿宋" w:cs="Times New Roman"/>
          <w:sz w:val="32"/>
          <w:szCs w:val="32"/>
        </w:rPr>
      </w:pPr>
    </w:p>
    <w:p>
      <w:pPr>
        <w:numPr>
          <w:ilvl w:val="0"/>
          <w:numId w:val="0"/>
        </w:numPr>
        <w:spacing w:line="240" w:lineRule="auto"/>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城镇供水企业固定资产</w:t>
      </w:r>
      <w:r>
        <w:rPr>
          <w:rFonts w:hint="eastAsia" w:ascii="Times New Roman" w:hAnsi="Times New Roman" w:eastAsia="仿宋" w:cs="Times New Roman"/>
          <w:sz w:val="32"/>
          <w:szCs w:val="32"/>
          <w:lang w:val="en-US" w:eastAsia="zh-CN"/>
        </w:rPr>
        <w:t>定价</w:t>
      </w:r>
      <w:r>
        <w:rPr>
          <w:rFonts w:hint="default" w:ascii="Times New Roman" w:hAnsi="Times New Roman" w:eastAsia="仿宋" w:cs="Times New Roman"/>
          <w:sz w:val="32"/>
          <w:szCs w:val="32"/>
          <w:lang w:val="en-US" w:eastAsia="zh-CN"/>
        </w:rPr>
        <w:t>折旧年限表</w:t>
      </w:r>
    </w:p>
    <w:p>
      <w:pPr>
        <w:numPr>
          <w:ilvl w:val="0"/>
          <w:numId w:val="0"/>
        </w:numPr>
        <w:spacing w:line="240" w:lineRule="auto"/>
        <w:rPr>
          <w:rFonts w:hint="default" w:ascii="Times New Roman" w:hAnsi="Times New Roman" w:eastAsia="仿宋" w:cs="Times New Roman"/>
          <w:sz w:val="32"/>
          <w:szCs w:val="32"/>
        </w:rPr>
      </w:pPr>
    </w:p>
    <w:p>
      <w:pPr>
        <w:rPr>
          <w:rStyle w:val="10"/>
          <w:rFonts w:hint="default" w:ascii="Times New Roman" w:hAnsi="Times New Roman" w:eastAsia="仿宋_GB2312" w:cs="Times New Roman"/>
          <w:b w:val="0"/>
          <w:bCs w:val="0"/>
          <w:sz w:val="32"/>
          <w:szCs w:val="32"/>
          <w:lang w:val="en-US" w:eastAsia="zh-CN"/>
        </w:rPr>
      </w:pPr>
      <w:r>
        <w:rPr>
          <w:rStyle w:val="10"/>
          <w:rFonts w:hint="default" w:ascii="Times New Roman" w:hAnsi="Times New Roman" w:eastAsia="仿宋_GB2312" w:cs="Times New Roman"/>
          <w:b w:val="0"/>
          <w:bCs w:val="0"/>
          <w:sz w:val="32"/>
          <w:szCs w:val="32"/>
          <w:lang w:val="en-US" w:eastAsia="zh-CN"/>
        </w:rPr>
        <w:br w:type="page"/>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470" w:lineRule="exact"/>
        <w:jc w:val="both"/>
        <w:textAlignment w:val="auto"/>
        <w:rPr>
          <w:rStyle w:val="10"/>
          <w:rFonts w:hint="default" w:ascii="Times New Roman" w:hAnsi="Times New Roman" w:eastAsia="黑体" w:cs="Times New Roman"/>
          <w:b w:val="0"/>
          <w:bCs w:val="0"/>
          <w:sz w:val="32"/>
          <w:szCs w:val="32"/>
          <w:lang w:val="en-US" w:eastAsia="zh-CN"/>
        </w:rPr>
      </w:pPr>
      <w:r>
        <w:rPr>
          <w:rStyle w:val="10"/>
          <w:rFonts w:hint="default" w:ascii="Times New Roman" w:hAnsi="Times New Roman" w:eastAsia="黑体" w:cs="Times New Roman"/>
          <w:b w:val="0"/>
          <w:bCs w:val="0"/>
          <w:sz w:val="32"/>
          <w:szCs w:val="32"/>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color w:val="000000"/>
          <w:kern w:val="0"/>
          <w:sz w:val="44"/>
          <w:szCs w:val="44"/>
          <w:highlight w:val="none"/>
          <w:lang w:val="en-US" w:eastAsia="zh-CN" w:bidi="ar"/>
        </w:rPr>
      </w:pPr>
      <w:r>
        <w:rPr>
          <w:rFonts w:hint="default" w:ascii="Times New Roman" w:hAnsi="Times New Roman" w:eastAsia="方正小标宋_GBK" w:cs="Times New Roman"/>
          <w:color w:val="auto"/>
          <w:spacing w:val="0"/>
          <w:w w:val="100"/>
          <w:kern w:val="2"/>
          <w:position w:val="0"/>
          <w:sz w:val="44"/>
          <w:szCs w:val="44"/>
          <w:highlight w:val="none"/>
          <w:u w:val="none" w:color="000000"/>
          <w:vertAlign w:val="baseline"/>
          <w:lang w:val="en-US" w:eastAsia="zh-CN" w:bidi="ar-SA"/>
        </w:rPr>
        <w:t>城镇供水企业固定资产</w:t>
      </w:r>
      <w:r>
        <w:rPr>
          <w:rFonts w:hint="eastAsia" w:ascii="Times New Roman" w:hAnsi="Times New Roman" w:eastAsia="方正小标宋_GBK" w:cs="Times New Roman"/>
          <w:color w:val="auto"/>
          <w:spacing w:val="0"/>
          <w:w w:val="100"/>
          <w:kern w:val="2"/>
          <w:position w:val="0"/>
          <w:sz w:val="44"/>
          <w:szCs w:val="44"/>
          <w:highlight w:val="none"/>
          <w:u w:val="none" w:color="000000"/>
          <w:vertAlign w:val="baseline"/>
          <w:lang w:val="en-US" w:eastAsia="zh-CN" w:bidi="ar-SA"/>
        </w:rPr>
        <w:t>定价</w:t>
      </w:r>
      <w:bookmarkStart w:id="0" w:name="_GoBack"/>
      <w:bookmarkEnd w:id="0"/>
      <w:r>
        <w:rPr>
          <w:rFonts w:hint="default" w:ascii="Times New Roman" w:hAnsi="Times New Roman" w:eastAsia="方正小标宋_GBK" w:cs="Times New Roman"/>
          <w:color w:val="auto"/>
          <w:spacing w:val="0"/>
          <w:w w:val="100"/>
          <w:kern w:val="2"/>
          <w:position w:val="0"/>
          <w:sz w:val="44"/>
          <w:szCs w:val="44"/>
          <w:highlight w:val="none"/>
          <w:u w:val="none" w:color="000000"/>
          <w:vertAlign w:val="baseline"/>
          <w:lang w:val="en-US" w:eastAsia="zh-CN" w:bidi="ar-SA"/>
        </w:rPr>
        <w:t>折旧年限表</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color w:val="000000"/>
          <w:kern w:val="0"/>
          <w:sz w:val="44"/>
          <w:szCs w:val="44"/>
          <w:highlight w:val="none"/>
          <w:lang w:val="en-US" w:eastAsia="zh-CN" w:bidi="ar"/>
        </w:rPr>
      </w:pPr>
    </w:p>
    <w:tbl>
      <w:tblPr>
        <w:tblStyle w:val="7"/>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5626"/>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9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Style w:val="10"/>
                <w:rFonts w:hint="default" w:ascii="Times New Roman" w:hAnsi="Times New Roman" w:eastAsia="黑体" w:cs="Times New Roman"/>
                <w:b w:val="0"/>
                <w:bCs w:val="0"/>
                <w:sz w:val="30"/>
                <w:szCs w:val="30"/>
                <w:highlight w:val="none"/>
                <w:vertAlign w:val="baseline"/>
                <w:lang w:val="en-US" w:eastAsia="zh-CN"/>
              </w:rPr>
            </w:pPr>
            <w:r>
              <w:rPr>
                <w:rFonts w:hint="default" w:ascii="Times New Roman" w:hAnsi="Times New Roman" w:eastAsia="黑体" w:cs="Times New Roman"/>
                <w:b w:val="0"/>
                <w:bCs w:val="0"/>
                <w:color w:val="000000"/>
                <w:kern w:val="0"/>
                <w:sz w:val="30"/>
                <w:szCs w:val="30"/>
                <w:highlight w:val="none"/>
                <w:lang w:val="en-US" w:eastAsia="zh-CN" w:bidi="ar"/>
              </w:rPr>
              <w:t>序号</w:t>
            </w:r>
          </w:p>
        </w:tc>
        <w:tc>
          <w:tcPr>
            <w:tcW w:w="563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Style w:val="10"/>
                <w:rFonts w:hint="default" w:ascii="Times New Roman" w:hAnsi="Times New Roman" w:eastAsia="黑体" w:cs="Times New Roman"/>
                <w:b w:val="0"/>
                <w:bCs w:val="0"/>
                <w:sz w:val="30"/>
                <w:szCs w:val="30"/>
                <w:highlight w:val="none"/>
                <w:vertAlign w:val="baseline"/>
                <w:lang w:val="en-US" w:eastAsia="zh-CN"/>
              </w:rPr>
            </w:pPr>
            <w:r>
              <w:rPr>
                <w:rFonts w:hint="default" w:ascii="Times New Roman" w:hAnsi="Times New Roman" w:eastAsia="黑体" w:cs="Times New Roman"/>
                <w:b w:val="0"/>
                <w:bCs w:val="0"/>
                <w:color w:val="000000"/>
                <w:kern w:val="0"/>
                <w:sz w:val="30"/>
                <w:szCs w:val="30"/>
                <w:highlight w:val="none"/>
                <w:lang w:val="en-US" w:eastAsia="zh-CN" w:bidi="ar"/>
              </w:rPr>
              <w:t>资产类别/名称</w:t>
            </w:r>
          </w:p>
        </w:tc>
        <w:tc>
          <w:tcPr>
            <w:tcW w:w="2131" w:type="dxa"/>
            <w:vAlign w:val="center"/>
          </w:tcPr>
          <w:p>
            <w:pPr>
              <w:pStyle w:val="11"/>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before="0" w:beforeLines="0" w:after="0" w:afterLines="0" w:line="240" w:lineRule="auto"/>
              <w:jc w:val="center"/>
              <w:textAlignment w:val="auto"/>
              <w:rPr>
                <w:rStyle w:val="10"/>
                <w:rFonts w:hint="default" w:ascii="Times New Roman" w:hAnsi="Times New Roman" w:eastAsia="黑体" w:cs="Times New Roman"/>
                <w:b w:val="0"/>
                <w:bCs w:val="0"/>
                <w:sz w:val="30"/>
                <w:szCs w:val="30"/>
                <w:highlight w:val="none"/>
                <w:vertAlign w:val="baseline"/>
                <w:lang w:val="en-US" w:eastAsia="zh-CN"/>
              </w:rPr>
            </w:pPr>
            <w:r>
              <w:rPr>
                <w:rStyle w:val="10"/>
                <w:rFonts w:hint="default" w:ascii="Times New Roman" w:hAnsi="Times New Roman" w:eastAsia="黑体" w:cs="Times New Roman"/>
                <w:b w:val="0"/>
                <w:bCs w:val="0"/>
                <w:sz w:val="30"/>
                <w:szCs w:val="30"/>
                <w:highlight w:val="none"/>
                <w:vertAlign w:val="baseline"/>
                <w:lang w:val="en-US" w:eastAsia="zh-CN"/>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91"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0"/>
                <w:rFonts w:hint="eastAsia" w:ascii="Times New Roman" w:hAnsi="Times New Roman" w:eastAsia="仿宋_GB2312" w:cs="Times New Roman"/>
                <w:b w:val="0"/>
                <w:bCs w:val="0"/>
                <w:sz w:val="30"/>
                <w:szCs w:val="30"/>
                <w:highlight w:val="none"/>
                <w:vertAlign w:val="baseline"/>
                <w:lang w:val="en-US" w:eastAsia="zh-CN"/>
              </w:rPr>
            </w:pPr>
            <w:r>
              <w:rPr>
                <w:rFonts w:hint="eastAsia" w:ascii="Times New Roman" w:hAnsi="Times New Roman" w:eastAsia="仿宋_GB2312" w:cs="Times New Roman"/>
                <w:b w:val="0"/>
                <w:bCs w:val="0"/>
                <w:color w:val="000000"/>
                <w:spacing w:val="0"/>
                <w:w w:val="100"/>
                <w:position w:val="0"/>
                <w:sz w:val="30"/>
                <w:szCs w:val="30"/>
                <w:highlight w:val="none"/>
                <w:lang w:eastAsia="zh-CN"/>
              </w:rPr>
              <w:t>一</w:t>
            </w:r>
          </w:p>
        </w:tc>
        <w:tc>
          <w:tcPr>
            <w:tcW w:w="5636"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both"/>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输水管道</w:t>
            </w:r>
          </w:p>
        </w:tc>
        <w:tc>
          <w:tcPr>
            <w:tcW w:w="2131"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i w:val="0"/>
                <w:color w:val="000000"/>
                <w:spacing w:val="0"/>
                <w:w w:val="100"/>
                <w:position w:val="0"/>
                <w:sz w:val="30"/>
                <w:szCs w:val="30"/>
                <w:highlight w:val="none"/>
                <w:lang w:val="en-US" w:eastAsia="en-US" w:bidi="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91" w:type="dxa"/>
            <w:vAlign w:val="center"/>
          </w:tcPr>
          <w:p>
            <w:pPr>
              <w:widowControl w:val="0"/>
              <w:spacing w:line="240" w:lineRule="auto"/>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Style w:val="10"/>
                <w:rFonts w:hint="default" w:ascii="Times New Roman" w:hAnsi="Times New Roman" w:eastAsia="仿宋_GB2312" w:cs="Times New Roman"/>
                <w:b w:val="0"/>
                <w:bCs w:val="0"/>
                <w:sz w:val="30"/>
                <w:szCs w:val="30"/>
                <w:highlight w:val="none"/>
                <w:vertAlign w:val="baseline"/>
                <w:lang w:val="en-US" w:eastAsia="zh-CN"/>
              </w:rPr>
              <w:t>二</w:t>
            </w:r>
          </w:p>
        </w:tc>
        <w:tc>
          <w:tcPr>
            <w:tcW w:w="5636"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水表</w:t>
            </w:r>
          </w:p>
        </w:tc>
        <w:tc>
          <w:tcPr>
            <w:tcW w:w="2131"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i w:val="0"/>
                <w:color w:val="000000"/>
                <w:spacing w:val="0"/>
                <w:w w:val="100"/>
                <w:position w:val="0"/>
                <w:sz w:val="30"/>
                <w:szCs w:val="30"/>
                <w:highlight w:val="none"/>
                <w:lang w:val="en-US" w:eastAsia="en-US" w:bidi="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91" w:type="dxa"/>
            <w:vAlign w:val="center"/>
          </w:tcPr>
          <w:p>
            <w:pPr>
              <w:widowControl w:val="0"/>
              <w:spacing w:line="240" w:lineRule="auto"/>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Style w:val="10"/>
                <w:rFonts w:hint="default" w:ascii="Times New Roman" w:hAnsi="Times New Roman" w:eastAsia="仿宋_GB2312" w:cs="Times New Roman"/>
                <w:b w:val="0"/>
                <w:bCs w:val="0"/>
                <w:sz w:val="30"/>
                <w:szCs w:val="30"/>
                <w:highlight w:val="none"/>
                <w:vertAlign w:val="baseline"/>
                <w:lang w:val="en-US" w:eastAsia="zh-CN"/>
              </w:rPr>
              <w:t>三</w:t>
            </w:r>
          </w:p>
        </w:tc>
        <w:tc>
          <w:tcPr>
            <w:tcW w:w="5636"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机器设备</w:t>
            </w:r>
          </w:p>
        </w:tc>
        <w:tc>
          <w:tcPr>
            <w:tcW w:w="2131"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i w:val="0"/>
                <w:color w:val="000000"/>
                <w:spacing w:val="0"/>
                <w:w w:val="100"/>
                <w:position w:val="0"/>
                <w:sz w:val="30"/>
                <w:szCs w:val="3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91" w:type="dxa"/>
            <w:vAlign w:val="center"/>
          </w:tcPr>
          <w:p>
            <w:pPr>
              <w:pStyle w:val="12"/>
              <w:keepNext w:val="0"/>
              <w:keepLines w:val="0"/>
              <w:widowControl w:val="0"/>
              <w:shd w:val="clear" w:color="auto" w:fill="auto"/>
              <w:bidi w:val="0"/>
              <w:spacing w:before="0" w:after="0" w:line="240" w:lineRule="auto"/>
              <w:ind w:right="0" w:right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四</w:t>
            </w:r>
          </w:p>
        </w:tc>
        <w:tc>
          <w:tcPr>
            <w:tcW w:w="5636"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电子设备</w:t>
            </w:r>
          </w:p>
        </w:tc>
        <w:tc>
          <w:tcPr>
            <w:tcW w:w="2131"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i w:val="0"/>
                <w:color w:val="000000"/>
                <w:spacing w:val="0"/>
                <w:w w:val="100"/>
                <w:position w:val="0"/>
                <w:sz w:val="30"/>
                <w:szCs w:val="3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91"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五</w:t>
            </w:r>
          </w:p>
        </w:tc>
        <w:tc>
          <w:tcPr>
            <w:tcW w:w="5636"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房屋</w:t>
            </w:r>
          </w:p>
        </w:tc>
        <w:tc>
          <w:tcPr>
            <w:tcW w:w="2131" w:type="dxa"/>
            <w:vAlign w:val="top"/>
          </w:tcPr>
          <w:p>
            <w:pPr>
              <w:widowControl w:val="0"/>
              <w:spacing w:line="240" w:lineRule="auto"/>
              <w:jc w:val="center"/>
              <w:rPr>
                <w:rStyle w:val="10"/>
                <w:rFonts w:hint="default" w:ascii="Times New Roman" w:hAnsi="Times New Roman" w:eastAsia="仿宋_GB2312" w:cs="Times New Roman"/>
                <w:b w:val="0"/>
                <w:bCs w:val="0"/>
                <w:sz w:val="30"/>
                <w:szCs w:val="3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91" w:type="dxa"/>
            <w:vAlign w:val="center"/>
          </w:tcPr>
          <w:p>
            <w:pPr>
              <w:widowControl w:val="0"/>
              <w:spacing w:line="240" w:lineRule="auto"/>
              <w:jc w:val="center"/>
              <w:rPr>
                <w:rStyle w:val="10"/>
                <w:rFonts w:hint="default" w:ascii="Times New Roman" w:hAnsi="Times New Roman" w:eastAsia="仿宋_GB2312" w:cs="Times New Roman"/>
                <w:b w:val="0"/>
                <w:bCs w:val="0"/>
                <w:sz w:val="30"/>
                <w:szCs w:val="30"/>
                <w:highlight w:val="none"/>
                <w:vertAlign w:val="baseline"/>
                <w:lang w:val="en-US" w:eastAsia="zh-CN"/>
              </w:rPr>
            </w:pPr>
          </w:p>
        </w:tc>
        <w:tc>
          <w:tcPr>
            <w:tcW w:w="5636" w:type="dxa"/>
            <w:vAlign w:val="center"/>
          </w:tcPr>
          <w:p>
            <w:pPr>
              <w:pStyle w:val="12"/>
              <w:keepNext w:val="0"/>
              <w:keepLines w:val="0"/>
              <w:widowControl w:val="0"/>
              <w:shd w:val="clear" w:color="auto" w:fill="auto"/>
              <w:bidi w:val="0"/>
              <w:spacing w:before="0" w:after="0" w:line="240" w:lineRule="auto"/>
              <w:ind w:left="0" w:leftChars="0" w:right="0" w:rightChars="0" w:firstLine="360" w:firstLineChars="0"/>
              <w:jc w:val="left"/>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生产用房</w:t>
            </w:r>
          </w:p>
        </w:tc>
        <w:tc>
          <w:tcPr>
            <w:tcW w:w="2131"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i w:val="0"/>
                <w:color w:val="000000"/>
                <w:spacing w:val="0"/>
                <w:w w:val="100"/>
                <w:position w:val="0"/>
                <w:sz w:val="30"/>
                <w:szCs w:val="30"/>
                <w:highlight w:val="none"/>
                <w:lang w:val="en-US" w:eastAsia="en-US" w:bidi="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91" w:type="dxa"/>
            <w:vAlign w:val="center"/>
          </w:tcPr>
          <w:p>
            <w:pPr>
              <w:widowControl w:val="0"/>
              <w:spacing w:line="240" w:lineRule="auto"/>
              <w:jc w:val="center"/>
              <w:rPr>
                <w:rStyle w:val="10"/>
                <w:rFonts w:hint="default" w:ascii="Times New Roman" w:hAnsi="Times New Roman" w:eastAsia="仿宋_GB2312" w:cs="Times New Roman"/>
                <w:b w:val="0"/>
                <w:bCs w:val="0"/>
                <w:sz w:val="30"/>
                <w:szCs w:val="30"/>
                <w:highlight w:val="none"/>
                <w:vertAlign w:val="baseline"/>
                <w:lang w:val="en-US" w:eastAsia="zh-CN"/>
              </w:rPr>
            </w:pPr>
          </w:p>
        </w:tc>
        <w:tc>
          <w:tcPr>
            <w:tcW w:w="5636" w:type="dxa"/>
            <w:vAlign w:val="center"/>
          </w:tcPr>
          <w:p>
            <w:pPr>
              <w:pStyle w:val="12"/>
              <w:keepNext w:val="0"/>
              <w:keepLines w:val="0"/>
              <w:widowControl w:val="0"/>
              <w:shd w:val="clear" w:color="auto" w:fill="auto"/>
              <w:bidi w:val="0"/>
              <w:spacing w:before="0" w:after="0" w:line="240" w:lineRule="auto"/>
              <w:ind w:left="0" w:leftChars="0" w:right="0" w:rightChars="0" w:firstLine="360" w:firstLineChars="0"/>
              <w:jc w:val="left"/>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受腐蚀生产用房</w:t>
            </w:r>
          </w:p>
        </w:tc>
        <w:tc>
          <w:tcPr>
            <w:tcW w:w="2131"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i w:val="0"/>
                <w:color w:val="000000"/>
                <w:spacing w:val="0"/>
                <w:w w:val="100"/>
                <w:position w:val="0"/>
                <w:sz w:val="30"/>
                <w:szCs w:val="30"/>
                <w:highlight w:val="none"/>
                <w:lang w:val="en-US" w:eastAsia="en-US" w:bidi="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91" w:type="dxa"/>
            <w:vAlign w:val="center"/>
          </w:tcPr>
          <w:p>
            <w:pPr>
              <w:widowControl w:val="0"/>
              <w:spacing w:line="240" w:lineRule="auto"/>
              <w:jc w:val="center"/>
              <w:rPr>
                <w:rStyle w:val="10"/>
                <w:rFonts w:hint="default" w:ascii="Times New Roman" w:hAnsi="Times New Roman" w:eastAsia="仿宋_GB2312" w:cs="Times New Roman"/>
                <w:b w:val="0"/>
                <w:bCs w:val="0"/>
                <w:sz w:val="30"/>
                <w:szCs w:val="30"/>
                <w:highlight w:val="none"/>
                <w:vertAlign w:val="baseline"/>
                <w:lang w:val="en-US" w:eastAsia="zh-CN"/>
              </w:rPr>
            </w:pPr>
          </w:p>
        </w:tc>
        <w:tc>
          <w:tcPr>
            <w:tcW w:w="5636" w:type="dxa"/>
            <w:vAlign w:val="center"/>
          </w:tcPr>
          <w:p>
            <w:pPr>
              <w:pStyle w:val="12"/>
              <w:keepNext w:val="0"/>
              <w:keepLines w:val="0"/>
              <w:widowControl w:val="0"/>
              <w:shd w:val="clear" w:color="auto" w:fill="auto"/>
              <w:bidi w:val="0"/>
              <w:spacing w:before="0" w:after="0" w:line="240" w:lineRule="auto"/>
              <w:ind w:left="0" w:leftChars="0" w:right="0" w:rightChars="0" w:firstLine="360" w:firstLineChars="0"/>
              <w:jc w:val="left"/>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非生产用房</w:t>
            </w:r>
          </w:p>
        </w:tc>
        <w:tc>
          <w:tcPr>
            <w:tcW w:w="2131"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i w:val="0"/>
                <w:color w:val="000000"/>
                <w:spacing w:val="0"/>
                <w:w w:val="100"/>
                <w:position w:val="0"/>
                <w:sz w:val="30"/>
                <w:szCs w:val="30"/>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91" w:type="dxa"/>
            <w:vAlign w:val="center"/>
          </w:tcPr>
          <w:p>
            <w:pPr>
              <w:widowControl w:val="0"/>
              <w:spacing w:line="240" w:lineRule="auto"/>
              <w:jc w:val="center"/>
              <w:rPr>
                <w:rStyle w:val="10"/>
                <w:rFonts w:hint="default" w:ascii="Times New Roman" w:hAnsi="Times New Roman" w:eastAsia="仿宋_GB2312" w:cs="Times New Roman"/>
                <w:b w:val="0"/>
                <w:bCs w:val="0"/>
                <w:sz w:val="30"/>
                <w:szCs w:val="30"/>
                <w:highlight w:val="none"/>
                <w:vertAlign w:val="baseline"/>
                <w:lang w:val="en-US" w:eastAsia="zh-CN"/>
              </w:rPr>
            </w:pPr>
          </w:p>
        </w:tc>
        <w:tc>
          <w:tcPr>
            <w:tcW w:w="5636" w:type="dxa"/>
            <w:vAlign w:val="center"/>
          </w:tcPr>
          <w:p>
            <w:pPr>
              <w:pStyle w:val="12"/>
              <w:keepNext w:val="0"/>
              <w:keepLines w:val="0"/>
              <w:widowControl w:val="0"/>
              <w:shd w:val="clear" w:color="auto" w:fill="auto"/>
              <w:bidi w:val="0"/>
              <w:spacing w:before="0" w:after="0" w:line="240" w:lineRule="auto"/>
              <w:ind w:left="0" w:leftChars="0" w:right="0" w:rightChars="0" w:firstLine="360" w:firstLineChars="0"/>
              <w:jc w:val="left"/>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简易房</w:t>
            </w:r>
          </w:p>
        </w:tc>
        <w:tc>
          <w:tcPr>
            <w:tcW w:w="2131"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i w:val="0"/>
                <w:color w:val="000000"/>
                <w:spacing w:val="0"/>
                <w:w w:val="100"/>
                <w:position w:val="0"/>
                <w:sz w:val="30"/>
                <w:szCs w:val="3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91"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六</w:t>
            </w:r>
          </w:p>
        </w:tc>
        <w:tc>
          <w:tcPr>
            <w:tcW w:w="5636"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车辆</w:t>
            </w:r>
          </w:p>
        </w:tc>
        <w:tc>
          <w:tcPr>
            <w:tcW w:w="2131"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i w:val="0"/>
                <w:color w:val="000000"/>
                <w:spacing w:val="0"/>
                <w:w w:val="100"/>
                <w:position w:val="0"/>
                <w:sz w:val="30"/>
                <w:szCs w:val="3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91" w:type="dxa"/>
            <w:vAlign w:val="center"/>
          </w:tcPr>
          <w:p>
            <w:pPr>
              <w:pStyle w:val="12"/>
              <w:keepNext w:val="0"/>
              <w:keepLines w:val="0"/>
              <w:widowControl w:val="0"/>
              <w:shd w:val="clear" w:color="auto" w:fill="auto"/>
              <w:bidi w:val="0"/>
              <w:spacing w:before="0" w:after="0" w:line="240" w:lineRule="auto"/>
              <w:ind w:right="0" w:right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七</w:t>
            </w:r>
          </w:p>
        </w:tc>
        <w:tc>
          <w:tcPr>
            <w:tcW w:w="5636"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left"/>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color w:val="000000"/>
                <w:spacing w:val="0"/>
                <w:w w:val="100"/>
                <w:position w:val="0"/>
                <w:sz w:val="30"/>
                <w:szCs w:val="30"/>
                <w:highlight w:val="none"/>
              </w:rPr>
              <w:t>其他固定资产</w:t>
            </w:r>
          </w:p>
        </w:tc>
        <w:tc>
          <w:tcPr>
            <w:tcW w:w="2131" w:type="dxa"/>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Style w:val="10"/>
                <w:rFonts w:hint="default" w:ascii="Times New Roman" w:hAnsi="Times New Roman" w:eastAsia="仿宋_GB2312" w:cs="Times New Roman"/>
                <w:b w:val="0"/>
                <w:bCs w:val="0"/>
                <w:sz w:val="30"/>
                <w:szCs w:val="30"/>
                <w:highlight w:val="none"/>
                <w:vertAlign w:val="baseline"/>
                <w:lang w:val="en-US" w:eastAsia="zh-CN"/>
              </w:rPr>
            </w:pPr>
            <w:r>
              <w:rPr>
                <w:rFonts w:hint="default" w:ascii="Times New Roman" w:hAnsi="Times New Roman" w:eastAsia="仿宋_GB2312" w:cs="Times New Roman"/>
                <w:b w:val="0"/>
                <w:bCs w:val="0"/>
                <w:i w:val="0"/>
                <w:color w:val="000000"/>
                <w:spacing w:val="0"/>
                <w:w w:val="100"/>
                <w:position w:val="0"/>
                <w:sz w:val="30"/>
                <w:szCs w:val="30"/>
                <w:highlight w:val="none"/>
                <w:lang w:val="en-US" w:eastAsia="en-US" w:bidi="en-US"/>
              </w:rPr>
              <w:t>8</w:t>
            </w:r>
          </w:p>
        </w:tc>
      </w:tr>
    </w:tbl>
    <w:p>
      <w:pPr>
        <w:keepNext w:val="0"/>
        <w:keepLines w:val="0"/>
        <w:pageBreakBefore w:val="0"/>
        <w:widowControl/>
        <w:suppressLineNumbers w:val="0"/>
        <w:kinsoku/>
        <w:wordWrap/>
        <w:overflowPunct/>
        <w:topLinePunct w:val="0"/>
        <w:autoSpaceDE/>
        <w:autoSpaceDN/>
        <w:bidi w:val="0"/>
        <w:adjustRightInd/>
        <w:snapToGrid/>
        <w:spacing w:before="157" w:beforeLines="50" w:line="240" w:lineRule="auto"/>
        <w:ind w:left="960" w:hanging="900" w:hangingChars="300"/>
        <w:jc w:val="left"/>
        <w:textAlignment w:val="auto"/>
        <w:rPr>
          <w:rFonts w:hint="default" w:ascii="Times New Roman" w:hAnsi="Times New Roman" w:eastAsia="仿宋" w:cs="Times New Roman"/>
          <w:b w:val="0"/>
          <w:bCs w:val="0"/>
          <w:sz w:val="30"/>
          <w:szCs w:val="30"/>
          <w:highlight w:val="none"/>
        </w:rPr>
      </w:pPr>
      <w:r>
        <w:rPr>
          <w:rFonts w:hint="default" w:ascii="Times New Roman" w:hAnsi="Times New Roman" w:eastAsia="仿宋" w:cs="Times New Roman"/>
          <w:b w:val="0"/>
          <w:bCs w:val="0"/>
          <w:color w:val="000000"/>
          <w:kern w:val="0"/>
          <w:sz w:val="30"/>
          <w:szCs w:val="30"/>
          <w:highlight w:val="none"/>
          <w:lang w:val="en-US" w:eastAsia="zh-CN" w:bidi="ar"/>
        </w:rPr>
        <w:t>注：</w:t>
      </w:r>
      <w:r>
        <w:rPr>
          <w:rFonts w:hint="default" w:ascii="Times New Roman" w:hAnsi="Times New Roman" w:eastAsia="仿宋" w:cs="Times New Roman"/>
          <w:b w:val="0"/>
          <w:bCs w:val="0"/>
          <w:i w:val="0"/>
          <w:color w:val="000000"/>
          <w:kern w:val="0"/>
          <w:sz w:val="30"/>
          <w:szCs w:val="30"/>
          <w:highlight w:val="none"/>
          <w:lang w:val="en-US" w:eastAsia="zh-CN" w:bidi="ar"/>
        </w:rPr>
        <w:t>1</w:t>
      </w:r>
      <w:r>
        <w:rPr>
          <w:rFonts w:hint="default" w:ascii="Times New Roman" w:hAnsi="Times New Roman" w:eastAsia="仿宋" w:cs="Times New Roman"/>
          <w:b w:val="0"/>
          <w:bCs w:val="0"/>
          <w:sz w:val="30"/>
          <w:szCs w:val="30"/>
          <w:highlight w:val="none"/>
          <w:lang w:val="en-US" w:eastAsia="zh-CN"/>
        </w:rPr>
        <w:t>.</w:t>
      </w:r>
      <w:r>
        <w:rPr>
          <w:rFonts w:hint="default" w:ascii="Times New Roman" w:hAnsi="Times New Roman" w:eastAsia="仿宋" w:cs="Times New Roman"/>
          <w:b w:val="0"/>
          <w:bCs w:val="0"/>
          <w:color w:val="000000"/>
          <w:kern w:val="0"/>
          <w:sz w:val="30"/>
          <w:szCs w:val="30"/>
          <w:highlight w:val="none"/>
          <w:lang w:val="en-US" w:eastAsia="zh-CN" w:bidi="ar"/>
        </w:rPr>
        <w:t>电子设备包括电子计算机以及电子计算机控制的数控或程控系统等；</w:t>
      </w:r>
    </w:p>
    <w:p>
      <w:pPr>
        <w:numPr>
          <w:ilvl w:val="0"/>
          <w:numId w:val="0"/>
        </w:numPr>
        <w:spacing w:line="240" w:lineRule="auto"/>
        <w:ind w:left="938" w:leftChars="304" w:hanging="300" w:hangingChars="100"/>
        <w:rPr>
          <w:rFonts w:hint="default" w:ascii="Times New Roman" w:hAnsi="Times New Roman" w:eastAsia="仿宋" w:cs="Times New Roman"/>
          <w:sz w:val="30"/>
          <w:szCs w:val="30"/>
        </w:rPr>
      </w:pPr>
      <w:r>
        <w:rPr>
          <w:rFonts w:hint="default" w:ascii="Times New Roman" w:hAnsi="Times New Roman" w:eastAsia="仿宋" w:cs="Times New Roman"/>
          <w:b w:val="0"/>
          <w:bCs w:val="0"/>
          <w:i w:val="0"/>
          <w:color w:val="000000"/>
          <w:kern w:val="0"/>
          <w:sz w:val="30"/>
          <w:szCs w:val="30"/>
          <w:highlight w:val="none"/>
          <w:lang w:val="en-US" w:eastAsia="zh-CN" w:bidi="ar"/>
        </w:rPr>
        <w:t>2</w:t>
      </w:r>
      <w:r>
        <w:rPr>
          <w:rFonts w:hint="default" w:ascii="Times New Roman" w:hAnsi="Times New Roman" w:eastAsia="仿宋" w:cs="Times New Roman"/>
          <w:b w:val="0"/>
          <w:bCs w:val="0"/>
          <w:sz w:val="30"/>
          <w:szCs w:val="30"/>
          <w:highlight w:val="none"/>
          <w:lang w:val="en-US" w:eastAsia="zh-CN"/>
        </w:rPr>
        <w:t>.</w:t>
      </w:r>
      <w:r>
        <w:rPr>
          <w:rFonts w:hint="default" w:ascii="Times New Roman" w:hAnsi="Times New Roman" w:eastAsia="仿宋" w:cs="Times New Roman"/>
          <w:b w:val="0"/>
          <w:bCs w:val="0"/>
          <w:color w:val="000000"/>
          <w:kern w:val="0"/>
          <w:sz w:val="30"/>
          <w:szCs w:val="30"/>
          <w:highlight w:val="none"/>
          <w:lang w:val="en-US" w:eastAsia="zh-CN" w:bidi="ar"/>
        </w:rPr>
        <w:t>简易房是指简易结构房屋，如门岗用房、存放及遮盖物品用房等</w:t>
      </w:r>
      <w:r>
        <w:rPr>
          <w:rFonts w:hint="eastAsia" w:ascii="Times New Roman" w:hAnsi="Times New Roman" w:eastAsia="仿宋" w:cs="Times New Roman"/>
          <w:b w:val="0"/>
          <w:bCs w:val="0"/>
          <w:color w:val="000000"/>
          <w:kern w:val="0"/>
          <w:sz w:val="30"/>
          <w:szCs w:val="30"/>
          <w:highlight w:val="none"/>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C47D8"/>
    <w:rsid w:val="0024605B"/>
    <w:rsid w:val="004B409C"/>
    <w:rsid w:val="0065074C"/>
    <w:rsid w:val="006A7CFF"/>
    <w:rsid w:val="007A1D48"/>
    <w:rsid w:val="007B1A2B"/>
    <w:rsid w:val="007D3A72"/>
    <w:rsid w:val="00A4674A"/>
    <w:rsid w:val="00C674AC"/>
    <w:rsid w:val="02054142"/>
    <w:rsid w:val="033D5FBA"/>
    <w:rsid w:val="038C16B7"/>
    <w:rsid w:val="03912C09"/>
    <w:rsid w:val="069B6B54"/>
    <w:rsid w:val="06AE7A9F"/>
    <w:rsid w:val="06DC7C51"/>
    <w:rsid w:val="078539E4"/>
    <w:rsid w:val="08A12578"/>
    <w:rsid w:val="090A7D51"/>
    <w:rsid w:val="09A55D15"/>
    <w:rsid w:val="0A3A7A34"/>
    <w:rsid w:val="0A6163BA"/>
    <w:rsid w:val="0C69053D"/>
    <w:rsid w:val="0CE258C9"/>
    <w:rsid w:val="0D36273D"/>
    <w:rsid w:val="0D5F2598"/>
    <w:rsid w:val="0E444DD1"/>
    <w:rsid w:val="0F9A799B"/>
    <w:rsid w:val="102A55F1"/>
    <w:rsid w:val="103C25DB"/>
    <w:rsid w:val="10A368AA"/>
    <w:rsid w:val="128E1275"/>
    <w:rsid w:val="130E697A"/>
    <w:rsid w:val="13673BCC"/>
    <w:rsid w:val="14177B29"/>
    <w:rsid w:val="1457018B"/>
    <w:rsid w:val="17F60644"/>
    <w:rsid w:val="18207B3E"/>
    <w:rsid w:val="1969093D"/>
    <w:rsid w:val="1A86777B"/>
    <w:rsid w:val="1A8C5A04"/>
    <w:rsid w:val="1C3A6528"/>
    <w:rsid w:val="1D38549C"/>
    <w:rsid w:val="1E361AEC"/>
    <w:rsid w:val="1F4E5861"/>
    <w:rsid w:val="1F645754"/>
    <w:rsid w:val="1FD37EE1"/>
    <w:rsid w:val="247E737F"/>
    <w:rsid w:val="24CA3484"/>
    <w:rsid w:val="252B6458"/>
    <w:rsid w:val="25AC76AF"/>
    <w:rsid w:val="261A3285"/>
    <w:rsid w:val="2625200E"/>
    <w:rsid w:val="26E34496"/>
    <w:rsid w:val="26E56DDD"/>
    <w:rsid w:val="26F12614"/>
    <w:rsid w:val="275E012A"/>
    <w:rsid w:val="27E31EF0"/>
    <w:rsid w:val="27E41B84"/>
    <w:rsid w:val="280E5892"/>
    <w:rsid w:val="284A7126"/>
    <w:rsid w:val="286A7A6C"/>
    <w:rsid w:val="28B9658F"/>
    <w:rsid w:val="29312D75"/>
    <w:rsid w:val="2AB5078E"/>
    <w:rsid w:val="2B003CCC"/>
    <w:rsid w:val="2BF126F6"/>
    <w:rsid w:val="2C3F3DBC"/>
    <w:rsid w:val="2C4A064C"/>
    <w:rsid w:val="2D012B6B"/>
    <w:rsid w:val="2D3202DC"/>
    <w:rsid w:val="2D864896"/>
    <w:rsid w:val="2EA47937"/>
    <w:rsid w:val="2EA96C3E"/>
    <w:rsid w:val="30042A64"/>
    <w:rsid w:val="30314816"/>
    <w:rsid w:val="30D43E52"/>
    <w:rsid w:val="30E104E1"/>
    <w:rsid w:val="3142235B"/>
    <w:rsid w:val="32AD6083"/>
    <w:rsid w:val="32F4692A"/>
    <w:rsid w:val="340D6445"/>
    <w:rsid w:val="347A0B9F"/>
    <w:rsid w:val="36225240"/>
    <w:rsid w:val="365A3F00"/>
    <w:rsid w:val="373556D8"/>
    <w:rsid w:val="37470BC3"/>
    <w:rsid w:val="3774049A"/>
    <w:rsid w:val="38AF7076"/>
    <w:rsid w:val="39904316"/>
    <w:rsid w:val="3A591146"/>
    <w:rsid w:val="3BCB218C"/>
    <w:rsid w:val="3CB1122A"/>
    <w:rsid w:val="3D9A00A0"/>
    <w:rsid w:val="3E4A7626"/>
    <w:rsid w:val="3ECD7273"/>
    <w:rsid w:val="3FE668AF"/>
    <w:rsid w:val="400C45B1"/>
    <w:rsid w:val="40425B28"/>
    <w:rsid w:val="40A46AD6"/>
    <w:rsid w:val="410A0F86"/>
    <w:rsid w:val="420C753D"/>
    <w:rsid w:val="432C3BCC"/>
    <w:rsid w:val="43685976"/>
    <w:rsid w:val="438C1F79"/>
    <w:rsid w:val="446F0096"/>
    <w:rsid w:val="44CE62AE"/>
    <w:rsid w:val="457C0730"/>
    <w:rsid w:val="459056AC"/>
    <w:rsid w:val="46ED2433"/>
    <w:rsid w:val="46EF14F2"/>
    <w:rsid w:val="487257C0"/>
    <w:rsid w:val="49E55278"/>
    <w:rsid w:val="4A263CD7"/>
    <w:rsid w:val="4AF52274"/>
    <w:rsid w:val="4C773CFC"/>
    <w:rsid w:val="4C863CFB"/>
    <w:rsid w:val="4E4E1456"/>
    <w:rsid w:val="4FD429FC"/>
    <w:rsid w:val="4FED048D"/>
    <w:rsid w:val="50467CF4"/>
    <w:rsid w:val="5058311D"/>
    <w:rsid w:val="50CD06C7"/>
    <w:rsid w:val="50D258B2"/>
    <w:rsid w:val="50F145A0"/>
    <w:rsid w:val="53B6459B"/>
    <w:rsid w:val="55D07B18"/>
    <w:rsid w:val="564F0EA1"/>
    <w:rsid w:val="56CE436B"/>
    <w:rsid w:val="571E32FE"/>
    <w:rsid w:val="5724204C"/>
    <w:rsid w:val="59280F64"/>
    <w:rsid w:val="5950780A"/>
    <w:rsid w:val="59653B92"/>
    <w:rsid w:val="59846EC3"/>
    <w:rsid w:val="59C73A60"/>
    <w:rsid w:val="5A96276B"/>
    <w:rsid w:val="5BD77C2E"/>
    <w:rsid w:val="5CAF1E9B"/>
    <w:rsid w:val="5DFD27AA"/>
    <w:rsid w:val="5F507B4C"/>
    <w:rsid w:val="5FB84A48"/>
    <w:rsid w:val="5FC155A1"/>
    <w:rsid w:val="5FFC0A2F"/>
    <w:rsid w:val="613E0EFF"/>
    <w:rsid w:val="62075FC9"/>
    <w:rsid w:val="62291E7D"/>
    <w:rsid w:val="62C65E12"/>
    <w:rsid w:val="647C0F9B"/>
    <w:rsid w:val="64FA5892"/>
    <w:rsid w:val="650E5FF2"/>
    <w:rsid w:val="65460D12"/>
    <w:rsid w:val="65AA6E07"/>
    <w:rsid w:val="6600546C"/>
    <w:rsid w:val="669137D7"/>
    <w:rsid w:val="69C3745D"/>
    <w:rsid w:val="6A3B36A8"/>
    <w:rsid w:val="6A77635E"/>
    <w:rsid w:val="6CF01A04"/>
    <w:rsid w:val="6DA2675C"/>
    <w:rsid w:val="6DBF439D"/>
    <w:rsid w:val="6E175B05"/>
    <w:rsid w:val="6E4C6763"/>
    <w:rsid w:val="6F5161E3"/>
    <w:rsid w:val="6F734AFA"/>
    <w:rsid w:val="6FED7E65"/>
    <w:rsid w:val="70586723"/>
    <w:rsid w:val="711E4177"/>
    <w:rsid w:val="71C2099B"/>
    <w:rsid w:val="724D3A4D"/>
    <w:rsid w:val="727307D2"/>
    <w:rsid w:val="738C10C8"/>
    <w:rsid w:val="745444E7"/>
    <w:rsid w:val="76273976"/>
    <w:rsid w:val="770751E9"/>
    <w:rsid w:val="77904560"/>
    <w:rsid w:val="77BD0C3E"/>
    <w:rsid w:val="77E109CF"/>
    <w:rsid w:val="787C04A3"/>
    <w:rsid w:val="79DB6747"/>
    <w:rsid w:val="7B403369"/>
    <w:rsid w:val="7BBB5D4C"/>
    <w:rsid w:val="7C657BFD"/>
    <w:rsid w:val="7D620848"/>
    <w:rsid w:val="7D976347"/>
    <w:rsid w:val="7E8601FF"/>
    <w:rsid w:val="7EA41CAE"/>
    <w:rsid w:val="7EF930E0"/>
    <w:rsid w:val="7F217B57"/>
    <w:rsid w:val="7F5A7E1A"/>
    <w:rsid w:val="7F6670E6"/>
    <w:rsid w:val="7F9E3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tabs>
        <w:tab w:val="left" w:pos="0"/>
        <w:tab w:val="left" w:pos="512"/>
        <w:tab w:val="left" w:pos="7560"/>
      </w:tabs>
      <w:spacing w:line="600" w:lineRule="exact"/>
      <w:jc w:val="center"/>
      <w:outlineLvl w:val="0"/>
    </w:pPr>
    <w:rPr>
      <w:rFonts w:ascii="宋体" w:hAnsi="宋体" w:eastAsia="方正小标宋简体" w:cs="Times New Roman"/>
      <w:sz w:val="44"/>
      <w:szCs w:val="32"/>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basedOn w:val="8"/>
    <w:link w:val="2"/>
    <w:qFormat/>
    <w:uiPriority w:val="0"/>
    <w:rPr>
      <w:rFonts w:ascii="宋体" w:hAnsi="宋体" w:eastAsia="方正小标宋简体" w:cs="Times New Roman"/>
      <w:sz w:val="44"/>
      <w:szCs w:val="32"/>
    </w:rPr>
  </w:style>
  <w:style w:type="character" w:customStyle="1" w:styleId="10">
    <w:name w:val="Hyperlink.0"/>
    <w:qFormat/>
    <w:uiPriority w:val="0"/>
    <w:rPr>
      <w:rFonts w:ascii="仿宋_GB2312" w:hAnsi="仿宋_GB2312" w:eastAsia="仿宋_GB2312" w:cs="仿宋_GB2312"/>
      <w:lang w:val="zh-TW" w:eastAsia="zh-TW"/>
    </w:rPr>
  </w:style>
  <w:style w:type="paragraph" w:customStyle="1" w:styleId="11">
    <w:name w:val="正文文本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120" w:afterLines="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32"/>
      <w:szCs w:val="32"/>
      <w:u w:val="none" w:color="000000"/>
      <w:vertAlign w:val="baseline"/>
      <w:lang w:val="en-US"/>
    </w:rPr>
  </w:style>
  <w:style w:type="paragraph" w:customStyle="1" w:styleId="12">
    <w:name w:val="Other|1"/>
    <w:basedOn w:val="1"/>
    <w:qFormat/>
    <w:uiPriority w:val="0"/>
    <w:pPr>
      <w:widowControl w:val="0"/>
      <w:shd w:val="clear" w:color="auto" w:fill="auto"/>
    </w:pPr>
    <w:rPr>
      <w:rFonts w:ascii="宋体" w:hAnsi="宋体" w:eastAsia="宋体" w:cs="宋体"/>
      <w:sz w:val="13"/>
      <w:szCs w:val="13"/>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3</Pages>
  <Words>157</Words>
  <Characters>895</Characters>
  <Lines>7</Lines>
  <Paragraphs>2</Paragraphs>
  <TotalTime>3</TotalTime>
  <ScaleCrop>false</ScaleCrop>
  <LinksUpToDate>false</LinksUpToDate>
  <CharactersWithSpaces>1050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2022-02-28T10:14:00Z</dcterms:created>
  <dc:creator>MV</dc:creator>
  <cp:lastModifiedBy>马物</cp:lastModifiedBy>
  <cp:lastPrinted>2022-03-02T07:05:00Z</cp:lastPrinted>
  <dcterms:modified xsi:type="dcterms:W3CDTF">2022-03-02T08:34:57Z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C2F652140E5A46909657F3D28B3E6327</vt:lpwstr>
  </property>
</Properties>
</file>