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Cs w:val="32"/>
        </w:rPr>
        <w:t>附件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22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2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22"/>
        </w:rPr>
        <w:t>工程概算核定表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1842"/>
        <w:gridCol w:w="1276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项目或费用名称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规模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概算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工程总概算（一+二+三）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63081.77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工程费用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55632.27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旅客航站区工程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35517.81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北指廊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12681平方米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14853.33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T1航站楼改造为国际航站楼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10614平方米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6932.93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地下停车库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12310平方米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8186.01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总体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13695平方米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1383.84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1.4.1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室外总体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13695平方米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1263.84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1.4.2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停车系统及设施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弱电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3996.45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1.6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桥载电源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165.25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场道工程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6018.11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土方及地基处理工程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1439.42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土方工程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91.17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地基处理工程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82110平方米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1348.25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振冲桩375331m，地基处理挖方74637m³、填方48749m³，天然级配砂砾石整片碾压层24633m³。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道面工程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4237.94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排水工程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340.75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助航灯光及机坪照明工程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722.42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助航灯光系统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188.28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机坪照明及机务用电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534.14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消防工程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271.23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空管工程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10261.96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航管工程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490.82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将《关于榆林榆阳机场二期扩建工程初步设计及概算的批复》尚未实施航管工艺部分和本期航管工艺进行了整体设计，总投资3912.66万元。其中二期扩建初设已批复3421.84万元。本项目仅计列490.82万元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气象工程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156.47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同上，将二期工程尚未实施气象工艺和本期气象工程进行了整体设计，总投资235.61万元。其中二期扩建初设已批复79.14万元。本项目仅计列156.47万元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航管信息楼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5102.62平方米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2936.12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将《关于榆林榆阳机场二期扩建工程初步设计及概算的批复》中尚未实施的信息中心和本期航管楼合建，总投资3683.12万元。其中二期扩建初设已批复747万元，本项目仅计列2936.12万元。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塔台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1130.65平方米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5356.24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门卫室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27平方米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55.27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油机房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367.25平方米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139.07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室外工程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592.06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信息中心工艺及塔台工作区安防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246.19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同5.3航管信息楼备注。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空管设备配电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289.72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国际货运用房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1200.8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总图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168.14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土建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689.12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给排水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55.26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暖通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39.63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电气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37.26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6.6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弱电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999.2平方米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211.39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公用配套设施工程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737.94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污水处理厂工艺（扩容）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117.45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锅炉房工艺（扩容）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163.94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35kV降压站工艺（扩容）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456.55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特种车辆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牵引车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交流电源车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气源车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空调车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普通客梯车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8.6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机场摆渡车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工程建设其他费用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5612.17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项目建设管理费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639.7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工程建设临时设施费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350.48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可行性研究费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可行性研究报告编制费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环境影响报告书编制费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专项研究试验费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节能、消防、安全等专篇编制费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塔台风洞试验费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塔台消防性能化研究费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塔台位置及高度论证报告编制费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勘察设计费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勘察测量费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5.2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设计费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施工图审查费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83.45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招标代理费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64.61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建设监理费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1086.91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生产职工培训费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200人次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办公及生活家器具购置费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200人次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工程造价咨询服务费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383.75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不停航施工增加费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418.46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联合试运转费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高可靠性供电费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安全生产费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262.81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按民航专业工程建安费的1.5%计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主体检测、地基检测等检测费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水土保持措施费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民航专业工程第三方检测费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基本预备费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1837.33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（一+二）×3.0%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工程总概算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63081.77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1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34FB"/>
    <w:rsid w:val="61E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2020-10-19T09:05:00Z</dcterms:created>
  <dc:creator>admin</dc:creator>
  <cp:lastModifiedBy>admin</cp:lastModifiedBy>
  <dcterms:modified xsi:type="dcterms:W3CDTF">2020-10-19T09:05:50Z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