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黑体"/>
          <w:sz w:val="32"/>
          <w:szCs w:val="32"/>
          <w:lang w:val="en-US" w:eastAsia="zh-CN"/>
        </w:rPr>
        <w:t>煤炭储备能力建设2020年中央预算内投资和省级预算内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黑体"/>
          <w:sz w:val="32"/>
          <w:szCs w:val="32"/>
          <w:lang w:val="en-US" w:eastAsia="zh-CN"/>
        </w:rPr>
        <w:t>基本建设资金计划绩效表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246"/>
        <w:gridCol w:w="1638"/>
        <w:gridCol w:w="2218"/>
        <w:gridCol w:w="1717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专项名称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煤炭储备能力建设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下达地方或单位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陕西煤业化工集团有限责任公司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本次下达中央预算内投资（万元）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6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本次下达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省级预算内基本建设资金（万元）</w:t>
            </w:r>
          </w:p>
        </w:tc>
        <w:tc>
          <w:tcPr>
            <w:tcW w:w="33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总体目标</w:t>
            </w:r>
          </w:p>
        </w:tc>
        <w:tc>
          <w:tcPr>
            <w:tcW w:w="84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/>
              </w:rPr>
              <w:t>在榆神矿区周边，包西铁路和浩吉铁路沿线，结合榆林地区煤炭资源生产、运输和消费实际，按照“政府给政策、政府可调度、市场化运作”的原则，精心谋划、精准着力，积极履行社会责任，如期完成新增煤炭静态储备能力20万吨，促进煤炭供需平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3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绩效指标</w:t>
            </w:r>
          </w:p>
        </w:tc>
        <w:tc>
          <w:tcPr>
            <w:tcW w:w="12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实施效果指标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3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建设项目数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项目验收质量合格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项目按期完成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工程进度符合计划要求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3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对煤炭供需平衡的促进作用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基本公共服务提升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达到环评审批要求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符合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适应未来一定时期环保需求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3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公众对环境质量满意度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过程管理指标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计划管理指标</w:t>
            </w:r>
          </w:p>
        </w:tc>
        <w:tc>
          <w:tcPr>
            <w:tcW w:w="3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投资计划转发用时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≤10个工作日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“两个责任”按项目落实到位率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资金管理指标</w:t>
            </w:r>
          </w:p>
        </w:tc>
        <w:tc>
          <w:tcPr>
            <w:tcW w:w="3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中央预算内投资支付率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总投资完成率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项目管理指标</w:t>
            </w:r>
          </w:p>
        </w:tc>
        <w:tc>
          <w:tcPr>
            <w:tcW w:w="3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项目开工率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超规模、超标准、超概算项目比例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监督检查指标</w:t>
            </w:r>
          </w:p>
        </w:tc>
        <w:tc>
          <w:tcPr>
            <w:tcW w:w="39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vertAlign w:val="baseline"/>
                <w:lang w:val="en-US" w:eastAsia="zh-CN"/>
              </w:rPr>
              <w:t>审计、督察、巡视等指出问题项目比例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C720D"/>
    <w:rsid w:val="7FDC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2020-10-19T09:12:00Z</dcterms:created>
  <dc:creator>admin</dc:creator>
  <cp:lastModifiedBy>admin</cp:lastModifiedBy>
  <dcterms:modified xsi:type="dcterms:W3CDTF">2020-10-19T09:12:59Z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