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textAlignment w:val="auto"/>
        <w:outlineLvl w:val="9"/>
        <w:rPr>
          <w:rFonts w:hint="eastAsia" w:ascii="黑体" w:hAnsi="黑体" w:eastAsia="黑体" w:cs="Times New Roman"/>
          <w:sz w:val="32"/>
          <w:szCs w:val="30"/>
        </w:rPr>
      </w:pPr>
      <w:r>
        <w:rPr>
          <w:rFonts w:hint="eastAsia" w:ascii="黑体" w:hAnsi="黑体" w:eastAsia="黑体" w:cs="Times New Roman"/>
          <w:sz w:val="32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586" w:firstLineChars="200"/>
        <w:textAlignment w:val="auto"/>
        <w:outlineLvl w:val="9"/>
        <w:rPr>
          <w:rFonts w:hint="default" w:ascii="Times New Roman" w:hAnsi="Times New Roman" w:eastAsia="方正仿宋_GBK"/>
          <w:sz w:val="30"/>
          <w:szCs w:val="30"/>
        </w:rPr>
      </w:pPr>
      <w:r>
        <w:rPr>
          <w:rFonts w:hint="default" w:ascii="Times New Roman" w:hAnsi="Times New Roman" w:eastAsia="方正仿宋_GBK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44"/>
          <w:szCs w:val="40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0"/>
          <w:lang w:val="en-US" w:eastAsia="zh-CN"/>
        </w:rPr>
        <w:t>2021年投资建议计划参考提纲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586" w:firstLineChars="200"/>
        <w:textAlignment w:val="auto"/>
        <w:outlineLvl w:val="9"/>
        <w:rPr>
          <w:rFonts w:hint="eastAsia"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黑体" w:hAnsi="黑体" w:eastAsia="黑体" w:cs="方正黑体_GBK"/>
          <w:sz w:val="32"/>
          <w:szCs w:val="30"/>
          <w:lang w:val="en-US" w:eastAsia="zh-CN"/>
        </w:rPr>
      </w:pPr>
      <w:r>
        <w:rPr>
          <w:rFonts w:hint="eastAsia" w:ascii="黑体" w:hAnsi="黑体" w:eastAsia="黑体" w:cs="方正黑体_GBK"/>
          <w:sz w:val="32"/>
          <w:szCs w:val="30"/>
          <w:lang w:val="en-US" w:eastAsia="zh-CN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包括工作思路和主要目标等。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黑体" w:hAnsi="黑体" w:eastAsia="黑体" w:cs="方正黑体_GBK"/>
          <w:sz w:val="32"/>
          <w:szCs w:val="30"/>
          <w:lang w:val="en-US" w:eastAsia="zh-CN"/>
        </w:rPr>
      </w:pPr>
      <w:r>
        <w:rPr>
          <w:rFonts w:hint="eastAsia" w:ascii="黑体" w:hAnsi="黑体" w:eastAsia="黑体" w:cs="方正黑体_GBK"/>
          <w:sz w:val="32"/>
          <w:szCs w:val="30"/>
          <w:lang w:val="en-US" w:eastAsia="zh-CN"/>
        </w:rPr>
        <w:t>二、建设内容和资金需求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仿宋_GB2312" w:hAnsi="仿宋_GB2312" w:eastAsia="仿宋_GB2312" w:cs="楷体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楷体"/>
          <w:sz w:val="32"/>
          <w:szCs w:val="30"/>
          <w:lang w:val="en-US" w:eastAsia="zh-CN"/>
        </w:rPr>
        <w:t>（一）实施范围、建设领域、受益对象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仿宋_GB2312" w:hAnsi="仿宋_GB2312" w:eastAsia="仿宋_GB2312" w:cs="楷体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楷体"/>
          <w:sz w:val="32"/>
          <w:szCs w:val="30"/>
          <w:lang w:val="en-US" w:eastAsia="zh-CN"/>
        </w:rPr>
        <w:t>（二）主要建设内容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仿宋_GB2312" w:hAnsi="仿宋_GB2312" w:eastAsia="仿宋_GB2312" w:cs="楷体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楷体"/>
          <w:sz w:val="32"/>
          <w:szCs w:val="30"/>
          <w:lang w:val="en-US" w:eastAsia="zh-CN"/>
        </w:rPr>
        <w:t>（三）资金需求及筹措渠道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含中央、省、市、县各级投入和其他地方财政性建设资金等。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黑体" w:hAnsi="黑体" w:eastAsia="黑体" w:cs="方正黑体_GBK"/>
          <w:sz w:val="32"/>
          <w:szCs w:val="30"/>
          <w:lang w:val="en-US" w:eastAsia="zh-CN"/>
        </w:rPr>
      </w:pPr>
      <w:r>
        <w:rPr>
          <w:rFonts w:hint="eastAsia" w:ascii="黑体" w:hAnsi="黑体" w:eastAsia="黑体" w:cs="方正黑体_GBK"/>
          <w:sz w:val="32"/>
          <w:szCs w:val="30"/>
          <w:lang w:val="en-US" w:eastAsia="zh-CN"/>
        </w:rPr>
        <w:t>三、赈济方式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包括预计带动群众务工人数、发放劳务报酬金额，开展就业技能培训、公益性岗位设置、资产折股量化分红等情况，特别是辐射带动易地扶贫搬迁脱贫群众情况。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黑体" w:hAnsi="黑体" w:eastAsia="黑体" w:cs="方正黑体_GBK"/>
          <w:sz w:val="32"/>
          <w:szCs w:val="30"/>
          <w:lang w:val="en-US" w:eastAsia="zh-CN"/>
        </w:rPr>
      </w:pPr>
      <w:r>
        <w:rPr>
          <w:rFonts w:hint="eastAsia" w:ascii="黑体" w:hAnsi="黑体" w:eastAsia="黑体" w:cs="方正黑体_GBK"/>
          <w:sz w:val="32"/>
          <w:szCs w:val="30"/>
          <w:lang w:val="en-US" w:eastAsia="zh-CN"/>
        </w:rPr>
        <w:t>四、项目前期工作落实情况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包括在国家重大建设项目库中储备情况，项目审批、核准、备案等前期手续完备情况，劳务报酬发放情况的前期审核、论证情况，“资金跟着项目走、项目带着就业走”落实情况等内容。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黑体" w:hAnsi="黑体" w:eastAsia="黑体" w:cs="方正黑体_GBK"/>
          <w:sz w:val="32"/>
          <w:szCs w:val="30"/>
        </w:rPr>
      </w:pPr>
      <w:r>
        <w:rPr>
          <w:rFonts w:hint="eastAsia" w:ascii="黑体" w:hAnsi="黑体" w:eastAsia="黑体" w:cs="方正黑体_GBK"/>
          <w:sz w:val="32"/>
          <w:szCs w:val="30"/>
          <w:lang w:val="en-US" w:eastAsia="zh-CN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8" w:lineRule="atLeast"/>
        <w:ind w:firstLine="626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其他需补充内容。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47CC4"/>
    <w:rsid w:val="6214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2021-02-20T09:03:00Z</dcterms:created>
  <dc:creator>许文宇</dc:creator>
  <cp:lastModifiedBy>许文宇</cp:lastModifiedBy>
  <dcterms:modified xsi:type="dcterms:W3CDTF">2021-02-20T09:04:15Z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