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  <w:t>2021年易地扶贫搬迁后续扶持省级预算内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  <w:lang w:val="en-US" w:eastAsia="zh-CN"/>
        </w:rPr>
        <w:t>投资计划参考规模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322"/>
        <w:gridCol w:w="5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市</w:t>
            </w:r>
          </w:p>
        </w:tc>
        <w:tc>
          <w:tcPr>
            <w:tcW w:w="5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投资规模（万元）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9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陕西省</w:t>
            </w:r>
          </w:p>
        </w:tc>
        <w:tc>
          <w:tcPr>
            <w:tcW w:w="51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宝鸡市</w:t>
            </w:r>
          </w:p>
        </w:tc>
        <w:tc>
          <w:tcPr>
            <w:tcW w:w="5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咸阳市</w:t>
            </w:r>
          </w:p>
        </w:tc>
        <w:tc>
          <w:tcPr>
            <w:tcW w:w="5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铜川市</w:t>
            </w:r>
          </w:p>
        </w:tc>
        <w:tc>
          <w:tcPr>
            <w:tcW w:w="5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渭南市</w:t>
            </w:r>
          </w:p>
        </w:tc>
        <w:tc>
          <w:tcPr>
            <w:tcW w:w="5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延安市</w:t>
            </w:r>
          </w:p>
        </w:tc>
        <w:tc>
          <w:tcPr>
            <w:tcW w:w="5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榆林市</w:t>
            </w:r>
          </w:p>
        </w:tc>
        <w:tc>
          <w:tcPr>
            <w:tcW w:w="5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汉中市</w:t>
            </w:r>
          </w:p>
        </w:tc>
        <w:tc>
          <w:tcPr>
            <w:tcW w:w="5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安康市</w:t>
            </w:r>
          </w:p>
        </w:tc>
        <w:tc>
          <w:tcPr>
            <w:tcW w:w="5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商洛市</w:t>
            </w:r>
          </w:p>
        </w:tc>
        <w:tc>
          <w:tcPr>
            <w:tcW w:w="5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800</w:t>
            </w:r>
          </w:p>
        </w:tc>
      </w:tr>
    </w:tbl>
    <w:p>
      <w:pPr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spacing w:line="597" w:lineRule="exact"/>
        <w:rPr>
          <w:rFonts w:hint="eastAsia"/>
          <w:color w:val="auto"/>
          <w:sz w:val="28"/>
          <w:szCs w:val="28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B1E88"/>
    <w:rsid w:val="315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2021-03-12T09:29:00Z</dcterms:created>
  <dc:creator>许文宇</dc:creator>
  <cp:lastModifiedBy>许文宇</cp:lastModifiedBy>
  <dcterms:modified xsi:type="dcterms:W3CDTF">2021-03-12T09:29:56Z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