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Times New Roman" w:hAnsi="Times New Roman" w:eastAsia="仿宋_GB2312" w:cs="Times New Roman"/>
          <w:sz w:val="32"/>
          <w:szCs w:val="32"/>
        </w:rPr>
      </w:pPr>
    </w:p>
    <w:p>
      <w:pPr>
        <w:pStyle w:val="2"/>
        <w:ind w:firstLine="640"/>
        <w:rPr>
          <w:rFonts w:eastAsia="仿宋_GB2312"/>
          <w:sz w:val="32"/>
          <w:szCs w:val="32"/>
        </w:rPr>
      </w:pPr>
    </w:p>
    <w:p>
      <w:pPr>
        <w:pStyle w:val="2"/>
        <w:ind w:firstLine="640"/>
        <w:rPr>
          <w:rFonts w:eastAsia="仿宋_GB2312"/>
          <w:sz w:val="32"/>
          <w:szCs w:val="32"/>
        </w:rPr>
      </w:pPr>
    </w:p>
    <w:p>
      <w:pPr>
        <w:pStyle w:val="2"/>
        <w:ind w:firstLine="640"/>
        <w:rPr>
          <w:rFonts w:eastAsia="仿宋_GB2312"/>
          <w:sz w:val="32"/>
          <w:szCs w:val="32"/>
        </w:rPr>
      </w:pPr>
    </w:p>
    <w:p>
      <w:pPr>
        <w:adjustRightInd w:val="0"/>
        <w:snapToGrid w:val="0"/>
        <w:spacing w:line="580" w:lineRule="exact"/>
        <w:jc w:val="center"/>
        <w:rPr>
          <w:rFonts w:ascii="宋体" w:hAnsi="宋体" w:eastAsia="宋体" w:cs="Times New Roman"/>
          <w:b/>
          <w:sz w:val="52"/>
          <w:szCs w:val="44"/>
        </w:rPr>
      </w:pPr>
      <w:r>
        <w:rPr>
          <w:rFonts w:hint="eastAsia" w:ascii="宋体" w:hAnsi="宋体" w:eastAsia="宋体" w:cs="Times New Roman"/>
          <w:b/>
          <w:sz w:val="52"/>
          <w:szCs w:val="44"/>
        </w:rPr>
        <w:t>陕西省电动汽车充电基础设施</w:t>
      </w:r>
    </w:p>
    <w:p>
      <w:pPr>
        <w:adjustRightInd w:val="0"/>
        <w:snapToGrid w:val="0"/>
        <w:spacing w:before="100" w:beforeAutospacing="1" w:line="580" w:lineRule="exact"/>
        <w:jc w:val="center"/>
        <w:rPr>
          <w:rFonts w:ascii="宋体" w:hAnsi="宋体" w:eastAsia="宋体" w:cs="Times New Roman"/>
          <w:b/>
          <w:sz w:val="52"/>
          <w:szCs w:val="44"/>
        </w:rPr>
      </w:pPr>
      <w:r>
        <w:rPr>
          <w:rFonts w:ascii="宋体" w:hAnsi="宋体" w:eastAsia="宋体" w:cs="Times New Roman"/>
          <w:b/>
          <w:sz w:val="52"/>
          <w:szCs w:val="44"/>
        </w:rPr>
        <w:t>“</w:t>
      </w:r>
      <w:r>
        <w:rPr>
          <w:rFonts w:hint="eastAsia" w:ascii="宋体" w:hAnsi="宋体" w:eastAsia="宋体" w:cs="Times New Roman"/>
          <w:b/>
          <w:sz w:val="52"/>
          <w:szCs w:val="44"/>
        </w:rPr>
        <w:t>十四五</w:t>
      </w:r>
      <w:r>
        <w:rPr>
          <w:rFonts w:ascii="宋体" w:hAnsi="宋体" w:eastAsia="宋体" w:cs="Times New Roman"/>
          <w:b/>
          <w:sz w:val="52"/>
          <w:szCs w:val="44"/>
        </w:rPr>
        <w:t>”</w:t>
      </w:r>
      <w:r>
        <w:rPr>
          <w:rFonts w:hint="eastAsia" w:ascii="宋体" w:hAnsi="宋体" w:eastAsia="宋体" w:cs="Times New Roman"/>
          <w:b/>
          <w:sz w:val="52"/>
          <w:szCs w:val="44"/>
        </w:rPr>
        <w:t>发展规划</w:t>
      </w:r>
    </w:p>
    <w:p>
      <w:pPr>
        <w:pStyle w:val="2"/>
        <w:spacing w:line="580" w:lineRule="exact"/>
        <w:ind w:firstLine="640"/>
        <w:rPr>
          <w:rFonts w:eastAsia="仿宋_GB2312"/>
          <w:sz w:val="32"/>
          <w:szCs w:val="32"/>
        </w:rPr>
      </w:pPr>
    </w:p>
    <w:p>
      <w:pPr>
        <w:pStyle w:val="2"/>
        <w:spacing w:line="580" w:lineRule="exact"/>
        <w:ind w:firstLine="640"/>
        <w:rPr>
          <w:rFonts w:eastAsia="仿宋_GB2312"/>
          <w:sz w:val="32"/>
          <w:szCs w:val="32"/>
        </w:rPr>
      </w:pPr>
    </w:p>
    <w:p>
      <w:pPr>
        <w:pStyle w:val="2"/>
        <w:spacing w:line="580" w:lineRule="exact"/>
        <w:ind w:firstLine="640"/>
        <w:rPr>
          <w:rFonts w:eastAsia="仿宋_GB2312"/>
          <w:sz w:val="32"/>
          <w:szCs w:val="32"/>
        </w:rPr>
      </w:pPr>
    </w:p>
    <w:p>
      <w:pPr>
        <w:pStyle w:val="2"/>
        <w:spacing w:line="580" w:lineRule="exact"/>
        <w:ind w:firstLine="640"/>
        <w:rPr>
          <w:rFonts w:eastAsia="仿宋_GB2312"/>
          <w:sz w:val="32"/>
          <w:szCs w:val="32"/>
        </w:rPr>
      </w:pPr>
    </w:p>
    <w:p>
      <w:pPr>
        <w:adjustRightInd w:val="0"/>
        <w:snapToGrid w:val="0"/>
        <w:spacing w:line="580" w:lineRule="exact"/>
        <w:rPr>
          <w:rFonts w:ascii="Times New Roman" w:hAnsi="Times New Roman" w:eastAsia="仿宋_GB2312" w:cs="Times New Roman"/>
          <w:sz w:val="32"/>
          <w:szCs w:val="32"/>
        </w:rPr>
      </w:pPr>
    </w:p>
    <w:p>
      <w:pPr>
        <w:pStyle w:val="2"/>
      </w:pPr>
    </w:p>
    <w:p>
      <w:pPr>
        <w:pStyle w:val="2"/>
      </w:pPr>
    </w:p>
    <w:p>
      <w:pPr>
        <w:pStyle w:val="2"/>
      </w:pPr>
    </w:p>
    <w:p>
      <w:pPr>
        <w:pStyle w:val="2"/>
      </w:pPr>
    </w:p>
    <w:p>
      <w:pPr>
        <w:pStyle w:val="2"/>
      </w:pPr>
    </w:p>
    <w:p>
      <w:pPr>
        <w:adjustRightInd w:val="0"/>
        <w:snapToGrid w:val="0"/>
        <w:spacing w:line="580" w:lineRule="exact"/>
        <w:jc w:val="center"/>
        <w:rPr>
          <w:rFonts w:ascii="楷体" w:hAnsi="楷体" w:eastAsia="楷体" w:cs="Times New Roman"/>
          <w:sz w:val="32"/>
          <w:szCs w:val="32"/>
        </w:rPr>
      </w:pPr>
    </w:p>
    <w:p>
      <w:pPr>
        <w:pStyle w:val="2"/>
      </w:pPr>
    </w:p>
    <w:p>
      <w:pPr>
        <w:pStyle w:val="2"/>
      </w:pPr>
    </w:p>
    <w:p>
      <w:pPr>
        <w:pStyle w:val="2"/>
      </w:pPr>
    </w:p>
    <w:p>
      <w:pPr>
        <w:pStyle w:val="2"/>
      </w:pPr>
    </w:p>
    <w:p>
      <w:pPr>
        <w:adjustRightInd w:val="0"/>
        <w:snapToGrid w:val="0"/>
        <w:spacing w:line="580" w:lineRule="exact"/>
        <w:rPr>
          <w:rFonts w:ascii="Times New Roman" w:hAnsi="Times New Roman" w:eastAsia="仿宋_GB2312" w:cs="Times New Roman"/>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spacing w:line="580" w:lineRule="exact"/>
        <w:ind w:left="0" w:leftChars="0" w:firstLine="0" w:firstLineChars="0"/>
      </w:pPr>
    </w:p>
    <w:sdt>
      <w:sdtPr>
        <w:rPr>
          <w:b/>
          <w:bCs/>
          <w:sz w:val="32"/>
          <w:szCs w:val="36"/>
          <w:lang w:val="zh-CN"/>
        </w:rPr>
        <w:id w:val="-192921573"/>
        <w:docPartObj>
          <w:docPartGallery w:val="Table of Contents"/>
          <w:docPartUnique/>
        </w:docPartObj>
      </w:sdtPr>
      <w:sdtEndPr>
        <w:rPr>
          <w:b/>
          <w:bCs/>
          <w:sz w:val="24"/>
          <w:szCs w:val="22"/>
          <w:lang w:val="zh-CN"/>
        </w:rPr>
      </w:sdtEndPr>
      <w:sdtContent>
        <w:p>
          <w:pPr>
            <w:jc w:val="center"/>
            <w:rPr>
              <w:b/>
              <w:bCs/>
              <w:sz w:val="32"/>
              <w:szCs w:val="40"/>
            </w:rPr>
          </w:pPr>
          <w:r>
            <w:rPr>
              <w:rFonts w:ascii="宋体" w:hAnsi="宋体" w:eastAsia="宋体"/>
              <w:b/>
              <w:bCs/>
              <w:sz w:val="32"/>
              <w:szCs w:val="40"/>
            </w:rPr>
            <w:t>目录</w:t>
          </w:r>
        </w:p>
        <w:p>
          <w:pPr>
            <w:pStyle w:val="15"/>
            <w:tabs>
              <w:tab w:val="right" w:leader="dot" w:pos="8306"/>
            </w:tabs>
            <w:ind w:left="0"/>
            <w:rPr>
              <w:rFonts w:ascii="Times New Roman" w:hAnsi="Times New Roman"/>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r>
            <w:fldChar w:fldCharType="begin"/>
          </w:r>
          <w:r>
            <w:instrText xml:space="preserve"> HYPERLINK \l "_Toc31217" </w:instrText>
          </w:r>
          <w:r>
            <w:fldChar w:fldCharType="separate"/>
          </w:r>
          <w:r>
            <w:rPr>
              <w:rFonts w:hint="eastAsia" w:ascii="Times New Roman" w:hAns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_Toc31217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"_Toc6884" </w:instrText>
          </w:r>
          <w:r>
            <w:fldChar w:fldCharType="separate"/>
          </w:r>
          <w:r>
            <w:rPr>
              <w:rFonts w:hint="eastAsia" w:ascii="Times New Roman" w:hAnsi="Times New Roman"/>
            </w:rPr>
            <w:t>一、电动汽车及充电设施发展现状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_Toc6884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"_Toc1690" </w:instrText>
          </w:r>
          <w:r>
            <w:fldChar w:fldCharType="separate"/>
          </w:r>
          <w:r>
            <w:rPr>
              <w:rFonts w:ascii="Times New Roman" w:hAnsi="Times New Roman"/>
            </w:rPr>
            <w:t>（一）</w:t>
          </w:r>
          <w:r>
            <w:rPr>
              <w:rFonts w:hint="eastAsia" w:ascii="Times New Roman" w:hAnsi="Times New Roman"/>
            </w:rPr>
            <w:t>省内经济社会发展取得的成就</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_Toc1690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"_Toc30840" </w:instrText>
          </w:r>
          <w:r>
            <w:fldChar w:fldCharType="separate"/>
          </w:r>
          <w:r>
            <w:rPr>
              <w:rFonts w:ascii="Times New Roman" w:hAnsi="Times New Roman"/>
            </w:rPr>
            <w:t>（</w:t>
          </w:r>
          <w:r>
            <w:rPr>
              <w:rFonts w:hint="eastAsia" w:ascii="Times New Roman" w:hAnsi="Times New Roman"/>
            </w:rPr>
            <w:t>二</w:t>
          </w:r>
          <w:r>
            <w:rPr>
              <w:rFonts w:ascii="Times New Roman" w:hAnsi="Times New Roman"/>
            </w:rPr>
            <w:t>）电动汽车推广应用现状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_Toc30840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"_Toc25040" </w:instrText>
          </w:r>
          <w:r>
            <w:fldChar w:fldCharType="separate"/>
          </w:r>
          <w:r>
            <w:rPr>
              <w:rFonts w:ascii="Times New Roman" w:hAnsi="Times New Roman"/>
            </w:rPr>
            <w:t>（</w:t>
          </w:r>
          <w:r>
            <w:rPr>
              <w:rFonts w:hint="eastAsia" w:ascii="Times New Roman" w:hAnsi="Times New Roman"/>
            </w:rPr>
            <w:t>三</w:t>
          </w:r>
          <w:r>
            <w:rPr>
              <w:rFonts w:ascii="Times New Roman" w:hAnsi="Times New Roman"/>
            </w:rPr>
            <w:t>）充电设施建设现状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_Toc25040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"_Toc3869" </w:instrText>
          </w:r>
          <w:r>
            <w:fldChar w:fldCharType="separate"/>
          </w:r>
          <w:r>
            <w:rPr>
              <w:rFonts w:ascii="Times New Roman" w:hAnsi="Times New Roman"/>
            </w:rPr>
            <w:t>（</w:t>
          </w:r>
          <w:r>
            <w:rPr>
              <w:rFonts w:hint="eastAsia" w:ascii="Times New Roman" w:hAnsi="Times New Roman"/>
            </w:rPr>
            <w:t>四</w:t>
          </w:r>
          <w:r>
            <w:rPr>
              <w:rFonts w:ascii="Times New Roman" w:hAnsi="Times New Roman"/>
            </w:rPr>
            <w:t>）充电设施</w:t>
          </w:r>
          <w:r>
            <w:rPr>
              <w:rFonts w:hint="eastAsia" w:ascii="Times New Roman" w:hAnsi="Times New Roman"/>
            </w:rPr>
            <w:t>技术发展情况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_Toc3869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"_Toc6311" </w:instrText>
          </w:r>
          <w:r>
            <w:fldChar w:fldCharType="separate"/>
          </w:r>
          <w:r>
            <w:rPr>
              <w:rFonts w:ascii="Times New Roman" w:hAnsi="Times New Roman"/>
            </w:rPr>
            <w:t>（</w:t>
          </w:r>
          <w:r>
            <w:rPr>
              <w:rFonts w:hint="eastAsia" w:ascii="Times New Roman" w:hAnsi="Times New Roman"/>
            </w:rPr>
            <w:t>五</w:t>
          </w:r>
          <w:r>
            <w:rPr>
              <w:rFonts w:ascii="Times New Roman" w:hAnsi="Times New Roman"/>
            </w:rPr>
            <w:t>）</w:t>
          </w:r>
          <w:r>
            <w:rPr>
              <w:rFonts w:hint="eastAsia" w:ascii="Times New Roman" w:hAnsi="Times New Roman"/>
            </w:rPr>
            <w:t>电动汽车及充电设施发展支持文件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_Toc6311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"_Toc8036" </w:instrText>
          </w:r>
          <w:r>
            <w:fldChar w:fldCharType="separate"/>
          </w:r>
          <w:r>
            <w:rPr>
              <w:rFonts w:hint="eastAsia" w:ascii="Times New Roman" w:hAnsi="Times New Roman"/>
            </w:rPr>
            <w:t>二、面临的形势及存在的问题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_Toc8036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"_Toc23058" </w:instrText>
          </w:r>
          <w:r>
            <w:fldChar w:fldCharType="separate"/>
          </w:r>
          <w:r>
            <w:rPr>
              <w:rFonts w:ascii="Times New Roman" w:hAnsi="Times New Roman"/>
            </w:rPr>
            <w:t>（</w:t>
          </w:r>
          <w:r>
            <w:rPr>
              <w:rFonts w:hint="eastAsia" w:ascii="Times New Roman" w:hAnsi="Times New Roman"/>
            </w:rPr>
            <w:t>一</w:t>
          </w:r>
          <w:r>
            <w:rPr>
              <w:rFonts w:ascii="Times New Roman" w:hAnsi="Times New Roman"/>
            </w:rPr>
            <w:t>）</w:t>
          </w:r>
          <w:r>
            <w:rPr>
              <w:rFonts w:hint="eastAsia" w:ascii="Times New Roman" w:hAnsi="Times New Roman"/>
            </w:rPr>
            <w:t>面临的形势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_Toc23058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"_Toc21132" </w:instrText>
          </w:r>
          <w:r>
            <w:fldChar w:fldCharType="separate"/>
          </w:r>
          <w:r>
            <w:rPr>
              <w:rFonts w:ascii="Times New Roman" w:hAnsi="Times New Roman"/>
            </w:rPr>
            <w:t>（</w:t>
          </w:r>
          <w:r>
            <w:rPr>
              <w:rFonts w:hint="eastAsia" w:ascii="Times New Roman" w:hAnsi="Times New Roman"/>
            </w:rPr>
            <w:t>二</w:t>
          </w:r>
          <w:r>
            <w:rPr>
              <w:rFonts w:ascii="Times New Roman" w:hAnsi="Times New Roman"/>
            </w:rPr>
            <w:t>）</w:t>
          </w:r>
          <w:r>
            <w:rPr>
              <w:rFonts w:hint="eastAsia" w:ascii="Times New Roman" w:hAnsi="Times New Roman"/>
            </w:rPr>
            <w:t>存在的问题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_Toc21132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"_Toc28669" </w:instrText>
          </w:r>
          <w:r>
            <w:fldChar w:fldCharType="separate"/>
          </w:r>
          <w:r>
            <w:rPr>
              <w:rFonts w:hint="eastAsia" w:ascii="Times New Roman" w:hAnsi="Times New Roman"/>
            </w:rPr>
            <w:t>三、充电设施发展需求预测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_Toc28669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"_Toc16828" </w:instrText>
          </w:r>
          <w:r>
            <w:fldChar w:fldCharType="separate"/>
          </w:r>
          <w:r>
            <w:rPr>
              <w:rFonts w:ascii="Times New Roman" w:hAnsi="Times New Roman"/>
            </w:rPr>
            <w:t>（一）</w:t>
          </w:r>
          <w:r>
            <w:rPr>
              <w:rFonts w:hint="eastAsia" w:ascii="Times New Roman" w:hAnsi="Times New Roman"/>
            </w:rPr>
            <w:t>陕西省电动汽车推广应用预测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_Toc16828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"_Toc21054" </w:instrText>
          </w:r>
          <w:r>
            <w:fldChar w:fldCharType="separate"/>
          </w:r>
          <w:r>
            <w:rPr>
              <w:rFonts w:ascii="Times New Roman" w:hAnsi="Times New Roman"/>
            </w:rPr>
            <w:t>（二）充电设施配置原则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_Toc21054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"_Toc17321" </w:instrText>
          </w:r>
          <w:r>
            <w:fldChar w:fldCharType="separate"/>
          </w:r>
          <w:r>
            <w:rPr>
              <w:rFonts w:hint="eastAsia" w:ascii="Times New Roman" w:hAnsi="Times New Roman"/>
            </w:rPr>
            <w:t>（三）充电设施需求预测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_Toc17321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"_Toc10755" </w:instrText>
          </w:r>
          <w:r>
            <w:fldChar w:fldCharType="separate"/>
          </w:r>
          <w:r>
            <w:rPr>
              <w:rFonts w:hint="eastAsia" w:ascii="Times New Roman" w:hAnsi="Times New Roman"/>
            </w:rPr>
            <w:t>（四）用电需求预测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_Toc10755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"_Toc7384" </w:instrText>
          </w:r>
          <w:r>
            <w:fldChar w:fldCharType="separate"/>
          </w:r>
          <w:r>
            <w:rPr>
              <w:rFonts w:hint="eastAsia" w:ascii="Times New Roman" w:hAnsi="Times New Roman"/>
            </w:rPr>
            <w:t>四、充电设施发展目标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_Toc7384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"_Toc4510" </w:instrText>
          </w:r>
          <w:r>
            <w:fldChar w:fldCharType="separate"/>
          </w:r>
          <w:r>
            <w:rPr>
              <w:rFonts w:hint="eastAsia" w:ascii="Times New Roman" w:hAnsi="Times New Roman"/>
            </w:rPr>
            <w:t>（一）发展思路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_Toc4510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"_Toc20135" </w:instrText>
          </w:r>
          <w:r>
            <w:fldChar w:fldCharType="separate"/>
          </w:r>
          <w:r>
            <w:rPr>
              <w:rFonts w:hint="eastAsia" w:ascii="Times New Roman" w:hAnsi="Times New Roman"/>
            </w:rPr>
            <w:t>（二）总体发展目标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_Toc20135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"_Toc31724" </w:instrText>
          </w:r>
          <w:r>
            <w:fldChar w:fldCharType="separate"/>
          </w:r>
          <w:r>
            <w:rPr>
              <w:rFonts w:hint="eastAsia" w:ascii="Times New Roman" w:hAnsi="Times New Roman"/>
            </w:rPr>
            <w:t>（三）分阶段发展目标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_Toc31724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"_Toc25519" </w:instrText>
          </w:r>
          <w:r>
            <w:fldChar w:fldCharType="separate"/>
          </w:r>
          <w:r>
            <w:rPr>
              <w:rFonts w:hint="eastAsia" w:ascii="Times New Roman" w:hAnsi="Times New Roman"/>
            </w:rPr>
            <w:t>（四）分区域发展目标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_Toc25519 \h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"_Toc18337" </w:instrText>
          </w:r>
          <w:r>
            <w:fldChar w:fldCharType="separate"/>
          </w:r>
          <w:r>
            <w:rPr>
              <w:rFonts w:hint="eastAsia" w:ascii="Times New Roman" w:hAnsi="Times New Roman"/>
            </w:rPr>
            <w:t>（五）分类型发展目标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_Toc18337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"_Toc19532" </w:instrText>
          </w:r>
          <w:r>
            <w:fldChar w:fldCharType="separate"/>
          </w:r>
          <w:r>
            <w:rPr>
              <w:rFonts w:hint="eastAsia" w:ascii="Times New Roman" w:hAnsi="Times New Roman"/>
            </w:rPr>
            <w:t>（六）配套电网发展目标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_Toc19532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"_Toc26172" </w:instrText>
          </w:r>
          <w:r>
            <w:fldChar w:fldCharType="separate"/>
          </w:r>
          <w:r>
            <w:rPr>
              <w:rFonts w:hint="eastAsia" w:ascii="Times New Roman" w:hAnsi="Times New Roman"/>
            </w:rPr>
            <w:t>五、重点任务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_Toc26172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"_Toc13384" </w:instrText>
          </w:r>
          <w:r>
            <w:fldChar w:fldCharType="separate"/>
          </w:r>
          <w:r>
            <w:rPr>
              <w:rFonts w:hint="eastAsia" w:ascii="Times New Roman" w:hAnsi="Times New Roman"/>
            </w:rPr>
            <w:t>（一）构建完善的充电设施体系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_Toc13384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"_Toc31613" </w:instrText>
          </w:r>
          <w:r>
            <w:fldChar w:fldCharType="separate"/>
          </w:r>
          <w:r>
            <w:rPr>
              <w:rFonts w:hint="eastAsia" w:ascii="Times New Roman" w:hAnsi="Times New Roman"/>
            </w:rPr>
            <w:t>（二）推动居民区充电设施建设落地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_Toc31613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"_Toc17151" </w:instrText>
          </w:r>
          <w:r>
            <w:fldChar w:fldCharType="separate"/>
          </w:r>
          <w:r>
            <w:rPr>
              <w:rFonts w:hint="eastAsia" w:ascii="Times New Roman" w:hAnsi="Times New Roman"/>
            </w:rPr>
            <w:t>（三）打造全省充电设施“一张网”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_Toc17151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"_Toc16775" </w:instrText>
          </w:r>
          <w:r>
            <w:fldChar w:fldCharType="separate"/>
          </w:r>
          <w:r>
            <w:rPr>
              <w:rFonts w:hint="eastAsia" w:ascii="Times New Roman" w:hAnsi="Times New Roman"/>
            </w:rPr>
            <w:t>（四）加强充电设施全链条安全管理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_Toc16775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"_Toc370" </w:instrText>
          </w:r>
          <w:r>
            <w:fldChar w:fldCharType="separate"/>
          </w:r>
          <w:r>
            <w:rPr>
              <w:rFonts w:hint="eastAsia" w:ascii="Times New Roman" w:hAnsi="Times New Roman"/>
            </w:rPr>
            <w:t>（五）强化充电设施行业</w:t>
          </w:r>
          <w:r>
            <w:rPr>
              <w:rFonts w:ascii="Times New Roman" w:hAnsi="Times New Roman"/>
            </w:rPr>
            <w:t>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 \h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"_Toc7960" </w:instrText>
          </w:r>
          <w:r>
            <w:fldChar w:fldCharType="separate"/>
          </w:r>
          <w:r>
            <w:rPr>
              <w:rFonts w:hint="eastAsia" w:ascii="Times New Roman" w:hAnsi="Times New Roman"/>
            </w:rPr>
            <w:t>（六）积极推动</w:t>
          </w:r>
          <w:r>
            <w:rPr>
              <w:rFonts w:ascii="Times New Roman" w:hAnsi="Times New Roman"/>
            </w:rPr>
            <w:t>商业模式</w:t>
          </w:r>
          <w:r>
            <w:rPr>
              <w:rFonts w:hint="eastAsia" w:ascii="Times New Roman" w:hAnsi="Times New Roman"/>
            </w:rPr>
            <w:t>创新及产业高质量发展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_Toc7960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"_Toc15907" </w:instrText>
          </w:r>
          <w:r>
            <w:fldChar w:fldCharType="separate"/>
          </w:r>
          <w:r>
            <w:rPr>
              <w:rFonts w:hint="eastAsia" w:ascii="Times New Roman" w:hAnsi="Times New Roman"/>
            </w:rPr>
            <w:t>（七）强化新技术应用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_Toc15907 \h </w:instrText>
          </w:r>
          <w:r>
            <w:rPr>
              <w:rFonts w:ascii="Times New Roman" w:hAnsi="Times New Roman"/>
            </w:rPr>
            <w:fldChar w:fldCharType="separate"/>
          </w:r>
          <w:r>
            <w:rPr>
              <w:rFonts w:ascii="Times New Roman" w:hAnsi="Times New Roman"/>
            </w:rPr>
            <w:t>51</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"_Toc2172" </w:instrText>
          </w:r>
          <w:r>
            <w:fldChar w:fldCharType="separate"/>
          </w:r>
          <w:r>
            <w:rPr>
              <w:rFonts w:hint="eastAsia" w:ascii="Times New Roman" w:hAnsi="Times New Roman"/>
            </w:rPr>
            <w:t>（八）提升电力保障能力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_Toc2172 \h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rPr>
            <w:fldChar w:fldCharType="end"/>
          </w:r>
        </w:p>
        <w:p>
          <w:pPr>
            <w:pStyle w:val="13"/>
            <w:tabs>
              <w:tab w:val="right" w:leader="dot" w:pos="8306"/>
            </w:tabs>
            <w:rPr>
              <w:rFonts w:ascii="Times New Roman" w:hAnsi="Times New Roman"/>
            </w:rPr>
          </w:pPr>
          <w:r>
            <w:fldChar w:fldCharType="begin"/>
          </w:r>
          <w:r>
            <w:instrText xml:space="preserve"> HYPERLINK \l "_Toc17589" </w:instrText>
          </w:r>
          <w:r>
            <w:fldChar w:fldCharType="separate"/>
          </w:r>
          <w:r>
            <w:rPr>
              <w:rFonts w:hint="eastAsia" w:ascii="Times New Roman" w:hAnsi="Times New Roman"/>
            </w:rPr>
            <w:t>六、规划实施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_Toc17589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"_Toc18729" </w:instrText>
          </w:r>
          <w:r>
            <w:fldChar w:fldCharType="separate"/>
          </w:r>
          <w:r>
            <w:rPr>
              <w:rFonts w:ascii="Times New Roman" w:hAnsi="Times New Roman"/>
            </w:rPr>
            <w:t>（</w:t>
          </w:r>
          <w:r>
            <w:rPr>
              <w:rFonts w:hint="eastAsia" w:ascii="Times New Roman" w:hAnsi="Times New Roman"/>
            </w:rPr>
            <w:t>一</w:t>
          </w:r>
          <w:r>
            <w:rPr>
              <w:rFonts w:ascii="Times New Roman" w:hAnsi="Times New Roman"/>
            </w:rPr>
            <w:t>）保障措施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_Toc18729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"_Toc12195" </w:instrText>
          </w:r>
          <w:r>
            <w:fldChar w:fldCharType="separate"/>
          </w:r>
          <w:r>
            <w:rPr>
              <w:rFonts w:hint="eastAsia" w:ascii="Times New Roman" w:hAnsi="Times New Roman"/>
            </w:rPr>
            <w:t>（二）</w:t>
          </w:r>
          <w:r>
            <w:rPr>
              <w:rFonts w:ascii="Times New Roman" w:hAnsi="Times New Roman"/>
            </w:rPr>
            <w:t>规划投资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_Toc12195 \h </w:instrText>
          </w:r>
          <w:r>
            <w:rPr>
              <w:rFonts w:ascii="Times New Roman" w:hAnsi="Times New Roman"/>
            </w:rPr>
            <w:fldChar w:fldCharType="separate"/>
          </w:r>
          <w:r>
            <w:rPr>
              <w:rFonts w:ascii="Times New Roman" w:hAnsi="Times New Roman"/>
            </w:rPr>
            <w:t>55</w:t>
          </w:r>
          <w:r>
            <w:rPr>
              <w:rFonts w:ascii="Times New Roman" w:hAnsi="Times New Roman"/>
            </w:rPr>
            <w:fldChar w:fldCharType="end"/>
          </w:r>
          <w:r>
            <w:rPr>
              <w:rFonts w:ascii="Times New Roman" w:hAnsi="Times New Roman"/>
            </w:rPr>
            <w:fldChar w:fldCharType="end"/>
          </w:r>
        </w:p>
        <w:p>
          <w:pPr>
            <w:pStyle w:val="15"/>
            <w:tabs>
              <w:tab w:val="right" w:leader="dot" w:pos="8306"/>
            </w:tabs>
            <w:rPr>
              <w:rFonts w:ascii="Times New Roman" w:hAnsi="Times New Roman"/>
            </w:rPr>
          </w:pPr>
          <w:r>
            <w:fldChar w:fldCharType="begin"/>
          </w:r>
          <w:r>
            <w:instrText xml:space="preserve"> HYPERLINK \l "_Toc803" </w:instrText>
          </w:r>
          <w:r>
            <w:fldChar w:fldCharType="separate"/>
          </w:r>
          <w:r>
            <w:rPr>
              <w:rFonts w:hint="eastAsia" w:ascii="Times New Roman" w:hAnsi="Times New Roman"/>
            </w:rPr>
            <w:t>（三）实施效果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_Toc803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rPr>
              <w:rFonts w:ascii="Times New Roman" w:hAnsi="Times New Roman"/>
            </w:rPr>
          </w:pPr>
          <w:r>
            <w:rPr>
              <w:rFonts w:ascii="Times New Roman" w:hAnsi="Times New Roman"/>
            </w:rPr>
            <w:fldChar w:fldCharType="end"/>
          </w:r>
        </w:p>
        <w:p>
          <w:pPr>
            <w:adjustRightInd w:val="0"/>
            <w:snapToGrid w:val="0"/>
            <w:spacing w:line="580" w:lineRule="exact"/>
          </w:pPr>
        </w:p>
      </w:sdtContent>
    </w:sdt>
    <w:p>
      <w:pPr>
        <w:adjustRightInd w:val="0"/>
        <w:snapToGrid w:val="0"/>
        <w:spacing w:line="580" w:lineRule="exact"/>
        <w:rPr>
          <w:rFonts w:ascii="Times New Roman" w:hAnsi="Times New Roman" w:eastAsia="仿宋_GB2312" w:cs="Times New Roman"/>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4"/>
        <w:spacing w:line="580" w:lineRule="exact"/>
        <w:ind w:firstLine="643"/>
      </w:pPr>
      <w:bookmarkStart w:id="0" w:name="_Toc26154"/>
      <w:bookmarkStart w:id="1" w:name="_Toc31217"/>
      <w:bookmarkStart w:id="2" w:name="_Toc47622916"/>
      <w:r>
        <w:rPr>
          <w:rFonts w:hint="eastAsia"/>
        </w:rPr>
        <w:t>前言</w:t>
      </w:r>
      <w:bookmarkEnd w:id="0"/>
      <w:bookmarkEnd w:id="1"/>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发展新能源汽车是我国从汽车大国迈向汽车强国的必由之路，关系产业提升、能源安全、绿色发展；我国坚持</w:t>
      </w:r>
      <w:r>
        <w:rPr>
          <w:rFonts w:ascii="Times New Roman" w:hAnsi="Times New Roman" w:eastAsia="仿宋_GB2312" w:cs="Times New Roman"/>
          <w:sz w:val="32"/>
          <w:szCs w:val="32"/>
        </w:rPr>
        <w:t>纯电驱动战略取向</w:t>
      </w:r>
      <w:r>
        <w:rPr>
          <w:rFonts w:hint="eastAsia" w:ascii="Times New Roman" w:hAnsi="Times New Roman" w:eastAsia="仿宋_GB2312" w:cs="Times New Roman"/>
          <w:sz w:val="32"/>
          <w:szCs w:val="32"/>
        </w:rPr>
        <w:t>，“十三五”期间持续大力推进电动汽车发展，电动</w:t>
      </w:r>
      <w:r>
        <w:rPr>
          <w:rFonts w:ascii="Times New Roman" w:hAnsi="Times New Roman" w:eastAsia="仿宋_GB2312" w:cs="Times New Roman"/>
          <w:sz w:val="32"/>
          <w:szCs w:val="32"/>
        </w:rPr>
        <w:t>汽车产业发展取得了巨大成就，</w:t>
      </w:r>
      <w:r>
        <w:rPr>
          <w:rFonts w:hint="eastAsia" w:ascii="Times New Roman" w:hAnsi="Times New Roman" w:eastAsia="仿宋_GB2312" w:cs="Times New Roman"/>
          <w:sz w:val="32"/>
          <w:szCs w:val="32"/>
        </w:rPr>
        <w:t>技术水平显著提升、产业体系日趋完善、企业竞争力大幅增强，</w:t>
      </w:r>
      <w:r>
        <w:rPr>
          <w:rFonts w:ascii="Times New Roman" w:hAnsi="Times New Roman" w:eastAsia="仿宋_GB2312" w:cs="Times New Roman"/>
          <w:sz w:val="32"/>
          <w:szCs w:val="32"/>
        </w:rPr>
        <w:t>2015年以来产销量、保有量连续五年居世界</w:t>
      </w:r>
      <w:r>
        <w:rPr>
          <w:rFonts w:hint="eastAsia" w:ascii="Times New Roman" w:hAnsi="Times New Roman" w:eastAsia="仿宋_GB2312" w:cs="Times New Roman"/>
          <w:sz w:val="32"/>
          <w:szCs w:val="32"/>
        </w:rPr>
        <w:t>前列</w:t>
      </w:r>
      <w:r>
        <w:rPr>
          <w:rFonts w:ascii="Times New Roman" w:hAnsi="Times New Roman" w:eastAsia="仿宋_GB2312" w:cs="Times New Roman"/>
          <w:sz w:val="32"/>
          <w:szCs w:val="32"/>
        </w:rPr>
        <w:t>，产业进入叠加交汇、融合发展新阶段。</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电设施是电动汽车推广应用的基础和保障，“十三五”期间国家出台一系列支撑政策，有力引领充电设施行业发展，充电设施网络体系初步形成，产业生态逐渐构成，充电技术水平迅速提升，标准体系逐步完备，建成了世界上充电设施数量最多、辐射面积最大、服务车辆最全的充电设施体系。</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陕西省认真落实国家大力发展电动汽车的战略部署，充分发挥政策的导向作用，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十三五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期间出台多项重要文件明确电动汽车</w:t>
      </w:r>
      <w:r>
        <w:rPr>
          <w:rFonts w:hint="eastAsia" w:ascii="Times New Roman" w:hAnsi="Times New Roman" w:eastAsia="仿宋_GB2312" w:cs="Times New Roman"/>
          <w:sz w:val="32"/>
          <w:szCs w:val="32"/>
        </w:rPr>
        <w:t>及充电设施</w:t>
      </w:r>
      <w:r>
        <w:rPr>
          <w:rFonts w:ascii="Times New Roman" w:hAnsi="Times New Roman" w:eastAsia="仿宋_GB2312" w:cs="Times New Roman"/>
          <w:sz w:val="32"/>
          <w:szCs w:val="32"/>
        </w:rPr>
        <w:t>发展目标，制定了诸多支持政策，省内电动汽车制造实力不断增强，汽车电动化率明显提升。</w:t>
      </w:r>
    </w:p>
    <w:p>
      <w:pPr>
        <w:pStyle w:val="2"/>
        <w:ind w:firstLine="640"/>
        <w:rPr>
          <w:rFonts w:eastAsia="仿宋_GB2312"/>
        </w:rPr>
      </w:pPr>
      <w:r>
        <w:rPr>
          <w:rFonts w:hint="eastAsia" w:eastAsia="仿宋_GB2312"/>
          <w:sz w:val="32"/>
          <w:szCs w:val="32"/>
        </w:rPr>
        <w:t>“十四五”是陕西省经济发展追赶超越的关键时期，为进一步促进陕西电动汽车及充电市场的繁荣发展，陕西省发改委超前思考、积极部署，总结“十三五”发展经验，深入调研市场发展现状，组织编制了《陕西省电动汽车充电基础设施“十四五”发展规划》，提出了陕西充电设施的发展目标及重点任务，为“十四五”充电设施市场发展指明了方向，将有力推动陕西绿色低碳发展，助力“碳达峰”、“碳中和”目标早日实现。</w:t>
      </w:r>
    </w:p>
    <w:p>
      <w:pPr>
        <w:pStyle w:val="3"/>
        <w:spacing w:line="580" w:lineRule="exact"/>
        <w:ind w:firstLine="643"/>
      </w:pPr>
      <w:bookmarkStart w:id="3" w:name="_Toc31381"/>
      <w:bookmarkStart w:id="4" w:name="_Toc6884"/>
      <w:r>
        <w:rPr>
          <w:rFonts w:hint="eastAsia"/>
        </w:rPr>
        <w:t>一、电动汽车及充电设施发展现状</w:t>
      </w:r>
      <w:bookmarkEnd w:id="2"/>
      <w:bookmarkEnd w:id="3"/>
      <w:bookmarkEnd w:id="4"/>
      <w:bookmarkStart w:id="5" w:name="_Toc447114624"/>
      <w:bookmarkStart w:id="6" w:name="_Toc47622917"/>
    </w:p>
    <w:p>
      <w:pPr>
        <w:pStyle w:val="4"/>
        <w:spacing w:line="580" w:lineRule="exact"/>
        <w:ind w:firstLine="643"/>
      </w:pPr>
      <w:bookmarkStart w:id="7" w:name="_Toc1690"/>
      <w:bookmarkStart w:id="8" w:name="_Toc11243"/>
      <w:r>
        <w:t>（一）</w:t>
      </w:r>
      <w:r>
        <w:rPr>
          <w:rFonts w:hint="eastAsia"/>
        </w:rPr>
        <w:t>省内经济社会发展取得的成就</w:t>
      </w:r>
      <w:bookmarkEnd w:id="7"/>
      <w:bookmarkEnd w:id="8"/>
    </w:p>
    <w:p>
      <w:pPr>
        <w:ind w:firstLine="640" w:firstLineChars="200"/>
      </w:pPr>
      <w:r>
        <w:rPr>
          <w:rFonts w:hint="eastAsia" w:ascii="Times New Roman" w:hAnsi="Times New Roman" w:eastAsia="仿宋_GB2312" w:cs="Times New Roman"/>
          <w:sz w:val="32"/>
          <w:szCs w:val="32"/>
        </w:rPr>
        <w:t>“十三五”期间，面对错综复杂的发展环境，陕西省在以习近平同志为核心的党中央坚强领导下，坚决贯彻国家各项决策部署，着力做好稳增长、促改革、调结构、惠民生、防风险、保稳定各项工作，全面建成小康社会取得决定性成就；综合实力明显增强，经济结构持续优化，全面深化改革取得重大进展；对外开放持续扩大，发展质量和效益显著提升，省内</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个贫困县全部摘帽，绝对贫困问题得到历史性解决；社会建设卓有成效，城乡居民收入年均分别增长7.5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和8.</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年生产总值达</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2万亿元，较“十二五”末增长约</w:t>
      </w:r>
      <w:r>
        <w:rPr>
          <w:rFonts w:ascii="Times New Roman" w:hAnsi="Times New Roman" w:eastAsia="仿宋_GB2312" w:cs="Times New Roman"/>
          <w:sz w:val="32"/>
          <w:szCs w:val="32"/>
        </w:rPr>
        <w:t>44%</w:t>
      </w:r>
      <w:r>
        <w:rPr>
          <w:rFonts w:hint="eastAsia" w:ascii="Times New Roman" w:hAnsi="Times New Roman" w:eastAsia="仿宋_GB2312" w:cs="Times New Roman"/>
          <w:sz w:val="32"/>
          <w:szCs w:val="32"/>
        </w:rPr>
        <w:t>。截</w:t>
      </w:r>
      <w:r>
        <w:rPr>
          <w:rFonts w:hint="eastAsia" w:ascii="Times New Roman" w:hAnsi="Times New Roman" w:eastAsia="仿宋_GB2312" w:cs="Times New Roman"/>
          <w:sz w:val="32"/>
          <w:szCs w:val="32"/>
          <w:lang w:eastAsia="zh-CN"/>
        </w:rPr>
        <w:t>至</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年末，全省城镇化率超过</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；省内高速公路通车总里程达</w:t>
      </w:r>
      <w:r>
        <w:rPr>
          <w:rFonts w:ascii="Times New Roman" w:hAnsi="Times New Roman" w:eastAsia="仿宋_GB2312" w:cs="Times New Roman"/>
          <w:sz w:val="32"/>
          <w:szCs w:val="32"/>
        </w:rPr>
        <w:t>6171</w:t>
      </w:r>
      <w:r>
        <w:rPr>
          <w:rFonts w:hint="eastAsia" w:ascii="Times New Roman" w:hAnsi="Times New Roman" w:eastAsia="仿宋_GB2312" w:cs="Times New Roman"/>
          <w:sz w:val="32"/>
          <w:szCs w:val="32"/>
        </w:rPr>
        <w:t>千米，较“十二五”末增长约22%，实现县县通高速；全省汽车保有量为739.5万辆，较“十二五”末增长约64%。</w:t>
      </w:r>
    </w:p>
    <w:p>
      <w:pPr>
        <w:pStyle w:val="4"/>
        <w:spacing w:line="580" w:lineRule="exact"/>
        <w:ind w:firstLine="643"/>
      </w:pPr>
      <w:bookmarkStart w:id="9" w:name="_Toc30840"/>
      <w:bookmarkStart w:id="10" w:name="_Toc9941"/>
      <w:r>
        <w:t>（</w:t>
      </w:r>
      <w:r>
        <w:rPr>
          <w:rFonts w:hint="eastAsia"/>
        </w:rPr>
        <w:t>二</w:t>
      </w:r>
      <w:r>
        <w:t>）电动汽车推广应用现状</w:t>
      </w:r>
      <w:bookmarkEnd w:id="5"/>
      <w:bookmarkEnd w:id="6"/>
      <w:bookmarkEnd w:id="9"/>
      <w:bookmarkEnd w:id="10"/>
    </w:p>
    <w:p>
      <w:pPr>
        <w:pStyle w:val="2"/>
        <w:spacing w:line="580" w:lineRule="exact"/>
        <w:ind w:firstLine="640"/>
        <w:rPr>
          <w:rFonts w:eastAsia="仿宋_GB2312"/>
          <w:sz w:val="32"/>
          <w:szCs w:val="40"/>
        </w:rPr>
      </w:pPr>
      <w:r>
        <w:rPr>
          <w:rFonts w:eastAsia="仿宋_GB2312"/>
          <w:sz w:val="32"/>
          <w:szCs w:val="40"/>
        </w:rPr>
        <w:t>截至2020</w:t>
      </w:r>
      <w:r>
        <w:rPr>
          <w:rFonts w:hint="eastAsia" w:eastAsia="仿宋_GB2312"/>
          <w:sz w:val="32"/>
          <w:szCs w:val="40"/>
          <w:lang w:eastAsia="zh-CN"/>
        </w:rPr>
        <w:t>年</w:t>
      </w:r>
      <w:r>
        <w:rPr>
          <w:rFonts w:eastAsia="仿宋_GB2312"/>
          <w:sz w:val="32"/>
          <w:szCs w:val="40"/>
        </w:rPr>
        <w:t>底，全国新能源汽车保有量达492万辆</w:t>
      </w:r>
      <w:r>
        <w:rPr>
          <w:rStyle w:val="24"/>
          <w:rFonts w:eastAsia="仿宋_GB2312"/>
          <w:sz w:val="32"/>
          <w:szCs w:val="40"/>
        </w:rPr>
        <w:footnoteReference w:id="0"/>
      </w:r>
      <w:r>
        <w:rPr>
          <w:rFonts w:eastAsia="仿宋_GB2312"/>
          <w:sz w:val="32"/>
          <w:szCs w:val="40"/>
        </w:rPr>
        <w:t>，占汽车总量的1.75%</w:t>
      </w:r>
      <w:r>
        <w:rPr>
          <w:rFonts w:hint="eastAsia" w:eastAsia="仿宋_GB2312"/>
          <w:sz w:val="32"/>
          <w:szCs w:val="40"/>
        </w:rPr>
        <w:t>，</w:t>
      </w:r>
      <w:r>
        <w:rPr>
          <w:rFonts w:eastAsia="仿宋_GB2312"/>
          <w:sz w:val="32"/>
          <w:szCs w:val="40"/>
        </w:rPr>
        <w:t>基本达到</w:t>
      </w:r>
      <w:r>
        <w:rPr>
          <w:rFonts w:hint="eastAsia" w:eastAsia="仿宋_GB2312"/>
          <w:sz w:val="32"/>
          <w:szCs w:val="40"/>
        </w:rPr>
        <w:t>“</w:t>
      </w:r>
      <w:r>
        <w:rPr>
          <w:rFonts w:eastAsia="仿宋_GB2312"/>
          <w:sz w:val="32"/>
          <w:szCs w:val="40"/>
        </w:rPr>
        <w:t>十三五</w:t>
      </w:r>
      <w:r>
        <w:rPr>
          <w:rFonts w:hint="eastAsia" w:eastAsia="仿宋_GB2312"/>
          <w:sz w:val="32"/>
          <w:szCs w:val="40"/>
        </w:rPr>
        <w:t>”</w:t>
      </w:r>
      <w:r>
        <w:rPr>
          <w:rFonts w:eastAsia="仿宋_GB2312"/>
          <w:sz w:val="32"/>
          <w:szCs w:val="40"/>
        </w:rPr>
        <w:t>新能源汽车发展目标，国内电动汽车推广取得巨大成就。</w:t>
      </w:r>
    </w:p>
    <w:p>
      <w:pPr>
        <w:pStyle w:val="2"/>
        <w:spacing w:line="580" w:lineRule="exact"/>
        <w:ind w:firstLine="640"/>
        <w:rPr>
          <w:rFonts w:eastAsia="仿宋_GB2312"/>
          <w:sz w:val="32"/>
          <w:szCs w:val="40"/>
        </w:rPr>
      </w:pPr>
      <w:r>
        <w:rPr>
          <w:rFonts w:eastAsia="仿宋_GB2312"/>
          <w:sz w:val="32"/>
          <w:szCs w:val="40"/>
        </w:rPr>
        <w:t>陕西省是国内重要的电动汽车生产基地，省内比亚迪、陕汽、吉利等企业在电动汽车整车制造、动力电池等核心部件生产领域均占有重要地位，随着近年多项新能源汽车生产项目投运，省内新能源汽车生产能力将</w:t>
      </w:r>
      <w:r>
        <w:rPr>
          <w:rFonts w:hint="eastAsia" w:eastAsia="仿宋_GB2312"/>
          <w:sz w:val="32"/>
          <w:szCs w:val="40"/>
        </w:rPr>
        <w:t>大幅</w:t>
      </w:r>
      <w:r>
        <w:rPr>
          <w:rFonts w:eastAsia="仿宋_GB2312"/>
          <w:sz w:val="32"/>
          <w:szCs w:val="40"/>
        </w:rPr>
        <w:t>增强，陕西作为新能源汽车生产基地的地位更加巩固。</w:t>
      </w:r>
    </w:p>
    <w:p>
      <w:pPr>
        <w:pStyle w:val="2"/>
        <w:spacing w:line="580" w:lineRule="exact"/>
        <w:ind w:firstLine="640"/>
        <w:rPr>
          <w:rFonts w:eastAsia="仿宋_GB2312"/>
          <w:sz w:val="32"/>
          <w:szCs w:val="48"/>
        </w:rPr>
      </w:pPr>
      <w:r>
        <w:rPr>
          <w:rFonts w:hint="eastAsia" w:eastAsia="仿宋_GB2312"/>
          <w:sz w:val="32"/>
          <w:szCs w:val="40"/>
        </w:rPr>
        <w:t>“</w:t>
      </w:r>
      <w:r>
        <w:rPr>
          <w:rFonts w:eastAsia="仿宋_GB2312"/>
          <w:sz w:val="32"/>
          <w:szCs w:val="40"/>
        </w:rPr>
        <w:t>十三五</w:t>
      </w:r>
      <w:r>
        <w:rPr>
          <w:rFonts w:hint="eastAsia" w:eastAsia="仿宋_GB2312"/>
          <w:sz w:val="32"/>
          <w:szCs w:val="40"/>
        </w:rPr>
        <w:t>”</w:t>
      </w:r>
      <w:r>
        <w:rPr>
          <w:rFonts w:eastAsia="仿宋_GB2312"/>
          <w:sz w:val="32"/>
          <w:szCs w:val="40"/>
        </w:rPr>
        <w:t>以来，陕西省大力推进公交、出租、轻型物流等公共领域及私人车辆电动化，</w:t>
      </w:r>
      <w:r>
        <w:rPr>
          <w:rFonts w:hint="eastAsia" w:eastAsia="仿宋_GB2312"/>
          <w:sz w:val="32"/>
          <w:szCs w:val="40"/>
        </w:rPr>
        <w:t>截</w:t>
      </w:r>
      <w:r>
        <w:rPr>
          <w:rFonts w:hint="eastAsia" w:eastAsia="仿宋_GB2312"/>
          <w:sz w:val="32"/>
          <w:szCs w:val="40"/>
          <w:lang w:eastAsia="zh-CN"/>
        </w:rPr>
        <w:t>至</w:t>
      </w:r>
      <w:r>
        <w:rPr>
          <w:rFonts w:hint="eastAsia" w:eastAsia="仿宋_GB2312"/>
          <w:sz w:val="32"/>
          <w:szCs w:val="40"/>
        </w:rPr>
        <w:t>2020年底，</w:t>
      </w:r>
      <w:r>
        <w:rPr>
          <w:rFonts w:eastAsia="仿宋_GB2312"/>
          <w:sz w:val="32"/>
          <w:szCs w:val="48"/>
        </w:rPr>
        <w:t>全省在册电动汽车12</w:t>
      </w:r>
      <w:r>
        <w:rPr>
          <w:rFonts w:hint="eastAsia" w:eastAsia="仿宋_GB2312"/>
          <w:sz w:val="32"/>
          <w:szCs w:val="48"/>
        </w:rPr>
        <w:t>.27</w:t>
      </w:r>
      <w:r>
        <w:rPr>
          <w:rFonts w:eastAsia="仿宋_GB2312"/>
          <w:sz w:val="32"/>
          <w:szCs w:val="48"/>
        </w:rPr>
        <w:t>万辆，超额完</w:t>
      </w:r>
      <w:r>
        <w:rPr>
          <w:rFonts w:hint="eastAsia" w:ascii="仿宋_GB2312" w:eastAsia="仿宋_GB2312"/>
          <w:sz w:val="32"/>
          <w:szCs w:val="48"/>
        </w:rPr>
        <w:t>成“十三五</w:t>
      </w:r>
      <w:r>
        <w:rPr>
          <w:rFonts w:hint="eastAsia" w:eastAsia="仿宋_GB2312"/>
          <w:sz w:val="32"/>
          <w:szCs w:val="48"/>
        </w:rPr>
        <w:t>”</w:t>
      </w:r>
      <w:r>
        <w:rPr>
          <w:rFonts w:eastAsia="仿宋_GB2312"/>
          <w:sz w:val="32"/>
          <w:szCs w:val="48"/>
        </w:rPr>
        <w:t>初设定的发展目标，省内电动汽车使用迈出了从试点推广到规模化应用的关键一步。分类型来看，截</w:t>
      </w:r>
      <w:r>
        <w:rPr>
          <w:rFonts w:hint="eastAsia" w:eastAsia="仿宋_GB2312"/>
          <w:sz w:val="32"/>
          <w:szCs w:val="48"/>
          <w:lang w:eastAsia="zh-CN"/>
        </w:rPr>
        <w:t>至</w:t>
      </w:r>
      <w:r>
        <w:rPr>
          <w:rFonts w:eastAsia="仿宋_GB2312"/>
          <w:sz w:val="32"/>
          <w:szCs w:val="48"/>
        </w:rPr>
        <w:t>2020年底，电动公交车0.97</w:t>
      </w:r>
      <w:r>
        <w:rPr>
          <w:rFonts w:hint="eastAsia" w:eastAsia="仿宋_GB2312"/>
          <w:sz w:val="32"/>
          <w:szCs w:val="48"/>
        </w:rPr>
        <w:t>万辆，电动巡游出租车</w:t>
      </w:r>
      <w:r>
        <w:rPr>
          <w:rFonts w:eastAsia="仿宋_GB2312"/>
          <w:sz w:val="32"/>
          <w:szCs w:val="48"/>
        </w:rPr>
        <w:t>1.2</w:t>
      </w:r>
      <w:r>
        <w:rPr>
          <w:rFonts w:hint="eastAsia" w:eastAsia="仿宋_GB2312"/>
          <w:sz w:val="32"/>
          <w:szCs w:val="48"/>
        </w:rPr>
        <w:t>万辆，电动网约出租车</w:t>
      </w:r>
      <w:r>
        <w:rPr>
          <w:rFonts w:eastAsia="仿宋_GB2312"/>
          <w:sz w:val="32"/>
          <w:szCs w:val="48"/>
        </w:rPr>
        <w:t>1.85</w:t>
      </w:r>
      <w:r>
        <w:rPr>
          <w:rFonts w:hint="eastAsia" w:eastAsia="仿宋_GB2312"/>
          <w:sz w:val="32"/>
          <w:szCs w:val="48"/>
        </w:rPr>
        <w:t>万辆，电动轻型物流车</w:t>
      </w:r>
      <w:r>
        <w:rPr>
          <w:rFonts w:eastAsia="仿宋_GB2312"/>
          <w:sz w:val="32"/>
          <w:szCs w:val="48"/>
        </w:rPr>
        <w:t>2.1</w:t>
      </w:r>
      <w:r>
        <w:rPr>
          <w:rFonts w:hint="eastAsia" w:eastAsia="仿宋_GB2312"/>
          <w:sz w:val="32"/>
          <w:szCs w:val="48"/>
        </w:rPr>
        <w:t>万辆，电动环卫车</w:t>
      </w:r>
      <w:r>
        <w:rPr>
          <w:rFonts w:eastAsia="仿宋_GB2312"/>
          <w:sz w:val="32"/>
          <w:szCs w:val="48"/>
        </w:rPr>
        <w:t>0.05</w:t>
      </w:r>
      <w:r>
        <w:rPr>
          <w:rFonts w:hint="eastAsia" w:eastAsia="仿宋_GB2312"/>
          <w:sz w:val="32"/>
          <w:szCs w:val="48"/>
        </w:rPr>
        <w:t>万辆，电动客车</w:t>
      </w:r>
      <w:r>
        <w:rPr>
          <w:rFonts w:eastAsia="仿宋_GB2312"/>
          <w:sz w:val="32"/>
          <w:szCs w:val="48"/>
        </w:rPr>
        <w:t>0.01万辆，其它车辆0.01万辆，其余主要为电动私人及公务乘用车。</w:t>
      </w:r>
    </w:p>
    <w:p>
      <w:pPr>
        <w:pStyle w:val="2"/>
        <w:spacing w:line="580" w:lineRule="exact"/>
        <w:ind w:firstLine="640"/>
        <w:rPr>
          <w:rFonts w:eastAsia="仿宋_GB2312"/>
          <w:sz w:val="32"/>
          <w:szCs w:val="48"/>
        </w:rPr>
      </w:pPr>
      <w:r>
        <w:rPr>
          <w:rFonts w:eastAsia="仿宋_GB2312"/>
          <w:sz w:val="32"/>
          <w:szCs w:val="48"/>
        </w:rPr>
        <w:t>受相关政策推动，省会西安市公共领域车辆电动化率处于国内先进水平，截</w:t>
      </w:r>
      <w:r>
        <w:rPr>
          <w:rFonts w:hint="eastAsia" w:eastAsia="仿宋_GB2312"/>
          <w:sz w:val="32"/>
          <w:szCs w:val="48"/>
          <w:lang w:eastAsia="zh-CN"/>
        </w:rPr>
        <w:t>至</w:t>
      </w:r>
      <w:r>
        <w:rPr>
          <w:rFonts w:eastAsia="仿宋_GB2312"/>
          <w:sz w:val="32"/>
          <w:szCs w:val="48"/>
        </w:rPr>
        <w:t>2020年底</w:t>
      </w:r>
      <w:r>
        <w:rPr>
          <w:rFonts w:hint="eastAsia" w:eastAsia="仿宋_GB2312"/>
          <w:sz w:val="32"/>
          <w:szCs w:val="48"/>
        </w:rPr>
        <w:t>电动</w:t>
      </w:r>
      <w:r>
        <w:rPr>
          <w:rFonts w:eastAsia="仿宋_GB2312"/>
          <w:sz w:val="32"/>
          <w:szCs w:val="48"/>
        </w:rPr>
        <w:t>汽车保有量达10.4</w:t>
      </w:r>
      <w:r>
        <w:rPr>
          <w:rFonts w:hint="eastAsia" w:eastAsia="仿宋_GB2312"/>
          <w:sz w:val="32"/>
          <w:szCs w:val="48"/>
        </w:rPr>
        <w:t>3</w:t>
      </w:r>
      <w:r>
        <w:rPr>
          <w:rFonts w:eastAsia="仿宋_GB2312"/>
          <w:sz w:val="32"/>
          <w:szCs w:val="48"/>
        </w:rPr>
        <w:t>万辆，占</w:t>
      </w:r>
      <w:r>
        <w:rPr>
          <w:rFonts w:hint="eastAsia" w:eastAsia="仿宋_GB2312"/>
          <w:sz w:val="32"/>
          <w:szCs w:val="48"/>
        </w:rPr>
        <w:t>全省电动汽车保有量的85</w:t>
      </w:r>
      <w:r>
        <w:rPr>
          <w:rFonts w:eastAsia="仿宋_GB2312"/>
          <w:sz w:val="32"/>
          <w:szCs w:val="48"/>
        </w:rPr>
        <w:t>%</w:t>
      </w:r>
      <w:r>
        <w:rPr>
          <w:rFonts w:hint="eastAsia" w:eastAsia="仿宋_GB2312"/>
          <w:sz w:val="32"/>
          <w:szCs w:val="48"/>
        </w:rPr>
        <w:t>；</w:t>
      </w:r>
      <w:r>
        <w:rPr>
          <w:rFonts w:eastAsia="仿宋_GB2312"/>
          <w:sz w:val="32"/>
          <w:szCs w:val="48"/>
        </w:rPr>
        <w:t>其他地市</w:t>
      </w:r>
      <w:r>
        <w:rPr>
          <w:rFonts w:hint="eastAsia" w:eastAsia="仿宋_GB2312"/>
          <w:sz w:val="32"/>
          <w:szCs w:val="48"/>
        </w:rPr>
        <w:t>积极通过</w:t>
      </w:r>
      <w:r>
        <w:rPr>
          <w:rFonts w:eastAsia="仿宋_GB2312"/>
          <w:sz w:val="32"/>
          <w:szCs w:val="48"/>
        </w:rPr>
        <w:t>公共领域</w:t>
      </w:r>
      <w:r>
        <w:rPr>
          <w:rFonts w:hint="eastAsia" w:eastAsia="仿宋_GB2312"/>
          <w:sz w:val="32"/>
          <w:szCs w:val="48"/>
        </w:rPr>
        <w:t>应用带动区域内电动汽车推广</w:t>
      </w:r>
      <w:r>
        <w:rPr>
          <w:rFonts w:eastAsia="仿宋_GB2312"/>
          <w:sz w:val="32"/>
          <w:szCs w:val="48"/>
        </w:rPr>
        <w:t>，</w:t>
      </w:r>
      <w:r>
        <w:rPr>
          <w:rFonts w:hint="eastAsia" w:eastAsia="仿宋_GB2312"/>
          <w:sz w:val="32"/>
          <w:szCs w:val="48"/>
        </w:rPr>
        <w:t>取得了良好的示范效果</w:t>
      </w:r>
      <w:r>
        <w:rPr>
          <w:rFonts w:eastAsia="仿宋_GB2312"/>
          <w:sz w:val="32"/>
          <w:szCs w:val="48"/>
        </w:rPr>
        <w:t>。</w:t>
      </w:r>
    </w:p>
    <w:p>
      <w:pPr>
        <w:pStyle w:val="2"/>
        <w:spacing w:beforeLines="50" w:line="580" w:lineRule="exact"/>
        <w:ind w:firstLine="482" w:firstLineChars="0"/>
        <w:jc w:val="center"/>
        <w:rPr>
          <w:rFonts w:asciiTheme="minorEastAsia" w:hAnsiTheme="minorEastAsia" w:eastAsiaTheme="minorEastAsia"/>
          <w:b/>
          <w:sz w:val="24"/>
          <w:szCs w:val="48"/>
        </w:rPr>
      </w:pPr>
      <w:r>
        <w:rPr>
          <w:rFonts w:hint="eastAsia" w:ascii="仿宋_GB2312" w:eastAsia="仿宋_GB2312" w:hAnsiTheme="minorEastAsia"/>
          <w:b/>
          <w:sz w:val="24"/>
          <w:szCs w:val="48"/>
        </w:rPr>
        <w:t>表</w:t>
      </w:r>
      <w:r>
        <w:rPr>
          <w:rFonts w:eastAsia="仿宋_GB2312"/>
          <w:b/>
          <w:sz w:val="24"/>
          <w:szCs w:val="48"/>
        </w:rPr>
        <w:t>1</w:t>
      </w:r>
      <w:r>
        <w:rPr>
          <w:rFonts w:hint="eastAsia" w:ascii="仿宋_GB2312" w:eastAsia="仿宋_GB2312" w:hAnsiTheme="minorEastAsia"/>
          <w:b/>
          <w:sz w:val="24"/>
          <w:szCs w:val="48"/>
        </w:rPr>
        <w:t xml:space="preserve">  省内电动汽车保有量及渗透率现状</w:t>
      </w:r>
      <w:r>
        <w:rPr>
          <w:rStyle w:val="24"/>
          <w:rFonts w:eastAsiaTheme="minorEastAsia"/>
          <w:b/>
          <w:sz w:val="24"/>
          <w:szCs w:val="48"/>
        </w:rPr>
        <w:footnoteReference w:id="1"/>
      </w:r>
    </w:p>
    <w:tbl>
      <w:tblPr>
        <w:tblStyle w:val="18"/>
        <w:tblW w:w="7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76"/>
        <w:gridCol w:w="666"/>
        <w:gridCol w:w="966"/>
        <w:gridCol w:w="666"/>
        <w:gridCol w:w="966"/>
        <w:gridCol w:w="666"/>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6" w:type="dxa"/>
            <w:vAlign w:val="center"/>
          </w:tcPr>
          <w:p>
            <w:pPr>
              <w:pStyle w:val="2"/>
              <w:spacing w:line="300" w:lineRule="exact"/>
              <w:ind w:firstLine="0" w:firstLineChars="0"/>
              <w:jc w:val="center"/>
              <w:rPr>
                <w:rFonts w:eastAsia="仿宋"/>
                <w:sz w:val="15"/>
                <w:szCs w:val="48"/>
              </w:rPr>
            </w:pPr>
            <w:r>
              <w:rPr>
                <w:rFonts w:hint="eastAsia" w:eastAsia="仿宋"/>
                <w:sz w:val="18"/>
                <w:szCs w:val="48"/>
              </w:rPr>
              <w:t>车辆类型</w:t>
            </w:r>
          </w:p>
        </w:tc>
        <w:tc>
          <w:tcPr>
            <w:tcW w:w="57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合计</w:t>
            </w:r>
          </w:p>
        </w:tc>
        <w:tc>
          <w:tcPr>
            <w:tcW w:w="66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公交车</w:t>
            </w:r>
          </w:p>
        </w:tc>
        <w:tc>
          <w:tcPr>
            <w:tcW w:w="96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巡游出租车</w:t>
            </w:r>
          </w:p>
        </w:tc>
        <w:tc>
          <w:tcPr>
            <w:tcW w:w="66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环卫车</w:t>
            </w:r>
          </w:p>
        </w:tc>
        <w:tc>
          <w:tcPr>
            <w:tcW w:w="96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网约出租车</w:t>
            </w:r>
          </w:p>
        </w:tc>
        <w:tc>
          <w:tcPr>
            <w:tcW w:w="66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私家车</w:t>
            </w:r>
          </w:p>
        </w:tc>
        <w:tc>
          <w:tcPr>
            <w:tcW w:w="516" w:type="dxa"/>
            <w:vAlign w:val="center"/>
          </w:tcPr>
          <w:p>
            <w:pPr>
              <w:pStyle w:val="2"/>
              <w:spacing w:line="300" w:lineRule="exact"/>
              <w:ind w:firstLine="0" w:firstLineChars="0"/>
              <w:jc w:val="center"/>
              <w:rPr>
                <w:rFonts w:eastAsia="仿宋"/>
                <w:sz w:val="15"/>
                <w:szCs w:val="48"/>
              </w:rPr>
            </w:pPr>
            <w:r>
              <w:rPr>
                <w:rFonts w:hint="eastAsia" w:eastAsia="仿宋"/>
                <w:sz w:val="15"/>
                <w:szCs w:val="48"/>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6" w:type="dxa"/>
            <w:vAlign w:val="center"/>
          </w:tcPr>
          <w:p>
            <w:pPr>
              <w:pStyle w:val="2"/>
              <w:spacing w:line="300" w:lineRule="exact"/>
              <w:ind w:firstLine="0" w:firstLineChars="0"/>
              <w:jc w:val="center"/>
              <w:rPr>
                <w:rFonts w:eastAsia="仿宋"/>
                <w:sz w:val="18"/>
                <w:szCs w:val="48"/>
              </w:rPr>
            </w:pPr>
            <w:r>
              <w:rPr>
                <w:rFonts w:hint="eastAsia" w:eastAsia="仿宋"/>
                <w:sz w:val="18"/>
                <w:szCs w:val="48"/>
              </w:rPr>
              <w:t>电动汽车保有量（万辆）</w:t>
            </w:r>
          </w:p>
        </w:tc>
        <w:tc>
          <w:tcPr>
            <w:tcW w:w="576" w:type="dxa"/>
            <w:vAlign w:val="center"/>
          </w:tcPr>
          <w:p>
            <w:pPr>
              <w:pStyle w:val="2"/>
              <w:spacing w:line="300" w:lineRule="exact"/>
              <w:ind w:firstLine="0" w:firstLineChars="0"/>
              <w:jc w:val="center"/>
              <w:rPr>
                <w:rFonts w:eastAsia="仿宋"/>
                <w:sz w:val="16"/>
                <w:szCs w:val="48"/>
              </w:rPr>
            </w:pPr>
            <w:r>
              <w:rPr>
                <w:rFonts w:eastAsia="仿宋"/>
                <w:sz w:val="16"/>
                <w:szCs w:val="48"/>
              </w:rPr>
              <w:t>12</w:t>
            </w:r>
            <w:r>
              <w:rPr>
                <w:rFonts w:hint="eastAsia" w:eastAsia="仿宋"/>
                <w:sz w:val="16"/>
                <w:szCs w:val="48"/>
              </w:rPr>
              <w:t>.27</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0.</w:t>
            </w:r>
            <w:r>
              <w:rPr>
                <w:rFonts w:hint="eastAsia" w:eastAsia="仿宋"/>
                <w:sz w:val="16"/>
                <w:szCs w:val="48"/>
              </w:rPr>
              <w:t>97</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1.2</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0.05</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1.85</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6.</w:t>
            </w:r>
            <w:r>
              <w:rPr>
                <w:rFonts w:hint="eastAsia" w:eastAsia="仿宋"/>
                <w:sz w:val="16"/>
                <w:szCs w:val="48"/>
              </w:rPr>
              <w:t>33</w:t>
            </w:r>
          </w:p>
        </w:tc>
        <w:tc>
          <w:tcPr>
            <w:tcW w:w="516" w:type="dxa"/>
            <w:vAlign w:val="center"/>
          </w:tcPr>
          <w:p>
            <w:pPr>
              <w:pStyle w:val="2"/>
              <w:spacing w:line="300" w:lineRule="exact"/>
              <w:ind w:firstLine="0" w:firstLineChars="0"/>
              <w:jc w:val="center"/>
              <w:rPr>
                <w:rFonts w:eastAsia="仿宋"/>
                <w:sz w:val="16"/>
                <w:szCs w:val="48"/>
              </w:rPr>
            </w:pPr>
            <w:r>
              <w:rPr>
                <w:rFonts w:hint="eastAsia" w:eastAsia="仿宋"/>
                <w:sz w:val="16"/>
                <w:szCs w:val="48"/>
              </w:rPr>
              <w:t>0</w:t>
            </w:r>
            <w:r>
              <w:rPr>
                <w:rFonts w:eastAsia="仿宋"/>
                <w:sz w:val="16"/>
                <w:szCs w:val="4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6" w:type="dxa"/>
            <w:vAlign w:val="center"/>
          </w:tcPr>
          <w:p>
            <w:pPr>
              <w:pStyle w:val="2"/>
              <w:spacing w:line="300" w:lineRule="exact"/>
              <w:ind w:firstLine="0" w:firstLineChars="0"/>
              <w:jc w:val="center"/>
              <w:rPr>
                <w:rFonts w:eastAsia="仿宋"/>
                <w:sz w:val="18"/>
                <w:szCs w:val="48"/>
              </w:rPr>
            </w:pPr>
            <w:r>
              <w:rPr>
                <w:rFonts w:hint="eastAsia" w:eastAsia="仿宋"/>
                <w:sz w:val="18"/>
                <w:szCs w:val="48"/>
              </w:rPr>
              <w:t>汽车保有量（万辆）</w:t>
            </w:r>
          </w:p>
        </w:tc>
        <w:tc>
          <w:tcPr>
            <w:tcW w:w="576" w:type="dxa"/>
            <w:vAlign w:val="center"/>
          </w:tcPr>
          <w:p>
            <w:pPr>
              <w:pStyle w:val="2"/>
              <w:spacing w:line="300" w:lineRule="exact"/>
              <w:ind w:firstLine="0" w:firstLineChars="0"/>
              <w:jc w:val="center"/>
              <w:rPr>
                <w:rFonts w:eastAsia="仿宋"/>
                <w:sz w:val="16"/>
                <w:szCs w:val="48"/>
              </w:rPr>
            </w:pPr>
            <w:r>
              <w:rPr>
                <w:rFonts w:hint="eastAsia" w:eastAsia="仿宋"/>
                <w:sz w:val="16"/>
                <w:szCs w:val="48"/>
              </w:rPr>
              <w:t>739</w:t>
            </w:r>
            <w:r>
              <w:rPr>
                <w:rStyle w:val="24"/>
                <w:rFonts w:eastAsia="仿宋"/>
                <w:sz w:val="16"/>
                <w:szCs w:val="48"/>
              </w:rPr>
              <w:footnoteReference w:id="2"/>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1.8</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4.</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0.58</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3</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570</w:t>
            </w:r>
          </w:p>
        </w:tc>
        <w:tc>
          <w:tcPr>
            <w:tcW w:w="516" w:type="dxa"/>
            <w:vAlign w:val="center"/>
          </w:tcPr>
          <w:p>
            <w:pPr>
              <w:pStyle w:val="2"/>
              <w:spacing w:line="300" w:lineRule="exact"/>
              <w:ind w:firstLine="0" w:firstLineChars="0"/>
              <w:jc w:val="center"/>
              <w:rPr>
                <w:rFonts w:eastAsia="仿宋"/>
                <w:sz w:val="16"/>
                <w:szCs w:val="48"/>
              </w:rPr>
            </w:pPr>
            <w:r>
              <w:rPr>
                <w:rFonts w:hint="eastAsia" w:eastAsia="仿宋"/>
                <w:sz w:val="16"/>
                <w:szCs w:val="4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6" w:type="dxa"/>
            <w:vAlign w:val="center"/>
          </w:tcPr>
          <w:p>
            <w:pPr>
              <w:pStyle w:val="2"/>
              <w:spacing w:line="300" w:lineRule="exact"/>
              <w:ind w:firstLine="0" w:firstLineChars="0"/>
              <w:jc w:val="center"/>
              <w:rPr>
                <w:rFonts w:eastAsia="仿宋"/>
                <w:sz w:val="18"/>
                <w:szCs w:val="48"/>
              </w:rPr>
            </w:pPr>
            <w:r>
              <w:rPr>
                <w:rFonts w:hint="eastAsia" w:eastAsia="仿宋"/>
                <w:sz w:val="18"/>
                <w:szCs w:val="48"/>
              </w:rPr>
              <w:t>电动汽车保有量渗透率（</w:t>
            </w:r>
            <w:r>
              <w:rPr>
                <w:rFonts w:eastAsia="仿宋"/>
                <w:sz w:val="18"/>
                <w:szCs w:val="48"/>
              </w:rPr>
              <w:t>%</w:t>
            </w:r>
            <w:r>
              <w:rPr>
                <w:rFonts w:hint="eastAsia" w:eastAsia="仿宋"/>
                <w:sz w:val="18"/>
                <w:szCs w:val="48"/>
              </w:rPr>
              <w:t>）</w:t>
            </w:r>
          </w:p>
        </w:tc>
        <w:tc>
          <w:tcPr>
            <w:tcW w:w="576" w:type="dxa"/>
            <w:vAlign w:val="center"/>
          </w:tcPr>
          <w:p>
            <w:pPr>
              <w:pStyle w:val="2"/>
              <w:spacing w:line="300" w:lineRule="exact"/>
              <w:ind w:firstLine="0" w:firstLineChars="0"/>
              <w:jc w:val="center"/>
              <w:rPr>
                <w:rFonts w:eastAsia="仿宋"/>
                <w:sz w:val="16"/>
                <w:szCs w:val="48"/>
              </w:rPr>
            </w:pPr>
            <w:r>
              <w:rPr>
                <w:rFonts w:eastAsia="仿宋"/>
                <w:sz w:val="16"/>
                <w:szCs w:val="48"/>
              </w:rPr>
              <w:t>1</w:t>
            </w:r>
            <w:r>
              <w:rPr>
                <w:rFonts w:hint="eastAsia" w:eastAsia="仿宋"/>
                <w:sz w:val="16"/>
                <w:szCs w:val="48"/>
              </w:rPr>
              <w:t>.66</w:t>
            </w:r>
          </w:p>
        </w:tc>
        <w:tc>
          <w:tcPr>
            <w:tcW w:w="666" w:type="dxa"/>
            <w:vAlign w:val="center"/>
          </w:tcPr>
          <w:p>
            <w:pPr>
              <w:pStyle w:val="2"/>
              <w:spacing w:line="300" w:lineRule="exact"/>
              <w:ind w:firstLine="0" w:firstLineChars="0"/>
              <w:jc w:val="center"/>
              <w:rPr>
                <w:rFonts w:eastAsia="仿宋"/>
                <w:sz w:val="16"/>
                <w:szCs w:val="48"/>
              </w:rPr>
            </w:pPr>
            <w:r>
              <w:rPr>
                <w:rFonts w:hint="eastAsia" w:eastAsia="仿宋"/>
                <w:sz w:val="16"/>
                <w:szCs w:val="48"/>
              </w:rPr>
              <w:t>53.9</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30</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8.6</w:t>
            </w:r>
          </w:p>
        </w:tc>
        <w:tc>
          <w:tcPr>
            <w:tcW w:w="966" w:type="dxa"/>
            <w:vAlign w:val="center"/>
          </w:tcPr>
          <w:p>
            <w:pPr>
              <w:pStyle w:val="2"/>
              <w:spacing w:line="300" w:lineRule="exact"/>
              <w:ind w:firstLine="0" w:firstLineChars="0"/>
              <w:jc w:val="center"/>
              <w:rPr>
                <w:rFonts w:eastAsia="仿宋"/>
                <w:sz w:val="16"/>
                <w:szCs w:val="48"/>
              </w:rPr>
            </w:pPr>
            <w:r>
              <w:rPr>
                <w:rFonts w:eastAsia="仿宋"/>
                <w:sz w:val="16"/>
                <w:szCs w:val="48"/>
              </w:rPr>
              <w:t>61.7</w:t>
            </w:r>
          </w:p>
        </w:tc>
        <w:tc>
          <w:tcPr>
            <w:tcW w:w="666" w:type="dxa"/>
            <w:vAlign w:val="center"/>
          </w:tcPr>
          <w:p>
            <w:pPr>
              <w:pStyle w:val="2"/>
              <w:spacing w:line="300" w:lineRule="exact"/>
              <w:ind w:firstLine="0" w:firstLineChars="0"/>
              <w:jc w:val="center"/>
              <w:rPr>
                <w:rFonts w:eastAsia="仿宋"/>
                <w:sz w:val="16"/>
                <w:szCs w:val="48"/>
              </w:rPr>
            </w:pPr>
            <w:r>
              <w:rPr>
                <w:rFonts w:eastAsia="仿宋"/>
                <w:sz w:val="16"/>
                <w:szCs w:val="48"/>
              </w:rPr>
              <w:t>0.8</w:t>
            </w:r>
          </w:p>
        </w:tc>
        <w:tc>
          <w:tcPr>
            <w:tcW w:w="516" w:type="dxa"/>
            <w:vAlign w:val="center"/>
          </w:tcPr>
          <w:p>
            <w:pPr>
              <w:pStyle w:val="2"/>
              <w:spacing w:line="300" w:lineRule="exact"/>
              <w:ind w:firstLine="0" w:firstLineChars="0"/>
              <w:jc w:val="center"/>
              <w:rPr>
                <w:rFonts w:eastAsia="仿宋"/>
                <w:sz w:val="16"/>
                <w:szCs w:val="48"/>
              </w:rPr>
            </w:pPr>
            <w:r>
              <w:rPr>
                <w:rFonts w:hint="eastAsia" w:eastAsia="仿宋"/>
                <w:sz w:val="16"/>
                <w:szCs w:val="48"/>
              </w:rPr>
              <w:t>0.48</w:t>
            </w:r>
          </w:p>
        </w:tc>
      </w:tr>
    </w:tbl>
    <w:p>
      <w:pPr>
        <w:pStyle w:val="4"/>
        <w:spacing w:beforeLines="25" w:line="580" w:lineRule="exact"/>
        <w:ind w:firstLine="643"/>
      </w:pPr>
      <w:bookmarkStart w:id="11" w:name="_Toc25040"/>
      <w:bookmarkStart w:id="12" w:name="_Toc47622918"/>
      <w:bookmarkStart w:id="13" w:name="_Toc447114625"/>
      <w:bookmarkStart w:id="14" w:name="_Toc14662"/>
      <w:r>
        <w:t>（</w:t>
      </w:r>
      <w:r>
        <w:rPr>
          <w:rFonts w:hint="eastAsia"/>
        </w:rPr>
        <w:t>三</w:t>
      </w:r>
      <w:r>
        <w:t>）充电设施建设现状</w:t>
      </w:r>
      <w:bookmarkEnd w:id="11"/>
      <w:bookmarkEnd w:id="12"/>
      <w:bookmarkEnd w:id="13"/>
      <w:bookmarkEnd w:id="14"/>
    </w:p>
    <w:p>
      <w:pPr>
        <w:adjustRightInd w:val="0"/>
        <w:snapToGrid w:val="0"/>
        <w:spacing w:line="580" w:lineRule="exact"/>
        <w:ind w:firstLine="640" w:firstLineChars="200"/>
        <w:rPr>
          <w:rFonts w:ascii="仿宋_GB2312" w:eastAsia="仿宋_GB2312"/>
          <w:sz w:val="32"/>
          <w:szCs w:val="48"/>
        </w:rPr>
      </w:pPr>
      <w:r>
        <w:rPr>
          <w:rFonts w:hint="eastAsia" w:ascii="仿宋_GB2312" w:eastAsia="仿宋_GB2312"/>
          <w:sz w:val="32"/>
          <w:szCs w:val="48"/>
        </w:rPr>
        <w:t>陕西省电动汽车的快速发展离不开充电设施的重要保障作用，“十三五”是陕西省电动汽车及充电设施发展的起步期，省内各级政府积极落实《陕西省电动汽车充电基础设施专项规划》（</w:t>
      </w:r>
      <w:r>
        <w:rPr>
          <w:rFonts w:ascii="Times New Roman" w:hAnsi="Times New Roman" w:eastAsia="仿宋_GB2312" w:cs="Times New Roman"/>
          <w:sz w:val="32"/>
          <w:szCs w:val="48"/>
        </w:rPr>
        <w:t>2016-2020</w:t>
      </w:r>
      <w:r>
        <w:rPr>
          <w:rFonts w:hint="eastAsia" w:ascii="仿宋_GB2312" w:eastAsia="仿宋_GB2312"/>
          <w:sz w:val="32"/>
          <w:szCs w:val="48"/>
        </w:rPr>
        <w:t>年）发展要求，省市两级层面规划制定充电设施建设目标，出台优惠补贴、建设规范、管理要求等多方面政策，着力解决充电设施建设难的问题，圆满完成“十三五”期间充电设施建设目标，满足了省内电动汽车充电需求，有力推动了公交、出租、网约、轻型物流等公共领域电动化进程，促进了电动汽车在个人乘用车领域的推广应用，形成了充电设施行业蓬勃发展的良好局面。</w:t>
      </w:r>
    </w:p>
    <w:p>
      <w:pPr>
        <w:pStyle w:val="5"/>
        <w:spacing w:line="580" w:lineRule="exact"/>
        <w:ind w:firstLine="643"/>
      </w:pPr>
      <w:r>
        <w:rPr>
          <w:rFonts w:hint="eastAsia"/>
        </w:rPr>
        <w:t>1.充电设施网络体系逐步形成</w:t>
      </w:r>
    </w:p>
    <w:p>
      <w:pPr>
        <w:pStyle w:val="2"/>
        <w:spacing w:line="580" w:lineRule="exact"/>
        <w:ind w:firstLine="640"/>
        <w:rPr>
          <w:rFonts w:eastAsia="仿宋"/>
          <w:kern w:val="0"/>
          <w:sz w:val="32"/>
          <w:szCs w:val="32"/>
        </w:rPr>
      </w:pPr>
      <w:r>
        <w:rPr>
          <w:rFonts w:eastAsia="仿宋_GB2312"/>
          <w:kern w:val="0"/>
          <w:sz w:val="32"/>
          <w:szCs w:val="32"/>
        </w:rPr>
        <w:t>截</w:t>
      </w:r>
      <w:r>
        <w:rPr>
          <w:rFonts w:hint="eastAsia" w:eastAsia="仿宋_GB2312"/>
          <w:kern w:val="0"/>
          <w:sz w:val="32"/>
          <w:szCs w:val="32"/>
          <w:lang w:eastAsia="zh-CN"/>
        </w:rPr>
        <w:t>至</w:t>
      </w:r>
      <w:r>
        <w:rPr>
          <w:rFonts w:eastAsia="仿宋_GB2312"/>
          <w:kern w:val="0"/>
          <w:sz w:val="32"/>
          <w:szCs w:val="32"/>
        </w:rPr>
        <w:t>2020年末，省内公共充电桩总数超过1.7万</w:t>
      </w:r>
      <w:r>
        <w:rPr>
          <w:rFonts w:hint="eastAsia" w:eastAsia="仿宋_GB2312"/>
          <w:kern w:val="0"/>
          <w:sz w:val="32"/>
          <w:szCs w:val="32"/>
        </w:rPr>
        <w:t>根</w:t>
      </w:r>
      <w:r>
        <w:rPr>
          <w:rStyle w:val="24"/>
          <w:rFonts w:eastAsia="仿宋_GB2312"/>
          <w:kern w:val="0"/>
          <w:sz w:val="32"/>
          <w:szCs w:val="32"/>
        </w:rPr>
        <w:footnoteReference w:id="3"/>
      </w:r>
      <w:r>
        <w:rPr>
          <w:rFonts w:eastAsia="仿宋_GB2312"/>
          <w:kern w:val="0"/>
          <w:sz w:val="32"/>
          <w:szCs w:val="32"/>
        </w:rPr>
        <w:t>、总功率约73万千瓦，直流充电桩与交流充电桩比例约为2:1，主要满足出租、网约、公交、物流等运营车辆充电需求，2020年全省公共充电站充电量约5.9亿度，充电量排名位于全国前五位。省内公共充电设施随电动汽车应用主要布局于西安市，西安市则主要集中于三环以内区域；其他地市根据电动汽车推广情况，相应建设了专用、公用、自用等充电设施。</w:t>
      </w:r>
      <w:r>
        <w:rPr>
          <w:rFonts w:eastAsia="仿宋_GB2312"/>
          <w:sz w:val="32"/>
          <w:szCs w:val="48"/>
        </w:rPr>
        <w:t>陕西省积极开展充电设施</w:t>
      </w:r>
      <w:r>
        <w:rPr>
          <w:rFonts w:hint="eastAsia" w:eastAsia="仿宋_GB2312"/>
          <w:sz w:val="32"/>
          <w:szCs w:val="48"/>
        </w:rPr>
        <w:t>“</w:t>
      </w:r>
      <w:r>
        <w:rPr>
          <w:rFonts w:eastAsia="仿宋_GB2312"/>
          <w:sz w:val="32"/>
          <w:szCs w:val="48"/>
        </w:rPr>
        <w:t>进政府、进高校、进企业、进景区、进园区、进小区</w:t>
      </w:r>
      <w:r>
        <w:rPr>
          <w:rFonts w:hint="eastAsia" w:eastAsia="仿宋_GB2312"/>
          <w:sz w:val="32"/>
          <w:szCs w:val="48"/>
        </w:rPr>
        <w:t>”</w:t>
      </w:r>
      <w:r>
        <w:rPr>
          <w:rFonts w:eastAsia="仿宋_GB2312"/>
          <w:sz w:val="32"/>
          <w:szCs w:val="48"/>
        </w:rPr>
        <w:t>，旨在优化充电设施建设布局、满足电</w:t>
      </w:r>
      <w:r>
        <w:rPr>
          <w:rFonts w:eastAsia="仿宋_GB2312"/>
          <w:kern w:val="0"/>
          <w:sz w:val="32"/>
          <w:szCs w:val="32"/>
        </w:rPr>
        <w:t>动汽车充电需求，</w:t>
      </w:r>
      <w:r>
        <w:rPr>
          <w:rFonts w:hint="eastAsia" w:eastAsia="仿宋_GB2312"/>
          <w:kern w:val="0"/>
          <w:sz w:val="32"/>
          <w:szCs w:val="32"/>
        </w:rPr>
        <w:t>打造覆盖广泛的充电设施网络体系，</w:t>
      </w:r>
      <w:r>
        <w:rPr>
          <w:rFonts w:eastAsia="仿宋_GB2312"/>
          <w:kern w:val="0"/>
          <w:sz w:val="32"/>
          <w:szCs w:val="32"/>
        </w:rPr>
        <w:t>推动电动汽车应用普及。</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建成高速公路服务区充电站达百</w:t>
      </w:r>
      <w:r>
        <w:rPr>
          <w:rFonts w:hint="eastAsia" w:eastAsia="仿宋"/>
          <w:kern w:val="0"/>
          <w:sz w:val="32"/>
          <w:szCs w:val="32"/>
        </w:rPr>
        <w:t>座</w:t>
      </w:r>
      <w:r>
        <w:rPr>
          <w:rFonts w:hint="eastAsia" w:ascii="仿宋_GB2312" w:eastAsia="仿宋_GB2312"/>
          <w:kern w:val="0"/>
          <w:sz w:val="32"/>
          <w:szCs w:val="32"/>
        </w:rPr>
        <w:t>，基本覆盖省内高速公路，初步形成城际出行充电网络。推进充电新技术应用，完中国西部创新港有序充电项目建设，建成</w:t>
      </w:r>
      <w:r>
        <w:rPr>
          <w:rFonts w:hint="eastAsia" w:eastAsia="仿宋"/>
          <w:kern w:val="0"/>
          <w:sz w:val="32"/>
          <w:szCs w:val="32"/>
        </w:rPr>
        <w:t>10</w:t>
      </w:r>
      <w:r>
        <w:rPr>
          <w:rFonts w:eastAsia="仿宋"/>
          <w:kern w:val="0"/>
          <w:sz w:val="32"/>
          <w:szCs w:val="32"/>
        </w:rPr>
        <w:t>0</w:t>
      </w:r>
      <w:r>
        <w:rPr>
          <w:rFonts w:hint="eastAsia" w:eastAsia="仿宋"/>
          <w:kern w:val="0"/>
          <w:sz w:val="32"/>
          <w:szCs w:val="32"/>
        </w:rPr>
        <w:t>0余根7kW</w:t>
      </w:r>
      <w:r>
        <w:rPr>
          <w:rFonts w:hint="eastAsia" w:ascii="仿宋_GB2312" w:eastAsia="仿宋_GB2312"/>
          <w:kern w:val="0"/>
          <w:sz w:val="32"/>
          <w:szCs w:val="32"/>
        </w:rPr>
        <w:t>、有序充电桩；试点建成咸阳机场大功率充电站。在华山、兵马俑景区建成公用充电设施。</w:t>
      </w:r>
    </w:p>
    <w:p>
      <w:pPr>
        <w:pStyle w:val="5"/>
        <w:spacing w:line="580" w:lineRule="exact"/>
        <w:ind w:firstLine="643"/>
      </w:pPr>
      <w:r>
        <w:rPr>
          <w:rFonts w:hint="eastAsia"/>
        </w:rPr>
        <w:t>2.充电设施产业初具规模</w:t>
      </w:r>
    </w:p>
    <w:p>
      <w:pPr>
        <w:pStyle w:val="2"/>
        <w:spacing w:line="580" w:lineRule="exact"/>
        <w:ind w:firstLine="640"/>
        <w:rPr>
          <w:rFonts w:ascii="仿宋_GB2312" w:eastAsia="仿宋_GB2312"/>
          <w:kern w:val="0"/>
          <w:sz w:val="32"/>
          <w:szCs w:val="32"/>
        </w:rPr>
      </w:pPr>
      <w:r>
        <w:rPr>
          <w:rFonts w:ascii="仿宋_GB2312" w:eastAsia="仿宋_GB2312"/>
          <w:kern w:val="0"/>
          <w:sz w:val="32"/>
          <w:szCs w:val="32"/>
        </w:rPr>
        <w:t>省内公共充电设施建设</w:t>
      </w:r>
      <w:r>
        <w:rPr>
          <w:rFonts w:hint="eastAsia" w:ascii="仿宋_GB2312" w:eastAsia="仿宋_GB2312"/>
          <w:kern w:val="0"/>
          <w:sz w:val="32"/>
          <w:szCs w:val="32"/>
        </w:rPr>
        <w:t>运营企业已达近百余</w:t>
      </w:r>
      <w:r>
        <w:rPr>
          <w:rFonts w:ascii="仿宋_GB2312" w:eastAsia="仿宋_GB2312"/>
          <w:kern w:val="0"/>
          <w:sz w:val="32"/>
          <w:szCs w:val="32"/>
        </w:rPr>
        <w:t>家，规模较大的主要有</w:t>
      </w:r>
      <w:r>
        <w:rPr>
          <w:rFonts w:hint="eastAsia" w:ascii="仿宋_GB2312" w:eastAsia="仿宋_GB2312"/>
          <w:kern w:val="0"/>
          <w:sz w:val="32"/>
          <w:szCs w:val="32"/>
        </w:rPr>
        <w:t>国网陕西电动汽车公司、西安城投特来电、西安城投新能源、陕西万邦星星新能源、陕西万充</w:t>
      </w:r>
      <w:r>
        <w:rPr>
          <w:rFonts w:ascii="仿宋_GB2312" w:eastAsia="仿宋_GB2312"/>
          <w:kern w:val="0"/>
          <w:sz w:val="32"/>
          <w:szCs w:val="32"/>
        </w:rPr>
        <w:t>等。主要服务公交车的充电站充电量较为稳定，</w:t>
      </w:r>
      <w:r>
        <w:rPr>
          <w:rFonts w:hint="eastAsia" w:ascii="仿宋_GB2312" w:eastAsia="仿宋_GB2312"/>
          <w:kern w:val="0"/>
          <w:sz w:val="32"/>
          <w:szCs w:val="32"/>
        </w:rPr>
        <w:t>平均</w:t>
      </w:r>
      <w:r>
        <w:rPr>
          <w:rFonts w:ascii="仿宋_GB2312" w:eastAsia="仿宋_GB2312"/>
          <w:kern w:val="0"/>
          <w:sz w:val="32"/>
          <w:szCs w:val="32"/>
        </w:rPr>
        <w:t>利用率为</w:t>
      </w:r>
      <w:r>
        <w:rPr>
          <w:rFonts w:eastAsia="仿宋"/>
          <w:kern w:val="0"/>
          <w:sz w:val="32"/>
          <w:szCs w:val="32"/>
        </w:rPr>
        <w:t>15%左</w:t>
      </w:r>
      <w:r>
        <w:rPr>
          <w:rFonts w:ascii="仿宋_GB2312" w:eastAsia="仿宋_GB2312"/>
          <w:kern w:val="0"/>
          <w:sz w:val="32"/>
          <w:szCs w:val="32"/>
        </w:rPr>
        <w:t>右。主要服务电动出租车、网约车等运营车辆</w:t>
      </w:r>
      <w:r>
        <w:rPr>
          <w:rFonts w:hint="eastAsia" w:ascii="仿宋_GB2312" w:eastAsia="仿宋_GB2312"/>
          <w:kern w:val="0"/>
          <w:sz w:val="32"/>
          <w:szCs w:val="32"/>
        </w:rPr>
        <w:t>的</w:t>
      </w:r>
      <w:r>
        <w:rPr>
          <w:rFonts w:ascii="仿宋_GB2312" w:eastAsia="仿宋_GB2312"/>
          <w:kern w:val="0"/>
          <w:sz w:val="32"/>
          <w:szCs w:val="32"/>
        </w:rPr>
        <w:t>公共充电站利用率与位置等因素相关</w:t>
      </w:r>
      <w:r>
        <w:rPr>
          <w:rFonts w:hint="eastAsia" w:ascii="仿宋_GB2312" w:eastAsia="仿宋_GB2312"/>
          <w:kern w:val="0"/>
          <w:sz w:val="32"/>
          <w:szCs w:val="32"/>
        </w:rPr>
        <w:t>，</w:t>
      </w:r>
      <w:r>
        <w:rPr>
          <w:rFonts w:ascii="仿宋_GB2312" w:eastAsia="仿宋_GB2312"/>
          <w:kern w:val="0"/>
          <w:sz w:val="32"/>
          <w:szCs w:val="32"/>
        </w:rPr>
        <w:t>差异较大，</w:t>
      </w:r>
      <w:r>
        <w:rPr>
          <w:rFonts w:hint="eastAsia" w:ascii="仿宋_GB2312" w:eastAsia="仿宋_GB2312"/>
          <w:kern w:val="0"/>
          <w:sz w:val="32"/>
          <w:szCs w:val="32"/>
        </w:rPr>
        <w:t>为</w:t>
      </w:r>
      <w:r>
        <w:rPr>
          <w:rFonts w:eastAsia="仿宋"/>
          <w:kern w:val="0"/>
          <w:sz w:val="32"/>
          <w:szCs w:val="32"/>
        </w:rPr>
        <w:t>6%</w:t>
      </w:r>
      <w:r>
        <w:rPr>
          <w:rFonts w:hint="eastAsia" w:eastAsia="仿宋"/>
          <w:kern w:val="0"/>
          <w:sz w:val="32"/>
          <w:szCs w:val="32"/>
        </w:rPr>
        <w:t>～</w:t>
      </w:r>
      <w:r>
        <w:rPr>
          <w:rFonts w:eastAsia="仿宋"/>
          <w:kern w:val="0"/>
          <w:sz w:val="32"/>
          <w:szCs w:val="32"/>
        </w:rPr>
        <w:t>20%</w:t>
      </w:r>
      <w:r>
        <w:rPr>
          <w:rFonts w:hint="eastAsia" w:ascii="仿宋_GB2312" w:eastAsia="仿宋_GB2312"/>
          <w:kern w:val="0"/>
          <w:sz w:val="32"/>
          <w:szCs w:val="32"/>
        </w:rPr>
        <w:t>左右。省内电动汽车充电设备制造产业紧跟国内外发展步伐，在产品研发、生产等领域具备一定实力。</w:t>
      </w:r>
    </w:p>
    <w:p>
      <w:pPr>
        <w:pStyle w:val="5"/>
        <w:spacing w:line="580" w:lineRule="exact"/>
        <w:ind w:firstLine="643"/>
      </w:pPr>
      <w:r>
        <w:rPr>
          <w:rFonts w:hint="eastAsia"/>
        </w:rPr>
        <w:t>3.私人充电设施有序发展</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私人乘用车原则上按照车桩比</w:t>
      </w:r>
      <w:r>
        <w:rPr>
          <w:rFonts w:eastAsia="仿宋_GB2312"/>
          <w:kern w:val="0"/>
          <w:sz w:val="32"/>
          <w:szCs w:val="32"/>
        </w:rPr>
        <w:t>1:1建设自用充电桩，实际由于不具有固定停车位、小区物业安全考虑、小区配变容量有限、改造空间受限等原因，建成率约70%左</w:t>
      </w:r>
      <w:r>
        <w:rPr>
          <w:rFonts w:hint="eastAsia" w:ascii="仿宋_GB2312" w:eastAsia="仿宋_GB2312"/>
          <w:kern w:val="0"/>
          <w:sz w:val="32"/>
          <w:szCs w:val="32"/>
        </w:rPr>
        <w:t>右，全省共约</w:t>
      </w:r>
      <w:r>
        <w:rPr>
          <w:rFonts w:hint="eastAsia" w:eastAsia="仿宋_GB2312"/>
          <w:kern w:val="0"/>
          <w:sz w:val="32"/>
          <w:szCs w:val="32"/>
        </w:rPr>
        <w:t>4.5</w:t>
      </w:r>
      <w:r>
        <w:rPr>
          <w:rFonts w:hint="eastAsia" w:ascii="仿宋_GB2312" w:eastAsia="仿宋_GB2312"/>
          <w:kern w:val="0"/>
          <w:sz w:val="32"/>
          <w:szCs w:val="32"/>
        </w:rPr>
        <w:t>万根私人充电桩。</w:t>
      </w:r>
    </w:p>
    <w:p>
      <w:pPr>
        <w:pStyle w:val="5"/>
        <w:spacing w:line="580" w:lineRule="exact"/>
        <w:ind w:firstLine="643"/>
      </w:pPr>
      <w:r>
        <w:rPr>
          <w:rFonts w:hint="eastAsia"/>
        </w:rPr>
        <w:t>4.建设陕西省智慧车联网平台</w:t>
      </w:r>
    </w:p>
    <w:p>
      <w:pPr>
        <w:pStyle w:val="2"/>
        <w:spacing w:line="580" w:lineRule="exact"/>
        <w:ind w:firstLine="640"/>
        <w:rPr>
          <w:rFonts w:eastAsia="仿宋_GB2312"/>
          <w:kern w:val="0"/>
          <w:sz w:val="32"/>
          <w:szCs w:val="32"/>
        </w:rPr>
      </w:pPr>
      <w:r>
        <w:rPr>
          <w:rFonts w:hint="eastAsia" w:ascii="仿宋_GB2312" w:eastAsia="仿宋_GB2312"/>
          <w:kern w:val="0"/>
          <w:sz w:val="32"/>
          <w:szCs w:val="32"/>
        </w:rPr>
        <w:t>建成西部地区首个省级充电服务平台—陕西智慧车联网平台，该平台是</w:t>
      </w:r>
      <w:r>
        <w:rPr>
          <w:rFonts w:hint="eastAsia" w:eastAsia="仿宋_GB2312"/>
          <w:kern w:val="0"/>
          <w:sz w:val="32"/>
          <w:szCs w:val="32"/>
        </w:rPr>
        <w:t>由陕西充电设施分会负责组建、运行管理的公益</w:t>
      </w:r>
      <w:r>
        <w:rPr>
          <w:rFonts w:eastAsia="仿宋_GB2312"/>
          <w:kern w:val="0"/>
          <w:sz w:val="32"/>
          <w:szCs w:val="32"/>
        </w:rPr>
        <w:t>性省级政府平台，</w:t>
      </w:r>
      <w:r>
        <w:rPr>
          <w:rFonts w:hint="eastAsia" w:eastAsia="仿宋_GB2312"/>
          <w:kern w:val="0"/>
          <w:sz w:val="32"/>
          <w:szCs w:val="32"/>
        </w:rPr>
        <w:t>已接入国家电网、万帮星星、特来电、西安城投等充电设施运营企业</w:t>
      </w:r>
      <w:r>
        <w:rPr>
          <w:rFonts w:eastAsia="仿宋_GB2312"/>
          <w:kern w:val="0"/>
          <w:sz w:val="32"/>
          <w:szCs w:val="32"/>
        </w:rPr>
        <w:t>115</w:t>
      </w:r>
      <w:r>
        <w:rPr>
          <w:rFonts w:hint="eastAsia" w:eastAsia="仿宋_GB2312"/>
          <w:kern w:val="0"/>
          <w:sz w:val="32"/>
          <w:szCs w:val="32"/>
        </w:rPr>
        <w:t>家，基本实现了省内充电设施的互联互通。平台</w:t>
      </w:r>
      <w:r>
        <w:rPr>
          <w:rFonts w:eastAsia="仿宋_GB2312"/>
          <w:kern w:val="0"/>
          <w:sz w:val="32"/>
          <w:szCs w:val="32"/>
        </w:rPr>
        <w:t>汇集全省11个地市充电设施、新能源汽车信息，通过互联互通实现</w:t>
      </w:r>
      <w:r>
        <w:rPr>
          <w:rFonts w:hint="eastAsia" w:eastAsia="仿宋_GB2312"/>
          <w:kern w:val="0"/>
          <w:sz w:val="32"/>
          <w:szCs w:val="32"/>
        </w:rPr>
        <w:t>“</w:t>
      </w:r>
      <w:r>
        <w:rPr>
          <w:rFonts w:eastAsia="仿宋_GB2312"/>
          <w:kern w:val="0"/>
          <w:sz w:val="32"/>
          <w:szCs w:val="32"/>
        </w:rPr>
        <w:t>车</w:t>
      </w:r>
      <w:r>
        <w:rPr>
          <w:rFonts w:hint="eastAsia" w:eastAsia="仿宋_GB2312"/>
          <w:kern w:val="0"/>
          <w:sz w:val="32"/>
          <w:szCs w:val="32"/>
        </w:rPr>
        <w:t>—</w:t>
      </w:r>
      <w:r>
        <w:rPr>
          <w:rFonts w:eastAsia="仿宋_GB2312"/>
          <w:kern w:val="0"/>
          <w:sz w:val="32"/>
          <w:szCs w:val="32"/>
        </w:rPr>
        <w:t>桩</w:t>
      </w:r>
      <w:r>
        <w:rPr>
          <w:rFonts w:hint="eastAsia" w:eastAsia="仿宋_GB2312"/>
          <w:kern w:val="0"/>
          <w:sz w:val="32"/>
          <w:szCs w:val="32"/>
        </w:rPr>
        <w:t>—</w:t>
      </w:r>
      <w:r>
        <w:rPr>
          <w:rFonts w:eastAsia="仿宋_GB2312"/>
          <w:kern w:val="0"/>
          <w:sz w:val="32"/>
          <w:szCs w:val="32"/>
        </w:rPr>
        <w:t>网</w:t>
      </w:r>
      <w:r>
        <w:rPr>
          <w:rFonts w:hint="eastAsia" w:eastAsia="仿宋_GB2312"/>
          <w:kern w:val="0"/>
          <w:sz w:val="32"/>
          <w:szCs w:val="32"/>
        </w:rPr>
        <w:t>”</w:t>
      </w:r>
      <w:r>
        <w:rPr>
          <w:rFonts w:eastAsia="仿宋_GB2312"/>
          <w:kern w:val="0"/>
          <w:sz w:val="32"/>
          <w:szCs w:val="32"/>
        </w:rPr>
        <w:t>一体化管理，促进全省充电设施共享，为省内电动汽</w:t>
      </w:r>
      <w:r>
        <w:rPr>
          <w:rFonts w:hint="eastAsia" w:eastAsia="仿宋_GB2312"/>
          <w:kern w:val="0"/>
          <w:sz w:val="32"/>
          <w:szCs w:val="32"/>
        </w:rPr>
        <w:t>车提供充电服务。积极发挥平台价值，依托平台实现政策发布、补贴申领、电力交易等功能，实现全省充电设施统一管理。聚合平台充电设施负荷，组织开展电力（绿电）交易，最大限度地降低终端充电用户的电价，降低电动汽车的充电成本。特别是绿电交易，实现了“电动汽车</w:t>
      </w:r>
      <w:r>
        <w:rPr>
          <w:rFonts w:eastAsia="仿宋_GB2312"/>
          <w:kern w:val="0"/>
          <w:sz w:val="32"/>
          <w:szCs w:val="32"/>
        </w:rPr>
        <w:t>+</w:t>
      </w:r>
      <w:r>
        <w:rPr>
          <w:rFonts w:hint="eastAsia" w:eastAsia="仿宋_GB2312"/>
          <w:kern w:val="0"/>
          <w:sz w:val="32"/>
          <w:szCs w:val="32"/>
        </w:rPr>
        <w:t>清洁能源”，真正让新能源车用上新能源电。</w:t>
      </w:r>
    </w:p>
    <w:p>
      <w:pPr>
        <w:pStyle w:val="4"/>
        <w:ind w:firstLine="643"/>
      </w:pPr>
      <w:bookmarkStart w:id="15" w:name="_Toc10390"/>
      <w:bookmarkStart w:id="16" w:name="_Toc3869"/>
      <w:r>
        <w:t>（</w:t>
      </w:r>
      <w:r>
        <w:rPr>
          <w:rFonts w:hint="eastAsia"/>
        </w:rPr>
        <w:t>四</w:t>
      </w:r>
      <w:r>
        <w:t>）充电设施</w:t>
      </w:r>
      <w:r>
        <w:rPr>
          <w:rFonts w:hint="eastAsia"/>
        </w:rPr>
        <w:t>技术发展情况</w:t>
      </w:r>
      <w:bookmarkEnd w:id="15"/>
      <w:bookmarkEnd w:id="16"/>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随着电池能量密度和电池充电电压的提升，电动汽车快速充电能力得到较大提升。</w:t>
      </w:r>
      <w:r>
        <w:rPr>
          <w:rFonts w:ascii="仿宋_GB2312" w:eastAsia="仿宋_GB2312"/>
          <w:kern w:val="0"/>
          <w:sz w:val="32"/>
          <w:szCs w:val="32"/>
        </w:rPr>
        <w:t>目前国内公共充电领域以直流快充为主</w:t>
      </w:r>
      <w:r>
        <w:rPr>
          <w:rFonts w:hint="eastAsia" w:ascii="仿宋_GB2312" w:eastAsia="仿宋_GB2312"/>
          <w:kern w:val="0"/>
          <w:sz w:val="32"/>
          <w:szCs w:val="32"/>
        </w:rPr>
        <w:t>、</w:t>
      </w:r>
      <w:r>
        <w:rPr>
          <w:rFonts w:ascii="仿宋_GB2312" w:eastAsia="仿宋_GB2312"/>
          <w:kern w:val="0"/>
          <w:sz w:val="32"/>
          <w:szCs w:val="32"/>
        </w:rPr>
        <w:t>交流慢充为辅，其他充电方式为补充</w:t>
      </w:r>
      <w:r>
        <w:rPr>
          <w:rFonts w:hint="eastAsia" w:ascii="仿宋_GB2312" w:eastAsia="仿宋_GB2312"/>
          <w:kern w:val="0"/>
          <w:sz w:val="32"/>
          <w:szCs w:val="32"/>
        </w:rPr>
        <w:t>；</w:t>
      </w:r>
      <w:r>
        <w:rPr>
          <w:rFonts w:ascii="仿宋_GB2312" w:eastAsia="仿宋_GB2312"/>
          <w:kern w:val="0"/>
          <w:sz w:val="32"/>
          <w:szCs w:val="32"/>
        </w:rPr>
        <w:t>在私人充电领域主要</w:t>
      </w:r>
      <w:r>
        <w:rPr>
          <w:rFonts w:hint="eastAsia" w:ascii="仿宋_GB2312" w:eastAsia="仿宋_GB2312"/>
          <w:kern w:val="0"/>
          <w:sz w:val="32"/>
          <w:szCs w:val="32"/>
        </w:rPr>
        <w:t>为</w:t>
      </w:r>
      <w:r>
        <w:rPr>
          <w:rFonts w:ascii="仿宋_GB2312" w:eastAsia="仿宋_GB2312"/>
          <w:kern w:val="0"/>
          <w:sz w:val="32"/>
          <w:szCs w:val="32"/>
        </w:rPr>
        <w:t>交流慢充</w:t>
      </w:r>
      <w:r>
        <w:rPr>
          <w:rFonts w:hint="eastAsia" w:ascii="仿宋_GB2312" w:eastAsia="仿宋_GB2312"/>
          <w:kern w:val="0"/>
          <w:sz w:val="32"/>
          <w:szCs w:val="32"/>
        </w:rPr>
        <w:t>方式</w:t>
      </w:r>
      <w:r>
        <w:rPr>
          <w:rFonts w:ascii="仿宋_GB2312" w:eastAsia="仿宋_GB2312"/>
          <w:kern w:val="0"/>
          <w:sz w:val="32"/>
          <w:szCs w:val="32"/>
        </w:rPr>
        <w:t>。国内公共交流桩主要分为单相交流桩和三相</w:t>
      </w:r>
      <w:r>
        <w:rPr>
          <w:rFonts w:eastAsia="仿宋_GB2312"/>
          <w:kern w:val="0"/>
          <w:sz w:val="32"/>
          <w:szCs w:val="32"/>
        </w:rPr>
        <w:t>交流桩。三相交流桩功率主要为40kW，单相交流桩充电功率以7kW为主。公共直流充电桩充电功率普遍为60kW、120kW、180kW左右，一机双枪120kW型直流充电桩较多。同时大功率充电（300kW及以上）、无线充电、小功率直流充电(20kW</w:t>
      </w:r>
      <w:r>
        <w:rPr>
          <w:rFonts w:hint="eastAsia" w:eastAsia="仿宋_GB2312"/>
          <w:kern w:val="0"/>
          <w:sz w:val="32"/>
          <w:szCs w:val="32"/>
        </w:rPr>
        <w:t>—</w:t>
      </w:r>
      <w:r>
        <w:rPr>
          <w:rFonts w:eastAsia="仿宋_GB2312"/>
          <w:kern w:val="0"/>
          <w:sz w:val="32"/>
          <w:szCs w:val="32"/>
        </w:rPr>
        <w:t>40kW)、换电及</w:t>
      </w:r>
      <w:r>
        <w:rPr>
          <w:rFonts w:hint="eastAsia" w:eastAsia="仿宋_GB2312"/>
          <w:kern w:val="0"/>
          <w:sz w:val="32"/>
          <w:szCs w:val="32"/>
        </w:rPr>
        <w:t>“</w:t>
      </w:r>
      <w:r>
        <w:rPr>
          <w:rFonts w:eastAsia="仿宋_GB2312"/>
          <w:kern w:val="0"/>
          <w:sz w:val="32"/>
          <w:szCs w:val="32"/>
        </w:rPr>
        <w:t>光储充</w:t>
      </w:r>
      <w:r>
        <w:rPr>
          <w:rFonts w:hint="eastAsia" w:eastAsia="仿宋_GB2312"/>
          <w:kern w:val="0"/>
          <w:sz w:val="32"/>
          <w:szCs w:val="32"/>
        </w:rPr>
        <w:t>”</w:t>
      </w:r>
      <w:r>
        <w:rPr>
          <w:rFonts w:eastAsia="仿宋_GB2312"/>
          <w:kern w:val="0"/>
          <w:sz w:val="32"/>
          <w:szCs w:val="32"/>
        </w:rPr>
        <w:t>一体等技术蓬勃发展，增强了用户的充电体验，家</w:t>
      </w:r>
      <w:r>
        <w:rPr>
          <w:rFonts w:ascii="仿宋_GB2312" w:eastAsia="仿宋_GB2312"/>
          <w:kern w:val="0"/>
          <w:sz w:val="32"/>
          <w:szCs w:val="32"/>
        </w:rPr>
        <w:t>用充电插座</w:t>
      </w:r>
      <w:r>
        <w:rPr>
          <w:rFonts w:hint="eastAsia" w:ascii="仿宋_GB2312" w:eastAsia="仿宋_GB2312"/>
          <w:kern w:val="0"/>
          <w:sz w:val="32"/>
          <w:szCs w:val="32"/>
        </w:rPr>
        <w:t>方式</w:t>
      </w:r>
      <w:r>
        <w:rPr>
          <w:rFonts w:ascii="仿宋_GB2312" w:eastAsia="仿宋_GB2312"/>
          <w:kern w:val="0"/>
          <w:sz w:val="32"/>
          <w:szCs w:val="32"/>
        </w:rPr>
        <w:t>给电动汽车用户提供</w:t>
      </w:r>
      <w:r>
        <w:rPr>
          <w:rFonts w:hint="eastAsia" w:ascii="仿宋_GB2312" w:eastAsia="仿宋_GB2312"/>
          <w:kern w:val="0"/>
          <w:sz w:val="32"/>
          <w:szCs w:val="32"/>
        </w:rPr>
        <w:t>更便捷的充电方式。</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随着技术发展，充电设施将</w:t>
      </w:r>
      <w:r>
        <w:rPr>
          <w:rFonts w:eastAsia="仿宋_GB2312"/>
          <w:kern w:val="0"/>
          <w:sz w:val="32"/>
          <w:szCs w:val="32"/>
        </w:rPr>
        <w:t>呈现多方位发展趋势：一是大功率快速充电，乘用车单枪充电功率从60kW升级到350kW，充电时间将进一步缩短；二是小功率直流充电并行发展，采用小功率直流充电替代交流充电方案将成为小区/园区充电场景的关键技术路线之一，使</w:t>
      </w:r>
      <w:r>
        <w:rPr>
          <w:rFonts w:hint="eastAsia" w:eastAsia="仿宋_GB2312"/>
          <w:kern w:val="0"/>
          <w:sz w:val="32"/>
          <w:szCs w:val="32"/>
        </w:rPr>
        <w:t>“</w:t>
      </w:r>
      <w:r>
        <w:rPr>
          <w:rFonts w:eastAsia="仿宋_GB2312"/>
          <w:kern w:val="0"/>
          <w:sz w:val="32"/>
          <w:szCs w:val="32"/>
        </w:rPr>
        <w:t>最后一</w:t>
      </w:r>
      <w:r>
        <w:rPr>
          <w:rFonts w:hint="eastAsia" w:eastAsia="仿宋_GB2312"/>
          <w:kern w:val="0"/>
          <w:sz w:val="32"/>
          <w:szCs w:val="32"/>
        </w:rPr>
        <w:t>千米”</w:t>
      </w:r>
      <w:r>
        <w:rPr>
          <w:rFonts w:eastAsia="仿宋_GB2312"/>
          <w:kern w:val="0"/>
          <w:sz w:val="32"/>
          <w:szCs w:val="32"/>
        </w:rPr>
        <w:t>充电更快捷；三是通过运用5G通信、大数据、人工智能等新</w:t>
      </w:r>
      <w:r>
        <w:rPr>
          <w:rFonts w:hint="eastAsia" w:ascii="仿宋_GB2312" w:eastAsia="仿宋_GB2312"/>
          <w:kern w:val="0"/>
          <w:sz w:val="32"/>
          <w:szCs w:val="32"/>
        </w:rPr>
        <w:t>技术，充电设施智能化水平将不断提升，充电设施运行效率更高、助力智慧出行；四是充电基础设施将成为多网融合的节点，电网、电动汽车群、车联网等多个方面通过充电设施实现联结，在实现便捷充电、人员出行、车网互动等方面具有关键作用。</w:t>
      </w:r>
    </w:p>
    <w:p>
      <w:pPr>
        <w:pStyle w:val="4"/>
        <w:spacing w:line="580" w:lineRule="exact"/>
        <w:ind w:firstLine="643"/>
      </w:pPr>
      <w:bookmarkStart w:id="17" w:name="_Toc6311"/>
      <w:bookmarkStart w:id="18" w:name="_Toc5672"/>
      <w:r>
        <w:t>（</w:t>
      </w:r>
      <w:r>
        <w:rPr>
          <w:rFonts w:hint="eastAsia"/>
        </w:rPr>
        <w:t>五</w:t>
      </w:r>
      <w:r>
        <w:t>）</w:t>
      </w:r>
      <w:r>
        <w:rPr>
          <w:rFonts w:hint="eastAsia"/>
        </w:rPr>
        <w:t>电动汽车及充电设施发展支持文件</w:t>
      </w:r>
      <w:bookmarkEnd w:id="17"/>
      <w:bookmarkEnd w:id="18"/>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十三五”期间陕西省紧跟国家政策方针，坚持大力发展新能源汽车的战略方向，省市层面持续出台多项支持政策，推动了省内新能源汽车推广及充电设施建设，陕西新能源汽车应用水平与自身经济社会发展程度相适应。</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省内省级层面政策对“十三五”期间省内电动汽车应用及充电设施建设提出了总体发展目标，并在部分类型车辆购车补贴、充电站建设、运营管理、电力交易、充电设施互联互通等方面制定了相关政策，为全省充电设施良性发展奠定坚实基础。西安市</w:t>
      </w:r>
      <w:r>
        <w:rPr>
          <w:rFonts w:eastAsia="仿宋_GB2312"/>
          <w:kern w:val="0"/>
          <w:sz w:val="32"/>
          <w:szCs w:val="32"/>
        </w:rPr>
        <w:t>明确了本市内新能源汽车购车及充电设施建设补贴，并制定了至2022年的充电设施建设任务；其余各地市根据自身情况制定了充电</w:t>
      </w:r>
      <w:r>
        <w:rPr>
          <w:rFonts w:hint="eastAsia" w:ascii="仿宋_GB2312" w:eastAsia="仿宋_GB2312"/>
          <w:kern w:val="0"/>
          <w:sz w:val="32"/>
          <w:szCs w:val="32"/>
        </w:rPr>
        <w:t>设施发展目标等。</w:t>
      </w:r>
    </w:p>
    <w:p>
      <w:pPr>
        <w:pStyle w:val="5"/>
        <w:spacing w:line="580" w:lineRule="exact"/>
        <w:ind w:firstLine="643"/>
      </w:pPr>
      <w:r>
        <w:rPr>
          <w:rFonts w:hint="eastAsia"/>
        </w:rPr>
        <w:t>1.省级层面</w:t>
      </w:r>
    </w:p>
    <w:p>
      <w:pPr>
        <w:pStyle w:val="2"/>
        <w:spacing w:line="580" w:lineRule="exact"/>
        <w:ind w:firstLine="640"/>
        <w:rPr>
          <w:rFonts w:eastAsia="仿宋_GB2312"/>
          <w:kern w:val="0"/>
          <w:sz w:val="32"/>
          <w:szCs w:val="32"/>
        </w:rPr>
      </w:pPr>
      <w:r>
        <w:rPr>
          <w:rFonts w:hint="eastAsia" w:eastAsia="仿宋_GB2312"/>
          <w:kern w:val="0"/>
          <w:sz w:val="32"/>
          <w:szCs w:val="32"/>
        </w:rPr>
        <w:t>（1）</w:t>
      </w:r>
      <w:r>
        <w:rPr>
          <w:rFonts w:eastAsia="仿宋_GB2312"/>
          <w:kern w:val="0"/>
          <w:sz w:val="32"/>
          <w:szCs w:val="32"/>
        </w:rPr>
        <w:t>政策方面</w:t>
      </w:r>
    </w:p>
    <w:p>
      <w:pPr>
        <w:pStyle w:val="2"/>
        <w:spacing w:line="580" w:lineRule="exact"/>
        <w:ind w:firstLine="640"/>
        <w:rPr>
          <w:rFonts w:eastAsia="仿宋_GB2312"/>
          <w:kern w:val="0"/>
          <w:sz w:val="32"/>
          <w:szCs w:val="32"/>
        </w:rPr>
      </w:pPr>
      <w:r>
        <w:rPr>
          <w:rFonts w:eastAsia="仿宋_GB2312"/>
          <w:kern w:val="0"/>
          <w:sz w:val="32"/>
          <w:szCs w:val="32"/>
        </w:rPr>
        <w:t>2016年10月，陕西省政府办公厅《关于进一步加快我省新能源汽车推广应用的实施意见》中对省内电动汽车推广目标进行了规定，提出要推进全省新能源汽车推广应用，努力将我省建成全国重要的新能源汽车产业基地。2016至2020年全省新能源汽车推广应用力争达到10万辆以上，其中新能源公交车达到7000辆以上，占到全省公交车保有量的50%；公务车新能源汽车采购量不低于30%。全省新能源汽车实现累计销售50万辆以上。</w:t>
      </w:r>
    </w:p>
    <w:p>
      <w:pPr>
        <w:pStyle w:val="2"/>
        <w:spacing w:line="580" w:lineRule="exact"/>
        <w:ind w:firstLine="640"/>
        <w:rPr>
          <w:rFonts w:eastAsia="仿宋_GB2312"/>
          <w:kern w:val="0"/>
          <w:sz w:val="32"/>
          <w:szCs w:val="32"/>
        </w:rPr>
      </w:pPr>
      <w:r>
        <w:rPr>
          <w:rFonts w:eastAsia="仿宋_GB2312"/>
          <w:kern w:val="0"/>
          <w:sz w:val="32"/>
          <w:szCs w:val="32"/>
        </w:rPr>
        <w:t>2018年4月，陕西省《铁腕治霾打赢蓝天保卫战三年行动方案（2018-2020年）》中提出在城市公交、厂区通勤、出租以及环卫、物流等领域加快推广和普及新能源车。城市新增公交车和出租车全部使用新能源车。2020年底前，关中城市现有燃油公交车更新为新能源公交车，其中，2018年不少于40%，2019年不少于40%。</w:t>
      </w:r>
    </w:p>
    <w:p>
      <w:pPr>
        <w:pStyle w:val="2"/>
        <w:spacing w:line="580" w:lineRule="exact"/>
        <w:ind w:firstLine="640"/>
        <w:rPr>
          <w:rFonts w:eastAsia="仿宋_GB2312"/>
          <w:kern w:val="0"/>
          <w:sz w:val="32"/>
          <w:szCs w:val="32"/>
        </w:rPr>
      </w:pPr>
      <w:r>
        <w:rPr>
          <w:rFonts w:eastAsia="仿宋_GB2312"/>
          <w:kern w:val="0"/>
          <w:sz w:val="32"/>
          <w:szCs w:val="32"/>
        </w:rPr>
        <w:t>2018年7月，陕西省《关于印发推动汽车产业加快发展支持措施的通知》提出，加快全省公交、出租、物流等公共领域新能源汽车替换，对公共领域用车替换为新能源汽车的给予国家补贴标准30%的资金补贴。扩大甲醇、乙醇、氢燃料等汽车在全省推广应用。对于购买省内生产的甲醇、乙醇、氢燃料等汽车，重卡按每辆1万元补助，乘用车按每辆5000元补助。</w:t>
      </w:r>
    </w:p>
    <w:p>
      <w:pPr>
        <w:pStyle w:val="2"/>
        <w:spacing w:line="580" w:lineRule="exact"/>
        <w:ind w:firstLine="640"/>
        <w:rPr>
          <w:rFonts w:eastAsia="仿宋_GB2312"/>
          <w:kern w:val="0"/>
          <w:sz w:val="32"/>
          <w:szCs w:val="32"/>
        </w:rPr>
      </w:pPr>
      <w:r>
        <w:rPr>
          <w:rFonts w:eastAsia="仿宋_GB2312"/>
          <w:kern w:val="0"/>
          <w:sz w:val="32"/>
          <w:szCs w:val="32"/>
        </w:rPr>
        <w:t>2018年11月，陕西省发改委出台《陕西省电动汽车充电基础设施建设运营管理办法》（陕发改煤电〔2018〕1512号），为省内充电设施建设、运营等各方面提供了基本依据。</w:t>
      </w:r>
    </w:p>
    <w:p>
      <w:pPr>
        <w:pStyle w:val="2"/>
        <w:spacing w:line="580" w:lineRule="exact"/>
        <w:ind w:firstLine="640"/>
        <w:rPr>
          <w:rFonts w:eastAsia="仿宋_GB2312"/>
          <w:kern w:val="0"/>
          <w:sz w:val="32"/>
          <w:szCs w:val="32"/>
        </w:rPr>
      </w:pPr>
      <w:r>
        <w:rPr>
          <w:rFonts w:eastAsia="仿宋_GB2312"/>
          <w:kern w:val="0"/>
          <w:sz w:val="32"/>
          <w:szCs w:val="32"/>
        </w:rPr>
        <w:t>2019年6月，陕西省发改委印发《关于同意陕西智慧车联网平台参与电力直接交易的函》（陕发改电能函〔2019〕929号），通过采用电力交易方式降低充电电价，减轻行业成本。2020年1月，陕西省交通厅、财政厅、工信厅和省发改委联合印发《新能源公交车推广应用实施方案》，提出2020年至2024年，各市（区）每年新增、更新的常规公交车辆中，新能源公交车占比85%以上，根据实际情况减少新增燃油公交车。2020年底前，关中地区各市建成区公交车全部更换为新能源公交车。</w:t>
      </w:r>
    </w:p>
    <w:p>
      <w:pPr>
        <w:pStyle w:val="2"/>
        <w:spacing w:line="580" w:lineRule="exact"/>
        <w:ind w:firstLine="640"/>
        <w:rPr>
          <w:rFonts w:eastAsia="仿宋_GB2312"/>
          <w:kern w:val="0"/>
          <w:sz w:val="32"/>
          <w:szCs w:val="32"/>
        </w:rPr>
      </w:pPr>
      <w:r>
        <w:rPr>
          <w:rFonts w:eastAsia="仿宋_GB2312"/>
          <w:kern w:val="0"/>
          <w:sz w:val="32"/>
          <w:szCs w:val="32"/>
        </w:rPr>
        <w:t>2020年5月，陕西省《促进市场消费积极应对新冠肺炎疫情影响的若干措施》，提出</w:t>
      </w:r>
      <w:r>
        <w:rPr>
          <w:rFonts w:hint="eastAsia" w:eastAsia="仿宋_GB2312"/>
          <w:kern w:val="0"/>
          <w:sz w:val="32"/>
          <w:szCs w:val="32"/>
        </w:rPr>
        <w:t>“</w:t>
      </w:r>
      <w:r>
        <w:rPr>
          <w:rFonts w:eastAsia="仿宋_GB2312"/>
          <w:kern w:val="0"/>
          <w:sz w:val="32"/>
          <w:szCs w:val="32"/>
        </w:rPr>
        <w:t>鼓励购买新能源汽车</w:t>
      </w:r>
      <w:r>
        <w:rPr>
          <w:rFonts w:hint="eastAsia" w:eastAsia="仿宋_GB2312"/>
          <w:kern w:val="0"/>
          <w:sz w:val="32"/>
          <w:szCs w:val="32"/>
        </w:rPr>
        <w:t>”“</w:t>
      </w:r>
      <w:r>
        <w:rPr>
          <w:rFonts w:eastAsia="仿宋_GB2312"/>
          <w:kern w:val="0"/>
          <w:sz w:val="32"/>
          <w:szCs w:val="32"/>
        </w:rPr>
        <w:t>加大汽车消费基础设施建设</w:t>
      </w:r>
      <w:r>
        <w:rPr>
          <w:rFonts w:hint="eastAsia" w:eastAsia="仿宋_GB2312"/>
          <w:kern w:val="0"/>
          <w:sz w:val="32"/>
          <w:szCs w:val="32"/>
        </w:rPr>
        <w:t>”</w:t>
      </w:r>
      <w:r>
        <w:rPr>
          <w:rFonts w:eastAsia="仿宋_GB2312"/>
          <w:kern w:val="0"/>
          <w:sz w:val="32"/>
          <w:szCs w:val="32"/>
        </w:rPr>
        <w:t>等措施，要求认真落实国家政策，将新能源汽车购置补贴和免征购置税政策延续至2022年年底。有条件的市（区）对购买新能源公交车和燃料电池汽车，以及无车家庭购置首辆家用新能源汽车，可给予适当支持。加大汽车消费基础设施建设。将新建城市停车场和新能源汽车充电设施用地需求纳入国土空间规划，推动具备条件的地区使用存量集体建设用地建设停车场、充电站。支持建成小区停车位改造扩容，新建小区依据规定比例配置停车位。</w:t>
      </w:r>
    </w:p>
    <w:p>
      <w:pPr>
        <w:pStyle w:val="2"/>
        <w:spacing w:line="580" w:lineRule="exact"/>
        <w:ind w:firstLine="640"/>
        <w:rPr>
          <w:rFonts w:eastAsia="仿宋_GB2312"/>
          <w:kern w:val="0"/>
          <w:sz w:val="32"/>
          <w:szCs w:val="32"/>
        </w:rPr>
      </w:pPr>
      <w:r>
        <w:rPr>
          <w:rFonts w:eastAsia="仿宋_GB2312"/>
          <w:kern w:val="0"/>
          <w:sz w:val="32"/>
          <w:szCs w:val="32"/>
        </w:rPr>
        <w:t>2020年12月，陕西省发改委印发《关于加快充电设施建设实现互联互通有关问题的通知》，要求督促充电设施建设运营商企业加快接入陕西智慧车辆网平台，实现全省充电设施互联互通；提出省内各市政府不再单独组建市级平台，统一免费使用陕西智慧车联网平台。</w:t>
      </w:r>
    </w:p>
    <w:p>
      <w:pPr>
        <w:pStyle w:val="2"/>
        <w:spacing w:line="580" w:lineRule="exact"/>
        <w:ind w:firstLine="640"/>
        <w:rPr>
          <w:rFonts w:eastAsia="仿宋_GB2312"/>
          <w:kern w:val="0"/>
          <w:sz w:val="32"/>
          <w:szCs w:val="32"/>
        </w:rPr>
      </w:pPr>
      <w:r>
        <w:rPr>
          <w:rFonts w:hint="eastAsia" w:eastAsia="仿宋_GB2312"/>
          <w:kern w:val="0"/>
          <w:sz w:val="32"/>
          <w:szCs w:val="32"/>
        </w:rPr>
        <w:t>（2）</w:t>
      </w:r>
      <w:r>
        <w:rPr>
          <w:rFonts w:eastAsia="仿宋_GB2312"/>
          <w:kern w:val="0"/>
          <w:sz w:val="32"/>
          <w:szCs w:val="32"/>
        </w:rPr>
        <w:t>标准方面</w:t>
      </w:r>
    </w:p>
    <w:p>
      <w:pPr>
        <w:pStyle w:val="2"/>
        <w:spacing w:line="580" w:lineRule="exact"/>
        <w:ind w:firstLine="640"/>
        <w:rPr>
          <w:rFonts w:eastAsia="仿宋_GB2312"/>
          <w:kern w:val="0"/>
          <w:sz w:val="32"/>
          <w:szCs w:val="32"/>
        </w:rPr>
      </w:pPr>
      <w:r>
        <w:rPr>
          <w:rFonts w:eastAsia="仿宋_GB2312"/>
          <w:kern w:val="0"/>
          <w:sz w:val="32"/>
          <w:szCs w:val="32"/>
        </w:rPr>
        <w:t>2019年10月，出台陕西省地方标准《充电加油加气合建站充电设施技术要求》（DB61/T1275-2019），为省内结合加油加气站场地资源建设充电设施提供了技术依据。</w:t>
      </w:r>
    </w:p>
    <w:p>
      <w:pPr>
        <w:pStyle w:val="5"/>
        <w:spacing w:line="580" w:lineRule="exact"/>
        <w:ind w:firstLine="643"/>
      </w:pPr>
      <w:r>
        <w:rPr>
          <w:rFonts w:hint="eastAsia"/>
        </w:rPr>
        <w:t>2.地市层面</w:t>
      </w:r>
    </w:p>
    <w:p>
      <w:pPr>
        <w:pStyle w:val="2"/>
        <w:spacing w:line="580" w:lineRule="exact"/>
        <w:ind w:firstLine="640"/>
        <w:rPr>
          <w:rFonts w:eastAsia="仿宋_GB2312"/>
          <w:kern w:val="0"/>
          <w:sz w:val="32"/>
          <w:szCs w:val="32"/>
        </w:rPr>
      </w:pPr>
      <w:r>
        <w:rPr>
          <w:rFonts w:hint="eastAsia" w:eastAsia="仿宋_GB2312"/>
          <w:kern w:val="0"/>
          <w:sz w:val="32"/>
          <w:szCs w:val="32"/>
        </w:rPr>
        <w:t>（1）</w:t>
      </w:r>
      <w:r>
        <w:rPr>
          <w:rFonts w:eastAsia="仿宋_GB2312"/>
          <w:kern w:val="0"/>
          <w:sz w:val="32"/>
          <w:szCs w:val="32"/>
        </w:rPr>
        <w:t>西安市</w:t>
      </w:r>
    </w:p>
    <w:p>
      <w:pPr>
        <w:pStyle w:val="2"/>
        <w:spacing w:line="580" w:lineRule="exact"/>
        <w:ind w:firstLine="640"/>
        <w:rPr>
          <w:rFonts w:eastAsia="仿宋_GB2312"/>
          <w:kern w:val="0"/>
          <w:sz w:val="32"/>
          <w:szCs w:val="32"/>
        </w:rPr>
      </w:pPr>
      <w:r>
        <w:rPr>
          <w:rFonts w:eastAsia="仿宋_GB2312"/>
          <w:kern w:val="0"/>
          <w:sz w:val="32"/>
          <w:szCs w:val="32"/>
        </w:rPr>
        <w:t>2018年5月，西安市印发《新能源汽车推广应用地方财政补贴资金管理暂行办法》，规定了相关补贴政策。一是车辆补贴标准方面：免征车辆购置税，免征车船税；对单位和个人购买新能源汽车的，以享受的中央补贴为基数，公共服务领域的单车按1：0.5给予地方补贴，非公共服务领域的单车按1：0.3给予地方补贴；对单位和个人购买新能源汽车的，首次机动车交通事故责任强制保险费用给予全额财政补贴;对新能源汽车免收125元/辆的牌照费；对具有西安户籍或持有西安市《居住证》，近两年内连续缴纳社保满1年以上，购买新能源汽车的个人，给予1万元/辆财政补贴，用于自用充电设施安装和充电费用补贴。二是充（换）电设施补贴标准方面：对建设完成，通过验收并正式投用的充电设施，给予充（换）电设施实际投资（不含征地费用）30%的财政补贴。地方财政补贴（地方各级财政补贴总和）不超过中央财政单车补贴额的50%，超额部分市财政将予以扣回。</w:t>
      </w:r>
    </w:p>
    <w:p>
      <w:pPr>
        <w:pStyle w:val="2"/>
        <w:spacing w:line="580" w:lineRule="exact"/>
        <w:ind w:firstLine="640"/>
        <w:rPr>
          <w:rFonts w:eastAsia="仿宋_GB2312"/>
          <w:kern w:val="0"/>
          <w:sz w:val="32"/>
          <w:szCs w:val="32"/>
        </w:rPr>
      </w:pPr>
      <w:r>
        <w:rPr>
          <w:rFonts w:eastAsia="仿宋_GB2312"/>
          <w:kern w:val="0"/>
          <w:sz w:val="32"/>
          <w:szCs w:val="32"/>
        </w:rPr>
        <w:t>2020年9月，西安市印发《推进新能源汽车充电基础设施建设三年行动方案（2020—2022年）》，明确到2022年底，全市基本建成适度超前、车桩相宜、智能高效的充电基础设施体系，确保满足新能源电动汽车充电服务需求。全市计划新建成投运集中式充电场站200个、充电桩10000个，其中2020年完成3900个，2021年完成3290个，2022年完成2810个。新建住宅配建的停车场，应设置30%的新能源汽车充电车位，100%预留充电设施安装和在车位附近敷设低压线缆及安装电缆分线箱；大型公共建筑物配建停车场和社会公共停车场，应设置10%的新能源汽车充电车位，预留总车位数量30%的配电容量。</w:t>
      </w:r>
    </w:p>
    <w:p>
      <w:pPr>
        <w:pStyle w:val="2"/>
        <w:spacing w:line="580" w:lineRule="exact"/>
        <w:ind w:firstLine="640"/>
        <w:rPr>
          <w:rFonts w:eastAsia="仿宋_GB2312"/>
          <w:kern w:val="0"/>
          <w:sz w:val="32"/>
          <w:szCs w:val="32"/>
        </w:rPr>
      </w:pPr>
      <w:r>
        <w:rPr>
          <w:rFonts w:eastAsia="仿宋_GB2312"/>
          <w:kern w:val="0"/>
          <w:sz w:val="32"/>
          <w:szCs w:val="32"/>
        </w:rPr>
        <w:t>2020年12月，西安市印发《西安市新能源汽车充（换）电基础设施运营财政补贴实施细则》，提出对2020年9月25日</w:t>
      </w:r>
      <w:r>
        <w:rPr>
          <w:rFonts w:hint="eastAsia" w:eastAsia="仿宋_GB2312"/>
          <w:kern w:val="0"/>
          <w:sz w:val="32"/>
          <w:szCs w:val="32"/>
        </w:rPr>
        <w:t>之后</w:t>
      </w:r>
      <w:r>
        <w:rPr>
          <w:rFonts w:eastAsia="仿宋_GB2312"/>
          <w:kern w:val="0"/>
          <w:sz w:val="32"/>
          <w:szCs w:val="32"/>
        </w:rPr>
        <w:t>建成并通过验收投运的公（专）用充（换）电设施，根据接入市级平台充电交易信息记录的用电量给予补贴，市级补贴标准为0.15元/度，开发区在此基础上再给予0.15元/度的补贴，其他区县根据实际情况在市级补贴基础上再进行补贴。对建设完成并通过验收的个人充电设施，由市财政给予1万元/根的一次性建设及电费补贴。</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（2）其他地市</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省内其他地市落实中省要求，结合自身情况，制定了各自的充电设施发展目标，给予了充电设施发展一定的优惠政策。</w:t>
      </w:r>
    </w:p>
    <w:p>
      <w:pPr>
        <w:pStyle w:val="3"/>
        <w:spacing w:line="580" w:lineRule="exact"/>
        <w:ind w:firstLine="643"/>
      </w:pPr>
      <w:bookmarkStart w:id="19" w:name="_Toc47622919"/>
      <w:bookmarkStart w:id="20" w:name="_Toc8036"/>
      <w:bookmarkStart w:id="21" w:name="_Toc19617"/>
      <w:r>
        <w:rPr>
          <w:rFonts w:hint="eastAsia"/>
        </w:rPr>
        <w:t>二、面临的形势</w:t>
      </w:r>
      <w:bookmarkEnd w:id="19"/>
      <w:r>
        <w:rPr>
          <w:rFonts w:hint="eastAsia"/>
        </w:rPr>
        <w:t>及存在的问题</w:t>
      </w:r>
      <w:bookmarkEnd w:id="20"/>
      <w:bookmarkEnd w:id="21"/>
    </w:p>
    <w:p>
      <w:pPr>
        <w:pStyle w:val="4"/>
        <w:spacing w:line="580" w:lineRule="exact"/>
        <w:ind w:firstLine="643"/>
        <w:rPr>
          <w:rFonts w:ascii="仿宋" w:hAnsi="仿宋" w:eastAsia="仿宋" w:cs="仿宋"/>
          <w:b w:val="0"/>
          <w:szCs w:val="40"/>
        </w:rPr>
      </w:pPr>
      <w:bookmarkStart w:id="22" w:name="_Toc23058"/>
      <w:bookmarkStart w:id="23" w:name="_Toc22172"/>
      <w:r>
        <w:t>（</w:t>
      </w:r>
      <w:r>
        <w:rPr>
          <w:rFonts w:hint="eastAsia"/>
        </w:rPr>
        <w:t>一</w:t>
      </w:r>
      <w:r>
        <w:t>）</w:t>
      </w:r>
      <w:r>
        <w:rPr>
          <w:rFonts w:hint="eastAsia"/>
        </w:rPr>
        <w:t>面临的形势</w:t>
      </w:r>
      <w:bookmarkEnd w:id="22"/>
      <w:bookmarkEnd w:id="23"/>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中华人民共和国国民经济和社会发展第十四个五年规划和二〇三五年远景目标纲要》要求加快推动绿色低碳发展，深入实施可持续发展战略，构建生态文明体系，促进经济社会发展全面绿色转型；提出降低碳排放强度，支持有条件的地方率先达到碳排放峰值，制定二〇三〇年前碳排放达峰行动方案。</w:t>
      </w:r>
    </w:p>
    <w:p>
      <w:pPr>
        <w:pStyle w:val="2"/>
        <w:spacing w:line="580" w:lineRule="exact"/>
        <w:ind w:firstLine="640"/>
        <w:rPr>
          <w:rFonts w:eastAsia="仿宋_GB2312"/>
          <w:kern w:val="0"/>
          <w:sz w:val="32"/>
          <w:szCs w:val="32"/>
        </w:rPr>
      </w:pPr>
      <w:r>
        <w:rPr>
          <w:rFonts w:eastAsia="仿宋_GB2312"/>
          <w:kern w:val="0"/>
          <w:sz w:val="32"/>
          <w:szCs w:val="32"/>
        </w:rPr>
        <w:t>在2020年9月联合国大会上，中国宣布将采取更加有力的政策和措施，力争二氧化</w:t>
      </w:r>
      <w:r>
        <w:fldChar w:fldCharType="begin"/>
      </w:r>
      <w:r>
        <w:instrText xml:space="preserve"> HYPERLINK "https://wx.mail.qq.com/xmspamcheck/xmsafejump?func=1&amp;check_src=2&amp;key=MTb3H6zllyo2HkiIZXz4qn7aKsE9qRGOasIuj1nO%2Bwu1PPj6CW7juv7yyWkeeCk3S2kLMKX8VL7rLGt6LkWNFecYz5NXW8HubO8NOj10Gby5b178qk%2FqU%2Fk%3D&amp;spam_err_code=0" \t "http://www.tanpaifang.com/tanzhonghe/2020/0923/_blank" </w:instrText>
      </w:r>
      <w:r>
        <w:fldChar w:fldCharType="separate"/>
      </w:r>
      <w:r>
        <w:rPr>
          <w:rFonts w:eastAsia="仿宋_GB2312"/>
          <w:kern w:val="0"/>
          <w:sz w:val="32"/>
          <w:szCs w:val="32"/>
        </w:rPr>
        <w:t>碳排放</w:t>
      </w:r>
      <w:r>
        <w:rPr>
          <w:rFonts w:eastAsia="仿宋_GB2312"/>
          <w:kern w:val="0"/>
          <w:sz w:val="32"/>
          <w:szCs w:val="32"/>
        </w:rPr>
        <w:fldChar w:fldCharType="end"/>
      </w:r>
      <w:r>
        <w:rPr>
          <w:rFonts w:eastAsia="仿宋_GB2312"/>
          <w:kern w:val="0"/>
          <w:sz w:val="32"/>
          <w:szCs w:val="32"/>
        </w:rPr>
        <w:t>于2030年前达到峰值，努力争取2060年前实现</w:t>
      </w:r>
      <w:r>
        <w:fldChar w:fldCharType="begin"/>
      </w:r>
      <w:r>
        <w:instrText xml:space="preserve"> HYPERLINK "https://wx.mail.qq.com/xmspamcheck/xmsafejump?func=1&amp;check_src=2&amp;key=Nt0b7CMd90A5gpHw19r5g%2Ben5ztUCaYNerEzrwvzUwjiNnN01tCScAFcILjXa9Z%2Fx5xD63%2B8ocLz6JNF0Fqxrgyl2m0CxEPIe51delmJRAZVl9yWdyJxFhpheFzGmqvW4A%3D%3D&amp;spam_err_code=0" \t "http://www.tanpaifang.com/tanzhonghe/2020/0923/_blank" </w:instrText>
      </w:r>
      <w:r>
        <w:fldChar w:fldCharType="separate"/>
      </w:r>
      <w:r>
        <w:rPr>
          <w:rFonts w:eastAsia="仿宋_GB2312"/>
          <w:kern w:val="0"/>
          <w:sz w:val="32"/>
          <w:szCs w:val="32"/>
        </w:rPr>
        <w:t>碳中和</w:t>
      </w:r>
      <w:r>
        <w:rPr>
          <w:rFonts w:eastAsia="仿宋_GB2312"/>
          <w:kern w:val="0"/>
          <w:sz w:val="32"/>
          <w:szCs w:val="32"/>
        </w:rPr>
        <w:fldChar w:fldCharType="end"/>
      </w:r>
      <w:r>
        <w:rPr>
          <w:rFonts w:eastAsia="仿宋_GB2312"/>
          <w:kern w:val="0"/>
          <w:sz w:val="32"/>
          <w:szCs w:val="32"/>
        </w:rPr>
        <w:t>，即二氧化碳排放量和吸收量达到平衡。</w:t>
      </w:r>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陕西省落实国家要求，《</w:t>
      </w:r>
      <w:r>
        <w:rPr>
          <w:rFonts w:ascii="仿宋_GB2312" w:eastAsia="仿宋_GB2312"/>
          <w:kern w:val="0"/>
          <w:sz w:val="32"/>
          <w:szCs w:val="32"/>
        </w:rPr>
        <w:t>陕西省国民经济和社会发展第十四个五年规划和二〇三五年远景目标</w:t>
      </w:r>
      <w:r>
        <w:rPr>
          <w:rFonts w:hint="eastAsia" w:ascii="仿宋_GB2312" w:eastAsia="仿宋_GB2312"/>
          <w:kern w:val="0"/>
          <w:sz w:val="32"/>
          <w:szCs w:val="32"/>
        </w:rPr>
        <w:t>纲要》提出要</w:t>
      </w:r>
      <w:r>
        <w:rPr>
          <w:rFonts w:ascii="仿宋_GB2312" w:eastAsia="仿宋_GB2312"/>
          <w:kern w:val="0"/>
          <w:sz w:val="32"/>
          <w:szCs w:val="32"/>
        </w:rPr>
        <w:t>加快推</w:t>
      </w:r>
      <w:r>
        <w:rPr>
          <w:rFonts w:hint="eastAsia" w:ascii="仿宋_GB2312" w:eastAsia="仿宋_GB2312"/>
          <w:kern w:val="0"/>
          <w:sz w:val="32"/>
          <w:szCs w:val="32"/>
        </w:rPr>
        <w:t>动</w:t>
      </w:r>
      <w:r>
        <w:rPr>
          <w:rFonts w:ascii="仿宋_GB2312" w:eastAsia="仿宋_GB2312"/>
          <w:kern w:val="0"/>
          <w:sz w:val="32"/>
          <w:szCs w:val="32"/>
        </w:rPr>
        <w:t>绿色低碳发展</w:t>
      </w:r>
      <w:r>
        <w:rPr>
          <w:rFonts w:hint="eastAsia" w:ascii="仿宋_GB2312" w:eastAsia="仿宋_GB2312"/>
          <w:kern w:val="0"/>
          <w:sz w:val="32"/>
          <w:szCs w:val="32"/>
        </w:rPr>
        <w:t>，把</w:t>
      </w:r>
      <w:r>
        <w:rPr>
          <w:rFonts w:ascii="仿宋_GB2312" w:eastAsia="仿宋_GB2312"/>
          <w:kern w:val="0"/>
          <w:sz w:val="32"/>
          <w:szCs w:val="32"/>
        </w:rPr>
        <w:t>绿色发展融入国民经济发展全过程，深入推进能源生产和消费革命</w:t>
      </w:r>
      <w:r>
        <w:rPr>
          <w:rFonts w:hint="eastAsia" w:ascii="仿宋_GB2312" w:eastAsia="仿宋_GB2312"/>
          <w:kern w:val="0"/>
          <w:sz w:val="32"/>
          <w:szCs w:val="32"/>
        </w:rPr>
        <w:t>，</w:t>
      </w:r>
      <w:r>
        <w:rPr>
          <w:rFonts w:ascii="仿宋_GB2312" w:eastAsia="仿宋_GB2312"/>
          <w:kern w:val="0"/>
          <w:sz w:val="32"/>
          <w:szCs w:val="32"/>
        </w:rPr>
        <w:t>推进碳排放权</w:t>
      </w:r>
      <w:r>
        <w:rPr>
          <w:rFonts w:hint="eastAsia" w:ascii="仿宋_GB2312" w:eastAsia="仿宋_GB2312"/>
          <w:kern w:val="0"/>
          <w:sz w:val="32"/>
          <w:szCs w:val="32"/>
        </w:rPr>
        <w:t>等</w:t>
      </w:r>
      <w:r>
        <w:rPr>
          <w:rFonts w:ascii="仿宋_GB2312" w:eastAsia="仿宋_GB2312"/>
          <w:kern w:val="0"/>
          <w:sz w:val="32"/>
          <w:szCs w:val="32"/>
        </w:rPr>
        <w:t>市场化交易</w:t>
      </w:r>
      <w:r>
        <w:rPr>
          <w:rFonts w:hint="eastAsia" w:ascii="仿宋_GB2312" w:eastAsia="仿宋_GB2312"/>
          <w:kern w:val="0"/>
          <w:sz w:val="32"/>
          <w:szCs w:val="32"/>
        </w:rPr>
        <w:t>，</w:t>
      </w:r>
      <w:r>
        <w:rPr>
          <w:rFonts w:ascii="仿宋_GB2312" w:eastAsia="仿宋_GB2312"/>
          <w:kern w:val="0"/>
          <w:sz w:val="32"/>
          <w:szCs w:val="32"/>
        </w:rPr>
        <w:t>加快能源消费和产业结构低碳化调整，大幅降低能源、水、土地消耗强度</w:t>
      </w:r>
      <w:r>
        <w:rPr>
          <w:rFonts w:hint="eastAsia" w:ascii="仿宋_GB2312" w:eastAsia="仿宋_GB2312"/>
          <w:kern w:val="0"/>
          <w:sz w:val="32"/>
          <w:szCs w:val="32"/>
        </w:rPr>
        <w:t>；</w:t>
      </w:r>
      <w:r>
        <w:rPr>
          <w:rFonts w:ascii="仿宋_GB2312" w:eastAsia="仿宋_GB2312"/>
          <w:kern w:val="0"/>
          <w:sz w:val="32"/>
          <w:szCs w:val="32"/>
        </w:rPr>
        <w:t>倡导绿色低碳的生活方式。</w:t>
      </w:r>
    </w:p>
    <w:p>
      <w:pPr>
        <w:pStyle w:val="2"/>
        <w:spacing w:line="580" w:lineRule="exact"/>
        <w:ind w:firstLine="640"/>
        <w:rPr>
          <w:rFonts w:eastAsia="仿宋_GB2312"/>
          <w:kern w:val="0"/>
          <w:sz w:val="32"/>
          <w:szCs w:val="32"/>
        </w:rPr>
      </w:pPr>
      <w:r>
        <w:rPr>
          <w:rFonts w:eastAsia="仿宋_GB2312"/>
          <w:kern w:val="0"/>
          <w:sz w:val="32"/>
          <w:szCs w:val="32"/>
        </w:rPr>
        <w:t>国家《新能源汽车产业发展规划（2021－2035年）》指出，发展新能源汽车是我国应对气候变化、推动绿色发展的战略举措。该项规划提出到2025年，新能源汽车新车销售量达到汽车新车销售总量的20%左右。</w:t>
      </w:r>
    </w:p>
    <w:p>
      <w:pPr>
        <w:pStyle w:val="2"/>
        <w:spacing w:line="580" w:lineRule="exact"/>
        <w:ind w:firstLine="640"/>
        <w:rPr>
          <w:rFonts w:eastAsia="仿宋_GB2312"/>
          <w:kern w:val="0"/>
          <w:sz w:val="32"/>
          <w:szCs w:val="32"/>
        </w:rPr>
      </w:pPr>
      <w:r>
        <w:rPr>
          <w:rFonts w:eastAsia="仿宋_GB2312"/>
          <w:kern w:val="0"/>
          <w:sz w:val="32"/>
          <w:szCs w:val="32"/>
        </w:rPr>
        <w:t>展望</w:t>
      </w:r>
      <w:r>
        <w:rPr>
          <w:rFonts w:hint="eastAsia" w:eastAsia="仿宋_GB2312"/>
          <w:kern w:val="0"/>
          <w:sz w:val="32"/>
          <w:szCs w:val="32"/>
        </w:rPr>
        <w:t>“</w:t>
      </w:r>
      <w:r>
        <w:rPr>
          <w:rFonts w:eastAsia="仿宋_GB2312"/>
          <w:kern w:val="0"/>
          <w:sz w:val="32"/>
          <w:szCs w:val="32"/>
        </w:rPr>
        <w:t>十四五</w:t>
      </w:r>
      <w:r>
        <w:rPr>
          <w:rFonts w:hint="eastAsia" w:eastAsia="仿宋_GB2312"/>
          <w:kern w:val="0"/>
          <w:sz w:val="32"/>
          <w:szCs w:val="32"/>
        </w:rPr>
        <w:t>”</w:t>
      </w:r>
      <w:r>
        <w:rPr>
          <w:rFonts w:eastAsia="仿宋_GB2312"/>
          <w:kern w:val="0"/>
          <w:sz w:val="32"/>
          <w:szCs w:val="32"/>
        </w:rPr>
        <w:t>，绿色转型、低碳发展理念成为共识，经济社会将逐步转向可持续发展，能源、工业生产、建筑、交通等重点领域需要加快研究降低碳排放措施。新能源</w:t>
      </w:r>
      <w:r>
        <w:rPr>
          <w:rFonts w:hint="eastAsia" w:eastAsia="仿宋_GB2312"/>
          <w:kern w:val="0"/>
          <w:sz w:val="32"/>
          <w:szCs w:val="32"/>
        </w:rPr>
        <w:t>汽车是能源替代的重要途径，</w:t>
      </w:r>
      <w:r>
        <w:rPr>
          <w:rFonts w:eastAsia="仿宋_GB2312"/>
          <w:kern w:val="0"/>
          <w:sz w:val="32"/>
          <w:szCs w:val="32"/>
        </w:rPr>
        <w:t>随着新能源发电规模不断增加、比例不断提升，新能源汽车可以通过与电网的能量互动，大规模消纳使用新能源电，使新能源汽车与能源融合发展，成为实现碳中和目标的重要途径。因此</w:t>
      </w:r>
      <w:r>
        <w:rPr>
          <w:rFonts w:hint="eastAsia" w:eastAsia="仿宋_GB2312"/>
          <w:kern w:val="0"/>
          <w:sz w:val="32"/>
          <w:szCs w:val="32"/>
        </w:rPr>
        <w:t>“</w:t>
      </w:r>
      <w:r>
        <w:rPr>
          <w:rFonts w:eastAsia="仿宋_GB2312"/>
          <w:kern w:val="0"/>
          <w:sz w:val="32"/>
          <w:szCs w:val="32"/>
        </w:rPr>
        <w:t>十四五</w:t>
      </w:r>
      <w:r>
        <w:rPr>
          <w:rFonts w:hint="eastAsia" w:eastAsia="仿宋_GB2312"/>
          <w:kern w:val="0"/>
          <w:sz w:val="32"/>
          <w:szCs w:val="32"/>
        </w:rPr>
        <w:t>”</w:t>
      </w:r>
      <w:r>
        <w:rPr>
          <w:rFonts w:eastAsia="仿宋_GB2312"/>
          <w:kern w:val="0"/>
          <w:sz w:val="32"/>
          <w:szCs w:val="32"/>
        </w:rPr>
        <w:t>期间要继续大力推进电动汽车及充电设施行业发展，继续加快构建完善的充电基础设施体系，提升充电基础设施智能服务水平，保障充电安全、便捷；同时大力推动电动汽车与电网能量互动，统筹新能源汽车能源利用与可再生能源发电协同调度，综合运用峰谷电价、新能源汽车充电优惠等政策，促进新能源汽车与可再生能源高效协同发展。</w:t>
      </w:r>
    </w:p>
    <w:p>
      <w:pPr>
        <w:pStyle w:val="4"/>
        <w:spacing w:line="580" w:lineRule="exact"/>
        <w:ind w:firstLine="643"/>
        <w:rPr>
          <w:rFonts w:ascii="仿宋" w:hAnsi="仿宋" w:eastAsia="仿宋" w:cs="仿宋"/>
          <w:b w:val="0"/>
          <w:szCs w:val="40"/>
        </w:rPr>
      </w:pPr>
      <w:bookmarkStart w:id="24" w:name="_Toc28586"/>
      <w:bookmarkStart w:id="25" w:name="_Toc21132"/>
      <w:r>
        <w:t>（</w:t>
      </w:r>
      <w:r>
        <w:rPr>
          <w:rFonts w:hint="eastAsia"/>
        </w:rPr>
        <w:t>二</w:t>
      </w:r>
      <w:r>
        <w:t>）</w:t>
      </w:r>
      <w:r>
        <w:rPr>
          <w:rFonts w:hint="eastAsia"/>
        </w:rPr>
        <w:t>存在的问题</w:t>
      </w:r>
      <w:bookmarkEnd w:id="24"/>
      <w:bookmarkEnd w:id="25"/>
    </w:p>
    <w:p>
      <w:pPr>
        <w:pStyle w:val="2"/>
        <w:spacing w:line="580" w:lineRule="exact"/>
        <w:ind w:firstLine="640"/>
        <w:rPr>
          <w:rFonts w:ascii="仿宋_GB2312" w:eastAsia="仿宋_GB2312"/>
          <w:kern w:val="0"/>
          <w:sz w:val="32"/>
          <w:szCs w:val="32"/>
        </w:rPr>
      </w:pPr>
      <w:r>
        <w:rPr>
          <w:rFonts w:hint="eastAsia" w:ascii="仿宋_GB2312" w:eastAsia="仿宋_GB2312"/>
          <w:kern w:val="0"/>
          <w:sz w:val="32"/>
          <w:szCs w:val="32"/>
        </w:rPr>
        <w:t>陕西省内出台的一系列政策有力的支持和推动了省内电动汽车的推广和各类充电设施建设，“十三五”期间取得了长足进步，为今后的发展奠定了坚实基础。但总体来看，省内汽车电动化率较低，消费者对电动汽车仍持观望态度，省内电动汽车发展还处于爬坡提升阶段；充电设施建设成本较高、收益不稳定，场地选址困难，建设涉及部门多、协调难度大，充电设施行业发展对政策依赖性较大，面对国家提出的各项发展目标，陕西省推广普及电动汽车、建好充电设施网络仍面临多方面问题。</w:t>
      </w:r>
    </w:p>
    <w:p>
      <w:pPr>
        <w:pStyle w:val="2"/>
        <w:spacing w:line="580" w:lineRule="exact"/>
        <w:ind w:firstLine="643"/>
        <w:rPr>
          <w:rFonts w:ascii="仿宋_GB2312" w:eastAsia="仿宋_GB2312"/>
          <w:kern w:val="0"/>
          <w:sz w:val="32"/>
          <w:szCs w:val="32"/>
        </w:rPr>
      </w:pPr>
      <w:r>
        <w:rPr>
          <w:rFonts w:eastAsia="仿宋_GB2312"/>
          <w:b/>
          <w:kern w:val="0"/>
          <w:sz w:val="32"/>
          <w:szCs w:val="32"/>
        </w:rPr>
        <w:t>1.</w:t>
      </w:r>
      <w:r>
        <w:rPr>
          <w:rFonts w:hint="eastAsia" w:ascii="仿宋_GB2312" w:eastAsia="仿宋_GB2312"/>
          <w:b/>
          <w:kern w:val="0"/>
          <w:sz w:val="32"/>
          <w:szCs w:val="32"/>
        </w:rPr>
        <w:t>充电设施网络体系尚待完善。</w:t>
      </w:r>
      <w:r>
        <w:rPr>
          <w:rFonts w:hint="eastAsia" w:ascii="仿宋_GB2312" w:eastAsia="仿宋_GB2312"/>
          <w:kern w:val="0"/>
          <w:sz w:val="32"/>
          <w:szCs w:val="32"/>
        </w:rPr>
        <w:t>受自然条件、经济条件等因素影响，省内电动汽车集中于关中地区尤其是西安市，各类充电设施相应集中于西安市，集聚发展有效提升了行业初期的规模化水平和经济效益；在建成的各类充电设施中，类型上以公用为主，专用为辅，布局上主要分布在城市及其周边区域，主要保障城区范围内电动汽车充电需求。随着电动汽车进一步推广，充电设施不仅要满足城区范围充电方便快捷，还要满足日益增加的乡村及城际出行充电需求，布局要适度超前，以构建完善的充电设施网络体系，充分发挥支撑、引导、推进作用，促进省内电动汽车从西安到关中、从关中到陕北、陕南和从城市到乡村的推广。</w:t>
      </w:r>
    </w:p>
    <w:p>
      <w:pPr>
        <w:pStyle w:val="2"/>
        <w:spacing w:line="580" w:lineRule="exact"/>
        <w:ind w:firstLine="643"/>
        <w:rPr>
          <w:rFonts w:ascii="仿宋_GB2312" w:eastAsia="仿宋_GB2312"/>
          <w:kern w:val="0"/>
          <w:sz w:val="32"/>
          <w:szCs w:val="32"/>
        </w:rPr>
      </w:pPr>
      <w:r>
        <w:rPr>
          <w:rFonts w:eastAsia="仿宋_GB2312"/>
          <w:b/>
          <w:kern w:val="0"/>
          <w:sz w:val="32"/>
          <w:szCs w:val="32"/>
        </w:rPr>
        <w:t>2.</w:t>
      </w:r>
      <w:r>
        <w:rPr>
          <w:rFonts w:hint="eastAsia" w:ascii="仿宋_GB2312" w:eastAsia="仿宋_GB2312"/>
          <w:b/>
          <w:kern w:val="0"/>
          <w:sz w:val="32"/>
          <w:szCs w:val="32"/>
        </w:rPr>
        <w:t>多渠道解决私人自用充电桩建设问题。</w:t>
      </w:r>
      <w:r>
        <w:rPr>
          <w:rFonts w:hint="eastAsia" w:ascii="仿宋_GB2312" w:eastAsia="仿宋_GB2312"/>
          <w:kern w:val="0"/>
          <w:sz w:val="32"/>
          <w:szCs w:val="32"/>
        </w:rPr>
        <w:t>在当前的电动汽车技术发展现状和私人电动汽车日常使用场景下，居住地充电是较为适宜的电能补充方式。但是现有小区由于物业不配合、无固定停车位、变压器容量有限、改造空间受限等诸多因素，实现私人电动乘用车达到车桩比</w:t>
      </w:r>
      <w:r>
        <w:rPr>
          <w:rFonts w:eastAsia="仿宋_GB2312"/>
          <w:kern w:val="0"/>
          <w:sz w:val="32"/>
          <w:szCs w:val="32"/>
        </w:rPr>
        <w:t>1:1</w:t>
      </w:r>
      <w:r>
        <w:rPr>
          <w:rFonts w:hint="eastAsia" w:ascii="仿宋_GB2312" w:eastAsia="仿宋_GB2312"/>
          <w:kern w:val="0"/>
          <w:sz w:val="32"/>
          <w:szCs w:val="32"/>
        </w:rPr>
        <w:t>仍有一定差距；新建小区停车位配建充电桩没有列入小区验收范围，制约了私人电动汽车使用便捷性。需要加强新建小区验收管理，运用有序充电等技术手段解决现有小区变压器容量不足问题，加强对小区物业管理和规范，引导各方参与建设小区内公共共享充电设施，加快制定地下车库充电设施防火规范。</w:t>
      </w:r>
    </w:p>
    <w:p>
      <w:pPr>
        <w:pStyle w:val="2"/>
        <w:spacing w:line="580" w:lineRule="exact"/>
        <w:ind w:firstLine="643"/>
        <w:rPr>
          <w:rFonts w:ascii="仿宋_GB2312" w:eastAsia="仿宋_GB2312"/>
          <w:kern w:val="0"/>
          <w:sz w:val="32"/>
          <w:szCs w:val="32"/>
        </w:rPr>
      </w:pPr>
      <w:r>
        <w:rPr>
          <w:rFonts w:eastAsia="仿宋_GB2312"/>
          <w:b/>
          <w:kern w:val="0"/>
          <w:sz w:val="32"/>
          <w:szCs w:val="32"/>
        </w:rPr>
        <w:t>3.</w:t>
      </w:r>
      <w:r>
        <w:rPr>
          <w:rFonts w:hint="eastAsia" w:ascii="仿宋_GB2312" w:eastAsia="仿宋_GB2312"/>
          <w:b/>
          <w:kern w:val="0"/>
          <w:sz w:val="32"/>
          <w:szCs w:val="32"/>
        </w:rPr>
        <w:t>加快打造</w:t>
      </w:r>
      <w:r>
        <w:rPr>
          <w:rFonts w:hint="eastAsia" w:eastAsia="仿宋_GB2312"/>
          <w:b/>
          <w:kern w:val="0"/>
          <w:sz w:val="32"/>
          <w:szCs w:val="32"/>
        </w:rPr>
        <w:t>全省</w:t>
      </w:r>
      <w:r>
        <w:rPr>
          <w:rFonts w:hint="eastAsia" w:ascii="仿宋_GB2312" w:eastAsia="仿宋_GB2312"/>
          <w:b/>
          <w:kern w:val="0"/>
          <w:sz w:val="32"/>
          <w:szCs w:val="32"/>
        </w:rPr>
        <w:t>充电设施“一张网”，提升群众充电体验。</w:t>
      </w:r>
      <w:r>
        <w:rPr>
          <w:rFonts w:hint="eastAsia" w:ascii="仿宋_GB2312" w:eastAsia="仿宋_GB2312"/>
          <w:kern w:val="0"/>
          <w:sz w:val="32"/>
          <w:szCs w:val="32"/>
        </w:rPr>
        <w:t>目前省级智慧车联网平台静态及动态接入率不高，行业数据统计不全面，制约了行业信息精准分析和相关政策制定，亟待打造全省充电设施“一张网”，突出省级智慧车联网平台作为政府平台的公益属性，提升群众充电体验。省内多个规模较大的充电设施运营商已开展平台之间的对接互联，但需要继续推进互联深度和互联范围，最终形成方便快捷的互联网结算平台。</w:t>
      </w:r>
    </w:p>
    <w:p>
      <w:pPr>
        <w:pStyle w:val="2"/>
        <w:spacing w:line="580" w:lineRule="exact"/>
        <w:ind w:firstLine="643"/>
        <w:rPr>
          <w:rFonts w:ascii="仿宋_GB2312" w:eastAsia="仿宋_GB2312"/>
          <w:kern w:val="0"/>
          <w:sz w:val="32"/>
          <w:szCs w:val="32"/>
        </w:rPr>
      </w:pPr>
      <w:r>
        <w:rPr>
          <w:rFonts w:hint="eastAsia" w:eastAsia="仿宋"/>
          <w:b/>
          <w:sz w:val="32"/>
          <w:szCs w:val="32"/>
        </w:rPr>
        <w:t>4.</w:t>
      </w:r>
      <w:r>
        <w:rPr>
          <w:rFonts w:hint="eastAsia" w:ascii="仿宋_GB2312" w:eastAsia="仿宋_GB2312"/>
          <w:b/>
          <w:kern w:val="0"/>
          <w:sz w:val="32"/>
          <w:szCs w:val="32"/>
        </w:rPr>
        <w:t>充电设施全生命周期安全管理体系需要完善。</w:t>
      </w:r>
      <w:r>
        <w:rPr>
          <w:rFonts w:hint="eastAsia" w:ascii="仿宋_GB2312" w:eastAsia="仿宋_GB2312"/>
          <w:kern w:val="0"/>
          <w:sz w:val="32"/>
          <w:szCs w:val="32"/>
        </w:rPr>
        <w:t>省内尚未建立产品准入、建设验收等方面规范要求，产品及施工质量参差不齐，加之充电运营商对国家及行业在充电系统与设备、充电设施检测、充电接口等方面标准执行力度不一，造成一定安全隐患。规范产业链相关企业在设备制造、建设施工、运行维护等各阶段严格执行现有国家、行业等相关标准，并加强相关地方标准制定。地下车库等特殊环境对充电设施消防要求不明确，需加强研究并完善相关标准。</w:t>
      </w:r>
    </w:p>
    <w:p>
      <w:pPr>
        <w:pStyle w:val="2"/>
        <w:spacing w:line="580" w:lineRule="exact"/>
        <w:ind w:firstLine="643"/>
        <w:rPr>
          <w:rFonts w:ascii="仿宋_GB2312" w:eastAsia="仿宋_GB2312"/>
          <w:kern w:val="0"/>
          <w:sz w:val="32"/>
          <w:szCs w:val="32"/>
        </w:rPr>
      </w:pPr>
      <w:r>
        <w:rPr>
          <w:rFonts w:eastAsia="仿宋"/>
          <w:b/>
          <w:sz w:val="32"/>
          <w:szCs w:val="32"/>
        </w:rPr>
        <w:t>5.</w:t>
      </w:r>
      <w:r>
        <w:rPr>
          <w:rFonts w:hint="eastAsia" w:ascii="仿宋_GB2312" w:eastAsia="仿宋_GB2312"/>
          <w:b/>
          <w:kern w:val="0"/>
          <w:sz w:val="32"/>
          <w:szCs w:val="32"/>
        </w:rPr>
        <w:t>需要加强行业管理。</w:t>
      </w:r>
      <w:r>
        <w:rPr>
          <w:rFonts w:hint="eastAsia" w:ascii="仿宋_GB2312" w:eastAsia="仿宋_GB2312"/>
          <w:kern w:val="0"/>
          <w:sz w:val="32"/>
          <w:szCs w:val="32"/>
        </w:rPr>
        <w:t>充电便捷性不高、充电时间长、油车占位、充电设施破损等问题长期存在，一直是充电设施使用者反映的热点问题。部分运营商为了抢占市场，不计成本和投资回报，造成行业恶性竞争，不利于整体行业健康发展；部分运营商存在重建设轻运营现象，场站建成后运营管理滞后，充电桩可用率、安全性及场站环境没有保障，需要引导充电运营商从扩大市场范围向提高服务能力转变，各级政府相关部门应逐步规范管理。</w:t>
      </w:r>
    </w:p>
    <w:p>
      <w:pPr>
        <w:pStyle w:val="2"/>
        <w:spacing w:line="580" w:lineRule="exact"/>
        <w:ind w:firstLine="643"/>
        <w:rPr>
          <w:rFonts w:ascii="仿宋_GB2312" w:hAnsi="仿宋" w:eastAsia="仿宋_GB2312" w:cs="仿宋"/>
          <w:sz w:val="32"/>
          <w:szCs w:val="40"/>
        </w:rPr>
      </w:pPr>
      <w:r>
        <w:rPr>
          <w:rFonts w:hint="eastAsia" w:eastAsia="仿宋"/>
          <w:b/>
          <w:sz w:val="32"/>
          <w:szCs w:val="32"/>
        </w:rPr>
        <w:t>6.</w:t>
      </w:r>
      <w:r>
        <w:rPr>
          <w:rFonts w:hint="eastAsia" w:ascii="仿宋_GB2312" w:eastAsia="仿宋_GB2312"/>
          <w:b/>
          <w:sz w:val="32"/>
          <w:szCs w:val="32"/>
        </w:rPr>
        <w:t>商业模式仍需丰富。</w:t>
      </w:r>
      <w:r>
        <w:rPr>
          <w:rFonts w:hint="eastAsia" w:ascii="仿宋_GB2312" w:eastAsia="仿宋_GB2312"/>
          <w:sz w:val="32"/>
          <w:szCs w:val="32"/>
        </w:rPr>
        <w:t>目前充电站盈利模式仍较为单一，主要偏重资产布局、收取充电服务费，缺乏针对不同车型、不同群体的多元化服务，没有形成细分市场，电力交易、车网互动等模式不健全，行业盈利能力较弱。要积极推进商业模式探索，以充电桩及充电平台为媒介，连接车辆与电网、引流创收，积极利用电力交易手段，推进车网协同，充分挖掘数据价值，开展金融、售电、电商等多种增值服务，提升充电设施行业总体经济效益。</w:t>
      </w:r>
    </w:p>
    <w:p>
      <w:pPr>
        <w:pStyle w:val="2"/>
        <w:spacing w:line="580" w:lineRule="exact"/>
        <w:ind w:firstLine="643"/>
        <w:rPr>
          <w:rFonts w:ascii="仿宋_GB2312" w:eastAsia="仿宋_GB2312"/>
          <w:sz w:val="32"/>
          <w:szCs w:val="32"/>
        </w:rPr>
      </w:pPr>
      <w:r>
        <w:rPr>
          <w:rFonts w:hint="eastAsia" w:eastAsia="仿宋"/>
          <w:b/>
          <w:sz w:val="32"/>
          <w:szCs w:val="32"/>
        </w:rPr>
        <w:t>7.</w:t>
      </w:r>
      <w:r>
        <w:rPr>
          <w:rFonts w:hint="eastAsia" w:ascii="仿宋_GB2312" w:eastAsia="仿宋_GB2312"/>
          <w:b/>
          <w:sz w:val="32"/>
          <w:szCs w:val="32"/>
        </w:rPr>
        <w:t>配套政策需要加强。</w:t>
      </w:r>
      <w:r>
        <w:rPr>
          <w:rFonts w:hint="eastAsia" w:ascii="仿宋_GB2312" w:eastAsia="仿宋_GB2312"/>
          <w:sz w:val="32"/>
          <w:szCs w:val="32"/>
        </w:rPr>
        <w:t>当前充电设施行业总体尚处于政策推动阶段，与国内先进省份相比，陕西省在电动汽车推广及充电设施建设等方面政策支持力度还需加强，同时省内各地市支持政策力度不一，补贴等主要集中于省会西安，其余地市尚待完善。建成的公共充电站受位置、客源等因素影响，运营情况差异较大，投资回收期长短不一，总体投资回收期为</w:t>
      </w:r>
      <w:r>
        <w:rPr>
          <w:rFonts w:eastAsia="仿宋_GB2312"/>
          <w:sz w:val="32"/>
          <w:szCs w:val="32"/>
        </w:rPr>
        <w:t>4</w:t>
      </w:r>
      <w:r>
        <w:rPr>
          <w:rFonts w:hint="eastAsia" w:eastAsia="仿宋_GB2312"/>
          <w:sz w:val="32"/>
          <w:szCs w:val="32"/>
        </w:rPr>
        <w:t>-</w:t>
      </w:r>
      <w:r>
        <w:rPr>
          <w:rFonts w:eastAsia="仿宋_GB2312"/>
          <w:sz w:val="32"/>
          <w:szCs w:val="32"/>
        </w:rPr>
        <w:t>5年左右</w:t>
      </w:r>
      <w:r>
        <w:rPr>
          <w:rStyle w:val="24"/>
          <w:rFonts w:eastAsia="仿宋_GB2312"/>
          <w:sz w:val="32"/>
          <w:szCs w:val="32"/>
        </w:rPr>
        <w:footnoteReference w:id="4"/>
      </w:r>
      <w:r>
        <w:rPr>
          <w:rFonts w:eastAsia="仿宋_GB2312"/>
          <w:sz w:val="32"/>
          <w:szCs w:val="32"/>
        </w:rPr>
        <w:t>，个别需要6-8年，部</w:t>
      </w:r>
      <w:r>
        <w:rPr>
          <w:rFonts w:hint="eastAsia" w:ascii="仿宋_GB2312" w:eastAsia="仿宋_GB2312"/>
          <w:sz w:val="32"/>
          <w:szCs w:val="32"/>
        </w:rPr>
        <w:t>分运营商处于亏损状态，要建成适度超前的充电设施，仍然需要一定政策支持。</w:t>
      </w:r>
      <w:bookmarkStart w:id="26" w:name="_Toc47622923"/>
    </w:p>
    <w:p>
      <w:pPr>
        <w:pStyle w:val="3"/>
        <w:spacing w:line="580" w:lineRule="exact"/>
        <w:ind w:firstLine="643"/>
      </w:pPr>
      <w:bookmarkStart w:id="27" w:name="_Toc502"/>
      <w:bookmarkStart w:id="28" w:name="_Toc28669"/>
      <w:r>
        <w:rPr>
          <w:rFonts w:hint="eastAsia"/>
        </w:rPr>
        <w:t>三、充电设施发展需求预测</w:t>
      </w:r>
      <w:bookmarkEnd w:id="26"/>
      <w:bookmarkEnd w:id="27"/>
      <w:bookmarkEnd w:id="28"/>
    </w:p>
    <w:p>
      <w:pPr>
        <w:pStyle w:val="4"/>
        <w:spacing w:line="580" w:lineRule="exact"/>
        <w:ind w:firstLine="643"/>
      </w:pPr>
      <w:bookmarkStart w:id="29" w:name="_Toc47622924"/>
      <w:bookmarkStart w:id="30" w:name="_Toc27487"/>
      <w:bookmarkStart w:id="31" w:name="_Toc16828"/>
      <w:bookmarkStart w:id="32" w:name="_Toc447114631"/>
      <w:r>
        <w:t>（一）</w:t>
      </w:r>
      <w:r>
        <w:rPr>
          <w:rFonts w:hint="eastAsia"/>
        </w:rPr>
        <w:t>陕西省电动汽车</w:t>
      </w:r>
      <w:bookmarkEnd w:id="29"/>
      <w:r>
        <w:rPr>
          <w:rFonts w:hint="eastAsia"/>
        </w:rPr>
        <w:t>推广应用预测</w:t>
      </w:r>
      <w:bookmarkEnd w:id="30"/>
      <w:bookmarkEnd w:id="31"/>
    </w:p>
    <w:bookmarkEnd w:id="32"/>
    <w:p>
      <w:pPr>
        <w:pStyle w:val="5"/>
        <w:spacing w:line="580" w:lineRule="exact"/>
        <w:ind w:firstLine="643"/>
      </w:pPr>
      <w:r>
        <w:rPr>
          <w:rFonts w:hint="eastAsia"/>
        </w:rPr>
        <w:t>1.总量预测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（1）平均增长率法</w:t>
      </w:r>
    </w:p>
    <w:p>
      <w:pPr>
        <w:adjustRightInd w:val="0"/>
        <w:snapToGrid w:val="0"/>
        <w:spacing w:line="580" w:lineRule="exact"/>
        <w:jc w:val="center"/>
        <w:rPr>
          <w:rFonts w:ascii="Times New Roman" w:hAnsi="Times New Roman" w:eastAsia="仿宋_GB2312"/>
          <w:b/>
          <w:bCs/>
        </w:rPr>
      </w:pPr>
      <w:r>
        <w:rPr>
          <w:rFonts w:hint="eastAsia" w:ascii="仿宋_GB2312" w:hAnsi="Times New Roman" w:eastAsia="仿宋_GB2312"/>
          <w:b/>
          <w:bCs/>
          <w:sz w:val="24"/>
        </w:rPr>
        <w:t>表</w:t>
      </w:r>
      <w:r>
        <w:rPr>
          <w:rFonts w:ascii="Times New Roman" w:hAnsi="Times New Roman" w:eastAsia="仿宋_GB2312" w:cs="Times New Roman"/>
          <w:b/>
          <w:bCs/>
          <w:sz w:val="24"/>
        </w:rPr>
        <w:t xml:space="preserve">2 </w:t>
      </w:r>
      <w:r>
        <w:rPr>
          <w:rFonts w:hint="eastAsia" w:ascii="仿宋_GB2312" w:hAnsi="Times New Roman" w:eastAsia="仿宋_GB2312"/>
          <w:b/>
          <w:bCs/>
          <w:sz w:val="24"/>
        </w:rPr>
        <w:t xml:space="preserve"> 陕西省</w:t>
      </w:r>
      <w:r>
        <w:rPr>
          <w:rFonts w:hint="eastAsia" w:ascii="Times New Roman" w:hAnsi="Times New Roman" w:eastAsia="仿宋_GB2312"/>
          <w:b/>
          <w:bCs/>
          <w:sz w:val="24"/>
        </w:rPr>
        <w:t>2017-2020</w:t>
      </w:r>
      <w:r>
        <w:rPr>
          <w:rFonts w:hint="eastAsia" w:ascii="仿宋_GB2312" w:hAnsi="Times New Roman" w:eastAsia="仿宋_GB2312"/>
          <w:b/>
          <w:bCs/>
          <w:sz w:val="24"/>
        </w:rPr>
        <w:t>年新能源汽车保有情况（单位：辆）</w:t>
      </w:r>
    </w:p>
    <w:tbl>
      <w:tblPr>
        <w:tblStyle w:val="17"/>
        <w:tblW w:w="83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4"/>
        <w:gridCol w:w="1934"/>
        <w:gridCol w:w="223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sz w:val="22"/>
                <w:szCs w:val="22"/>
              </w:rPr>
            </w:pPr>
          </w:p>
        </w:tc>
        <w:tc>
          <w:tcPr>
            <w:tcW w:w="19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sz w:val="22"/>
                <w:szCs w:val="22"/>
              </w:rPr>
            </w:pPr>
            <w:r>
              <w:rPr>
                <w:rFonts w:hint="eastAsia" w:ascii="宋体" w:hAnsi="宋体"/>
                <w:kern w:val="0"/>
                <w:sz w:val="22"/>
                <w:szCs w:val="22"/>
              </w:rPr>
              <w:t>保有量</w:t>
            </w:r>
          </w:p>
        </w:tc>
        <w:tc>
          <w:tcPr>
            <w:tcW w:w="22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sz w:val="22"/>
                <w:szCs w:val="22"/>
              </w:rPr>
            </w:pPr>
            <w:r>
              <w:rPr>
                <w:rFonts w:hint="eastAsia" w:ascii="宋体" w:hAnsi="宋体"/>
                <w:kern w:val="0"/>
                <w:sz w:val="22"/>
                <w:szCs w:val="22"/>
              </w:rPr>
              <w:t>增长率</w:t>
            </w:r>
          </w:p>
        </w:tc>
        <w:tc>
          <w:tcPr>
            <w:tcW w:w="22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eastAsia="宋体"/>
                <w:sz w:val="22"/>
                <w:szCs w:val="22"/>
              </w:rPr>
            </w:pPr>
            <w:r>
              <w:rPr>
                <w:rFonts w:hint="eastAsia" w:ascii="宋体" w:hAnsi="宋体"/>
                <w:kern w:val="0"/>
                <w:sz w:val="22"/>
                <w:szCs w:val="22"/>
              </w:rPr>
              <w:t>当年新增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2017</w:t>
            </w:r>
            <w:r>
              <w:rPr>
                <w:rFonts w:hint="eastAsia" w:ascii="Times New Roman" w:hAnsi="宋体" w:cs="Times New Roman"/>
                <w:kern w:val="0"/>
                <w:sz w:val="22"/>
                <w:szCs w:val="22"/>
              </w:rPr>
              <w:t>年</w:t>
            </w:r>
          </w:p>
        </w:tc>
        <w:tc>
          <w:tcPr>
            <w:tcW w:w="19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56916</w:t>
            </w:r>
          </w:p>
        </w:tc>
        <w:tc>
          <w:tcPr>
            <w:tcW w:w="22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w:t>
            </w:r>
          </w:p>
        </w:tc>
        <w:tc>
          <w:tcPr>
            <w:tcW w:w="22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2018</w:t>
            </w:r>
            <w:r>
              <w:rPr>
                <w:rFonts w:hint="eastAsia" w:ascii="Times New Roman" w:hAnsi="宋体" w:cs="Times New Roman"/>
                <w:kern w:val="0"/>
                <w:sz w:val="22"/>
                <w:szCs w:val="22"/>
              </w:rPr>
              <w:t>年</w:t>
            </w:r>
          </w:p>
        </w:tc>
        <w:tc>
          <w:tcPr>
            <w:tcW w:w="19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63579</w:t>
            </w:r>
          </w:p>
        </w:tc>
        <w:tc>
          <w:tcPr>
            <w:tcW w:w="22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10.48</w:t>
            </w:r>
          </w:p>
        </w:tc>
        <w:tc>
          <w:tcPr>
            <w:tcW w:w="22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6663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2019</w:t>
            </w:r>
            <w:r>
              <w:rPr>
                <w:rFonts w:hint="eastAsia" w:ascii="Times New Roman" w:hAnsi="宋体" w:cs="Times New Roman"/>
                <w:kern w:val="0"/>
                <w:sz w:val="22"/>
                <w:szCs w:val="22"/>
              </w:rPr>
              <w:t>年</w:t>
            </w:r>
          </w:p>
        </w:tc>
        <w:tc>
          <w:tcPr>
            <w:tcW w:w="19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100722</w:t>
            </w:r>
          </w:p>
        </w:tc>
        <w:tc>
          <w:tcPr>
            <w:tcW w:w="22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58.42</w:t>
            </w:r>
          </w:p>
        </w:tc>
        <w:tc>
          <w:tcPr>
            <w:tcW w:w="22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37143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2020</w:t>
            </w:r>
            <w:r>
              <w:rPr>
                <w:rFonts w:hint="eastAsia" w:ascii="Times New Roman" w:hAnsi="宋体" w:cs="Times New Roman"/>
                <w:kern w:val="0"/>
                <w:sz w:val="22"/>
                <w:szCs w:val="22"/>
              </w:rPr>
              <w:t>年</w:t>
            </w:r>
          </w:p>
        </w:tc>
        <w:tc>
          <w:tcPr>
            <w:tcW w:w="19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123128</w:t>
            </w:r>
          </w:p>
        </w:tc>
        <w:tc>
          <w:tcPr>
            <w:tcW w:w="22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22.25</w:t>
            </w:r>
          </w:p>
        </w:tc>
        <w:tc>
          <w:tcPr>
            <w:tcW w:w="22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2"/>
                <w:szCs w:val="22"/>
              </w:rPr>
            </w:pPr>
            <w:r>
              <w:rPr>
                <w:rFonts w:ascii="Times New Roman" w:hAnsi="Times New Roman" w:cs="Times New Roman"/>
                <w:kern w:val="0"/>
                <w:sz w:val="22"/>
                <w:szCs w:val="22"/>
              </w:rPr>
              <w:t>22406</w:t>
            </w:r>
          </w:p>
        </w:tc>
      </w:tr>
    </w:tbl>
    <w:p>
      <w:pPr>
        <w:spacing w:beforeLines="25"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2017年末至2020年末的省内电动汽车保有量平均增长率为</w:t>
      </w:r>
      <w:r>
        <w:rPr>
          <w:rFonts w:ascii="Times New Roman" w:hAnsi="Times New Roman" w:eastAsia="仿宋_GB2312" w:cs="Times New Roman"/>
          <w:sz w:val="32"/>
          <w:szCs w:val="32"/>
        </w:rPr>
        <w:t>29.35%</w:t>
      </w:r>
      <w:r>
        <w:rPr>
          <w:rFonts w:hint="eastAsia" w:ascii="Times New Roman" w:hAnsi="Times New Roman" w:eastAsia="仿宋_GB2312" w:cs="Times New Roman"/>
          <w:sz w:val="32"/>
          <w:szCs w:val="32"/>
        </w:rPr>
        <w:t>，2017年末至2020年末的全国电动汽车保有量平均增长率为40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左右，考虑到国家对电动汽车支持力度持续加强，电动汽车技术成熟度不断提高，“十四五”期间省内电动汽车保有量增速预计将继续提高，取“十四五”期间年平均增长率高、中、低方案分别为</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（省内单年电动汽车保有量最高增速）、</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年末至</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年末的全国电动汽车保有量平均增速）、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（2017年末至2020年末省内电动汽车保有量平均增速），“十四五”末电动汽车保有量分别达到</w:t>
      </w:r>
      <w:r>
        <w:rPr>
          <w:rFonts w:ascii="Times New Roman" w:hAnsi="Times New Roman" w:eastAsia="仿宋_GB2312" w:cs="Times New Roman"/>
          <w:sz w:val="32"/>
          <w:szCs w:val="32"/>
        </w:rPr>
        <w:t>93.5</w:t>
      </w:r>
      <w:r>
        <w:rPr>
          <w:rFonts w:hint="eastAsia" w:ascii="Times New Roman" w:hAnsi="Times New Roman" w:eastAsia="仿宋_GB2312" w:cs="Times New Roman"/>
          <w:sz w:val="32"/>
          <w:szCs w:val="32"/>
        </w:rPr>
        <w:t>万辆、</w:t>
      </w:r>
      <w:r>
        <w:rPr>
          <w:rFonts w:ascii="Times New Roman" w:hAnsi="Times New Roman" w:eastAsia="仿宋_GB2312" w:cs="Times New Roman"/>
          <w:sz w:val="32"/>
          <w:szCs w:val="32"/>
        </w:rPr>
        <w:t>66.2</w:t>
      </w:r>
      <w:r>
        <w:rPr>
          <w:rFonts w:hint="eastAsia" w:ascii="Times New Roman" w:hAnsi="Times New Roman" w:eastAsia="仿宋_GB2312" w:cs="Times New Roman"/>
          <w:sz w:val="32"/>
          <w:szCs w:val="32"/>
        </w:rPr>
        <w:t>万辆、</w:t>
      </w:r>
      <w:r>
        <w:rPr>
          <w:rFonts w:ascii="Times New Roman" w:hAnsi="Times New Roman" w:eastAsia="仿宋_GB2312" w:cs="Times New Roman"/>
          <w:sz w:val="32"/>
          <w:szCs w:val="32"/>
        </w:rPr>
        <w:t>45.7</w:t>
      </w:r>
      <w:r>
        <w:rPr>
          <w:rFonts w:hint="eastAsia" w:ascii="Times New Roman" w:hAnsi="Times New Roman" w:eastAsia="仿宋_GB2312" w:cs="Times New Roman"/>
          <w:sz w:val="32"/>
          <w:szCs w:val="32"/>
        </w:rPr>
        <w:t>万辆，详细预测结果如下。</w:t>
      </w:r>
    </w:p>
    <w:p>
      <w:pPr>
        <w:pStyle w:val="2"/>
      </w:pPr>
    </w:p>
    <w:p>
      <w:pPr>
        <w:adjustRightInd w:val="0"/>
        <w:snapToGrid w:val="0"/>
        <w:spacing w:beforeLines="50" w:line="580" w:lineRule="exact"/>
        <w:jc w:val="center"/>
        <w:rPr>
          <w:rFonts w:ascii="Times New Roman" w:hAnsi="Times New Roman" w:eastAsia="仿宋_GB2312"/>
          <w:b/>
          <w:bCs/>
        </w:rPr>
      </w:pPr>
      <w:r>
        <w:rPr>
          <w:rFonts w:hint="eastAsia" w:ascii="仿宋_GB2312" w:hAnsi="Times New Roman" w:eastAsia="仿宋_GB2312"/>
          <w:b/>
          <w:bCs/>
          <w:sz w:val="24"/>
        </w:rPr>
        <w:t>表</w:t>
      </w:r>
      <w:r>
        <w:rPr>
          <w:rFonts w:ascii="Times New Roman" w:hAnsi="Times New Roman" w:eastAsia="仿宋_GB2312" w:cs="Times New Roman"/>
          <w:b/>
          <w:bCs/>
          <w:sz w:val="24"/>
        </w:rPr>
        <w:t>3</w:t>
      </w:r>
      <w:r>
        <w:rPr>
          <w:rFonts w:hint="eastAsia" w:ascii="Times New Roman" w:hAnsi="Times New Roman" w:eastAsia="仿宋_GB2312" w:cs="Times New Roman"/>
          <w:b/>
          <w:bCs/>
          <w:sz w:val="24"/>
        </w:rPr>
        <w:t xml:space="preserve"> </w:t>
      </w:r>
      <w:r>
        <w:rPr>
          <w:rFonts w:hint="eastAsia" w:ascii="仿宋_GB2312" w:hAnsi="Times New Roman" w:eastAsia="仿宋_GB2312"/>
          <w:b/>
          <w:bCs/>
          <w:sz w:val="24"/>
        </w:rPr>
        <w:t xml:space="preserve"> 陕西省</w:t>
      </w:r>
      <w:r>
        <w:rPr>
          <w:rFonts w:hint="eastAsia" w:ascii="Times New Roman" w:hAnsi="Times New Roman" w:eastAsia="仿宋_GB2312"/>
          <w:b/>
          <w:bCs/>
          <w:sz w:val="24"/>
        </w:rPr>
        <w:t>“十四五”</w:t>
      </w:r>
      <w:r>
        <w:rPr>
          <w:rFonts w:hint="eastAsia" w:ascii="仿宋_GB2312" w:hAnsi="Times New Roman" w:eastAsia="仿宋_GB2312"/>
          <w:b/>
          <w:bCs/>
          <w:sz w:val="24"/>
        </w:rPr>
        <w:t>电动汽车保有量预测</w:t>
      </w:r>
      <w:r>
        <w:rPr>
          <w:rFonts w:hint="eastAsia" w:ascii="仿宋_GB2312" w:hAnsi="Times New Roman" w:eastAsia="仿宋_GB2312"/>
          <w:b/>
          <w:bCs/>
        </w:rPr>
        <w:t>（</w:t>
      </w:r>
      <w:r>
        <w:rPr>
          <w:rFonts w:hint="eastAsia" w:ascii="仿宋_GB2312" w:hAnsi="Times New Roman" w:eastAsia="仿宋_GB2312"/>
          <w:b/>
          <w:bCs/>
          <w:sz w:val="24"/>
        </w:rPr>
        <w:t>平均增长率法</w:t>
      </w:r>
      <w:r>
        <w:rPr>
          <w:rFonts w:hint="eastAsia" w:ascii="仿宋_GB2312" w:hAnsi="Times New Roman" w:eastAsia="仿宋_GB2312"/>
          <w:b/>
          <w:bCs/>
        </w:rPr>
        <w:t>）</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1292"/>
        <w:gridCol w:w="774"/>
        <w:gridCol w:w="774"/>
        <w:gridCol w:w="774"/>
        <w:gridCol w:w="774"/>
        <w:gridCol w:w="77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88" w:type="dxa"/>
            <w:vAlign w:val="center"/>
          </w:tcPr>
          <w:p>
            <w:pPr>
              <w:widowControl/>
              <w:jc w:val="center"/>
              <w:rPr>
                <w:rFonts w:ascii="宋体" w:hAnsi="宋体" w:eastAsia="宋体" w:cs="宋体"/>
                <w:kern w:val="0"/>
                <w:sz w:val="22"/>
                <w:szCs w:val="22"/>
              </w:rPr>
            </w:pPr>
          </w:p>
        </w:tc>
        <w:tc>
          <w:tcPr>
            <w:tcW w:w="1292" w:type="dxa"/>
            <w:shd w:val="clear" w:color="auto" w:fill="auto"/>
            <w:vAlign w:val="center"/>
          </w:tcPr>
          <w:p>
            <w:pPr>
              <w:widowControl/>
              <w:jc w:val="center"/>
              <w:rPr>
                <w:rFonts w:ascii="Times New Roman" w:hAnsi="Times New Roman" w:eastAsia="宋体" w:cs="Times New Roman"/>
                <w:kern w:val="0"/>
                <w:sz w:val="22"/>
                <w:szCs w:val="22"/>
              </w:rPr>
            </w:pPr>
            <w:r>
              <w:rPr>
                <w:rFonts w:hint="eastAsia" w:ascii="Times New Roman" w:hAnsi="宋体" w:eastAsia="宋体" w:cs="Times New Roman"/>
                <w:kern w:val="0"/>
                <w:sz w:val="22"/>
                <w:szCs w:val="22"/>
              </w:rPr>
              <w:t>年增长率</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2020</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2021</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2022</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2023</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2024</w:t>
            </w:r>
          </w:p>
        </w:tc>
        <w:tc>
          <w:tcPr>
            <w:tcW w:w="77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88" w:type="dxa"/>
            <w:vMerge w:val="restart"/>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陕西省电动汽车保有量</w:t>
            </w:r>
          </w:p>
          <w:p>
            <w:pPr>
              <w:widowControl/>
              <w:jc w:val="center"/>
            </w:pPr>
            <w:r>
              <w:rPr>
                <w:rFonts w:hint="eastAsia" w:ascii="宋体" w:hAnsi="宋体" w:eastAsia="宋体" w:cs="宋体"/>
                <w:kern w:val="0"/>
                <w:sz w:val="20"/>
                <w:szCs w:val="22"/>
              </w:rPr>
              <w:t>（单位：万辆</w:t>
            </w:r>
            <w:r>
              <w:rPr>
                <w:rFonts w:hint="eastAsia" w:ascii="仿宋_GB2312" w:hAnsi="Times New Roman" w:eastAsia="仿宋_GB2312"/>
                <w:b/>
                <w:bCs/>
                <w:sz w:val="18"/>
              </w:rPr>
              <w:t>）</w:t>
            </w:r>
          </w:p>
        </w:tc>
        <w:tc>
          <w:tcPr>
            <w:tcW w:w="129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12.3</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16.0</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20.8</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27.1</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35.2</w:t>
            </w:r>
          </w:p>
        </w:tc>
        <w:tc>
          <w:tcPr>
            <w:tcW w:w="77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88" w:type="dxa"/>
            <w:vMerge w:val="continue"/>
            <w:vAlign w:val="center"/>
          </w:tcPr>
          <w:p>
            <w:pPr>
              <w:widowControl/>
              <w:jc w:val="center"/>
              <w:rPr>
                <w:rFonts w:ascii="宋体" w:hAnsi="宋体" w:eastAsia="宋体" w:cs="宋体"/>
                <w:kern w:val="0"/>
                <w:sz w:val="22"/>
                <w:szCs w:val="22"/>
              </w:rPr>
            </w:pPr>
          </w:p>
        </w:tc>
        <w:tc>
          <w:tcPr>
            <w:tcW w:w="129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40%</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12.3</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17.2</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24.1</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33.8</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47.3</w:t>
            </w:r>
          </w:p>
        </w:tc>
        <w:tc>
          <w:tcPr>
            <w:tcW w:w="77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88" w:type="dxa"/>
            <w:vMerge w:val="continue"/>
            <w:vAlign w:val="center"/>
          </w:tcPr>
          <w:p>
            <w:pPr>
              <w:widowControl/>
              <w:jc w:val="center"/>
              <w:rPr>
                <w:rFonts w:ascii="宋体" w:hAnsi="宋体" w:eastAsia="宋体" w:cs="宋体"/>
                <w:kern w:val="0"/>
                <w:sz w:val="22"/>
                <w:szCs w:val="22"/>
              </w:rPr>
            </w:pPr>
          </w:p>
        </w:tc>
        <w:tc>
          <w:tcPr>
            <w:tcW w:w="129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12.3</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18.5</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27.7</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41.5</w:t>
            </w:r>
          </w:p>
        </w:tc>
        <w:tc>
          <w:tcPr>
            <w:tcW w:w="77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62.3</w:t>
            </w:r>
          </w:p>
        </w:tc>
        <w:tc>
          <w:tcPr>
            <w:tcW w:w="77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93.5</w:t>
            </w:r>
          </w:p>
        </w:tc>
      </w:tr>
    </w:tbl>
    <w:p>
      <w:pPr>
        <w:pStyle w:val="2"/>
        <w:spacing w:afterLines="25"/>
      </w:pPr>
    </w:p>
    <w:p>
      <w:pPr>
        <w:pStyle w:val="2"/>
        <w:spacing w:afterLines="50"/>
        <w:ind w:firstLine="0" w:firstLineChars="0"/>
        <w:jc w:val="center"/>
      </w:pPr>
      <w:r>
        <w:drawing>
          <wp:inline distT="0" distB="0" distL="114300" distR="114300">
            <wp:extent cx="5891530" cy="2719070"/>
            <wp:effectExtent l="0" t="0" r="0"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_GB2312" w:eastAsia="仿宋_GB2312" w:cstheme="minorBidi"/>
          <w:b/>
          <w:bCs/>
          <w:sz w:val="24"/>
        </w:rPr>
        <w:t>图</w:t>
      </w:r>
      <w:r>
        <w:rPr>
          <w:rFonts w:eastAsia="仿宋_GB2312"/>
          <w:b/>
          <w:bCs/>
          <w:sz w:val="24"/>
        </w:rPr>
        <w:t>1</w:t>
      </w:r>
      <w:r>
        <w:rPr>
          <w:rFonts w:hint="eastAsia" w:ascii="仿宋_GB2312" w:eastAsia="仿宋_GB2312" w:cstheme="minorBidi"/>
          <w:b/>
          <w:bCs/>
          <w:sz w:val="24"/>
        </w:rPr>
        <w:t xml:space="preserve">  陕西省“十四五”电动汽车保有量预测（平均增长率法）（单位：万辆）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（2）政策分析法</w:t>
      </w:r>
    </w:p>
    <w:p>
      <w:pPr>
        <w:adjustRightInd w:val="0"/>
        <w:snapToGrid w:val="0"/>
        <w:spacing w:line="58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新能源汽车发展水平与经济社会发展程度和汽车应用水平密切相关，陕西省经济社会发展及汽车应用水平略低于全国平均水平，人均汽车拥有量及人均国内生产总值均为全国水平的95%左右，考虑到陕西经济发展增速略快于全国平均水平，同时“十四五”期间新能源汽车购车成本仍将高于传统燃油汽车，新能源汽车还将处于政策推动阶段，省内新能源汽车的发展目标应以国家的发展目标为指引，因此</w:t>
      </w:r>
      <w:r>
        <w:rPr>
          <w:rFonts w:hint="eastAsia" w:ascii="Times New Roman" w:hAnsi="Times New Roman" w:eastAsia="仿宋_GB2312" w:cs="Times New Roman"/>
          <w:b/>
          <w:bCs/>
          <w:sz w:val="32"/>
          <w:szCs w:val="32"/>
        </w:rPr>
        <w:t>将“十四五”期间陕西新能源汽车发展目标与全国平均水平保持一致是较为合理的。</w:t>
      </w:r>
    </w:p>
    <w:p>
      <w:pPr>
        <w:adjustRightInd w:val="0"/>
        <w:snapToGrid w:val="0"/>
        <w:spacing w:beforeLines="50" w:line="580" w:lineRule="exact"/>
        <w:ind w:firstLine="482"/>
        <w:jc w:val="center"/>
        <w:rPr>
          <w:sz w:val="20"/>
        </w:rPr>
      </w:pPr>
      <w:r>
        <w:rPr>
          <w:rFonts w:hint="eastAsia" w:ascii="仿宋_GB2312" w:hAnsi="Times New Roman" w:eastAsia="仿宋_GB2312"/>
          <w:b/>
          <w:bCs/>
          <w:sz w:val="24"/>
        </w:rPr>
        <w:t>表</w:t>
      </w:r>
      <w:r>
        <w:rPr>
          <w:rFonts w:ascii="Times New Roman" w:hAnsi="Times New Roman" w:eastAsia="仿宋_GB2312" w:cs="Times New Roman"/>
          <w:b/>
          <w:bCs/>
          <w:sz w:val="24"/>
        </w:rPr>
        <w:t>4</w:t>
      </w:r>
      <w:r>
        <w:rPr>
          <w:rFonts w:hint="eastAsia" w:ascii="仿宋_GB2312" w:hAnsi="Times New Roman" w:eastAsia="仿宋_GB2312"/>
          <w:b/>
          <w:bCs/>
          <w:sz w:val="24"/>
        </w:rPr>
        <w:t xml:space="preserve"> </w:t>
      </w:r>
      <w:r>
        <w:rPr>
          <w:rFonts w:ascii="仿宋_GB2312" w:hAnsi="Times New Roman" w:eastAsia="仿宋_GB2312"/>
          <w:b/>
          <w:bCs/>
          <w:sz w:val="24"/>
        </w:rPr>
        <w:t>全国国</w:t>
      </w:r>
      <w:r>
        <w:rPr>
          <w:rFonts w:hint="eastAsia" w:ascii="仿宋_GB2312" w:hAnsi="Times New Roman" w:eastAsia="仿宋_GB2312"/>
          <w:b/>
          <w:bCs/>
          <w:sz w:val="24"/>
        </w:rPr>
        <w:t>内生产总值及陕西地区生产总值情况</w:t>
      </w:r>
      <w:r>
        <w:rPr>
          <w:rStyle w:val="24"/>
          <w:rFonts w:ascii="Times New Roman" w:hAnsi="Times New Roman" w:eastAsia="宋体" w:cs="Times New Roman"/>
          <w:b/>
          <w:bCs/>
          <w:sz w:val="24"/>
        </w:rPr>
        <w:footnoteReference w:id="5"/>
      </w:r>
    </w:p>
    <w:tbl>
      <w:tblPr>
        <w:tblStyle w:val="17"/>
        <w:tblW w:w="79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1315"/>
        <w:gridCol w:w="606"/>
        <w:gridCol w:w="606"/>
        <w:gridCol w:w="606"/>
        <w:gridCol w:w="606"/>
        <w:gridCol w:w="606"/>
        <w:gridCol w:w="606"/>
        <w:gridCol w:w="606"/>
        <w:gridCol w:w="606"/>
        <w:gridCol w:w="606"/>
        <w:gridCol w:w="606"/>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Times New Roman" w:hAnsi="Times New Roman" w:eastAsia="宋体" w:cs="Times New Roman"/>
                <w:kern w:val="0"/>
                <w:sz w:val="13"/>
                <w:szCs w:val="15"/>
              </w:rPr>
            </w:pP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2016</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2015</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2010</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仿宋" w:hAnsi="仿宋" w:eastAsia="仿宋" w:cs="宋体"/>
                <w:kern w:val="0"/>
                <w:sz w:val="13"/>
                <w:szCs w:val="15"/>
              </w:rPr>
            </w:pPr>
            <w:r>
              <w:rPr>
                <w:rFonts w:hint="eastAsia" w:ascii="仿宋" w:hAnsi="仿宋" w:eastAsia="仿宋" w:cs="宋体"/>
                <w:kern w:val="0"/>
                <w:sz w:val="13"/>
                <w:szCs w:val="15"/>
              </w:rPr>
              <w:t>陕西地区生产总值（亿元）</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25793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23941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21898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19399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18021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17689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16205</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14453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12512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10123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8169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仿宋" w:hAnsi="仿宋" w:eastAsia="仿宋" w:cs="宋体"/>
                <w:kern w:val="0"/>
                <w:sz w:val="13"/>
                <w:szCs w:val="15"/>
              </w:rPr>
            </w:pPr>
            <w:r>
              <w:rPr>
                <w:rFonts w:hint="eastAsia" w:ascii="仿宋" w:hAnsi="仿宋" w:eastAsia="仿宋" w:cs="宋体"/>
                <w:kern w:val="0"/>
                <w:sz w:val="13"/>
                <w:szCs w:val="15"/>
              </w:rPr>
              <w:t>陕西人均地区生产总值</w:t>
            </w:r>
            <w:r>
              <w:rPr>
                <w:rFonts w:ascii="仿宋" w:hAnsi="仿宋" w:eastAsia="仿宋" w:cs="Times New Roman"/>
                <w:kern w:val="0"/>
                <w:sz w:val="13"/>
              </w:rPr>
              <w:t>(</w:t>
            </w:r>
            <w:r>
              <w:rPr>
                <w:rFonts w:ascii="仿宋" w:hAnsi="仿宋" w:eastAsia="仿宋" w:cs="宋体"/>
                <w:kern w:val="0"/>
                <w:sz w:val="13"/>
              </w:rPr>
              <w:t>元</w:t>
            </w:r>
            <w:r>
              <w:rPr>
                <w:rFonts w:ascii="仿宋" w:hAnsi="仿宋" w:eastAsia="仿宋" w:cs="Times New Roman"/>
                <w:kern w:val="0"/>
                <w:sz w:val="13"/>
              </w:rPr>
              <w:t>/</w:t>
            </w:r>
            <w:r>
              <w:rPr>
                <w:rFonts w:ascii="仿宋" w:hAnsi="仿宋" w:eastAsia="仿宋" w:cs="宋体"/>
                <w:kern w:val="0"/>
                <w:sz w:val="13"/>
              </w:rPr>
              <w:t>人）</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66649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62195</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57266</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51015</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47626</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46929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43117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38564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33464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27133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21947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仿宋" w:hAnsi="仿宋" w:eastAsia="仿宋" w:cs="宋体"/>
                <w:kern w:val="0"/>
                <w:sz w:val="13"/>
                <w:szCs w:val="15"/>
              </w:rPr>
            </w:pPr>
            <w:r>
              <w:rPr>
                <w:rFonts w:hint="eastAsia" w:ascii="仿宋" w:hAnsi="仿宋" w:eastAsia="仿宋" w:cs="宋体"/>
                <w:kern w:val="0"/>
                <w:sz w:val="13"/>
                <w:szCs w:val="15"/>
              </w:rPr>
              <w:t>全国生产总值（亿元）</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988528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914327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831381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743408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686255</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644380</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588141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537329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483392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410354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347934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仿宋" w:hAnsi="仿宋" w:eastAsia="仿宋" w:cs="宋体"/>
                <w:kern w:val="0"/>
                <w:sz w:val="13"/>
                <w:szCs w:val="15"/>
              </w:rPr>
            </w:pPr>
            <w:r>
              <w:rPr>
                <w:rFonts w:hint="eastAsia" w:ascii="仿宋" w:hAnsi="仿宋" w:eastAsia="仿宋" w:cs="宋体"/>
                <w:kern w:val="0"/>
                <w:sz w:val="13"/>
                <w:szCs w:val="15"/>
              </w:rPr>
              <w:t>全国人均国内生产总值（元）</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70892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66006</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60014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54139</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50237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47173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43684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39874</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36302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30808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26180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3" w:hRule="atLeast"/>
        </w:trPr>
        <w:tc>
          <w:tcPr>
            <w:tcW w:w="1315" w:type="dxa"/>
            <w:vAlign w:val="center"/>
          </w:tcPr>
          <w:p>
            <w:pPr>
              <w:widowControl/>
              <w:spacing w:line="160" w:lineRule="exact"/>
              <w:jc w:val="center"/>
              <w:rPr>
                <w:rFonts w:ascii="仿宋" w:hAnsi="仿宋" w:eastAsia="仿宋" w:cs="宋体"/>
                <w:kern w:val="0"/>
                <w:sz w:val="13"/>
                <w:szCs w:val="15"/>
              </w:rPr>
            </w:pPr>
            <w:r>
              <w:rPr>
                <w:rFonts w:hint="eastAsia" w:ascii="仿宋" w:hAnsi="仿宋" w:eastAsia="仿宋" w:cs="宋体"/>
                <w:kern w:val="0"/>
                <w:sz w:val="13"/>
                <w:szCs w:val="15"/>
              </w:rPr>
              <w:t>陕西人均地区生产总值</w:t>
            </w:r>
            <w:r>
              <w:rPr>
                <w:rFonts w:ascii="仿宋" w:hAnsi="仿宋" w:eastAsia="仿宋" w:cs="Times New Roman"/>
                <w:kern w:val="0"/>
                <w:sz w:val="13"/>
              </w:rPr>
              <w:t>/</w:t>
            </w:r>
            <w:r>
              <w:rPr>
                <w:rFonts w:ascii="仿宋" w:hAnsi="仿宋" w:eastAsia="仿宋" w:cs="宋体"/>
                <w:kern w:val="0"/>
                <w:sz w:val="13"/>
              </w:rPr>
              <w:t>全国人均国内生产总值</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0.9401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0.9422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0.9542</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0.9423</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0.948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0.9948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0.987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0.9671</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0.9218</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0.8807</w:t>
            </w:r>
          </w:p>
        </w:tc>
        <w:tc>
          <w:tcPr>
            <w:tcW w:w="606" w:type="dxa"/>
            <w:vAlign w:val="center"/>
          </w:tcPr>
          <w:p>
            <w:pPr>
              <w:widowControl/>
              <w:spacing w:line="160" w:lineRule="exact"/>
              <w:jc w:val="center"/>
              <w:rPr>
                <w:rFonts w:ascii="Times New Roman" w:hAnsi="Times New Roman" w:eastAsia="宋体" w:cs="Times New Roman"/>
                <w:kern w:val="0"/>
                <w:sz w:val="13"/>
                <w:szCs w:val="15"/>
              </w:rPr>
            </w:pPr>
            <w:r>
              <w:rPr>
                <w:rFonts w:ascii="Times New Roman" w:hAnsi="Times New Roman" w:eastAsia="宋体" w:cs="Times New Roman"/>
                <w:kern w:val="0"/>
                <w:sz w:val="13"/>
                <w:szCs w:val="15"/>
              </w:rPr>
              <w:t>0.8383</w:t>
            </w:r>
          </w:p>
        </w:tc>
      </w:tr>
    </w:tbl>
    <w:p>
      <w:pPr>
        <w:pStyle w:val="2"/>
        <w:ind w:firstLine="482"/>
        <w:jc w:val="center"/>
        <w:rPr>
          <w:rFonts w:ascii="仿宋_GB2312" w:eastAsia="仿宋_GB2312" w:cstheme="minorBidi"/>
          <w:b/>
          <w:bCs/>
          <w:sz w:val="24"/>
        </w:rPr>
      </w:pPr>
    </w:p>
    <w:p>
      <w:pPr>
        <w:pStyle w:val="2"/>
        <w:spacing w:afterLines="50"/>
        <w:ind w:firstLine="440"/>
        <w:jc w:val="center"/>
        <w:rPr>
          <w:rFonts w:ascii="仿宋_GB2312" w:eastAsia="仿宋_GB2312" w:cstheme="minorBidi"/>
          <w:b/>
          <w:bCs/>
          <w:sz w:val="24"/>
        </w:rPr>
      </w:pPr>
      <w:r>
        <w:rPr>
          <w:sz w:val="22"/>
          <w:szCs w:val="22"/>
        </w:rPr>
        <w:drawing>
          <wp:inline distT="0" distB="0" distL="0" distR="0">
            <wp:extent cx="4856480" cy="1845945"/>
            <wp:effectExtent l="0" t="0" r="0" b="0"/>
            <wp:docPr id="71"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仿宋_GB2312" w:eastAsia="仿宋_GB2312" w:cstheme="minorBidi"/>
          <w:b/>
          <w:bCs/>
          <w:sz w:val="24"/>
        </w:rPr>
        <w:t>图</w:t>
      </w:r>
      <w:r>
        <w:rPr>
          <w:rFonts w:eastAsia="仿宋_GB2312"/>
          <w:b/>
          <w:bCs/>
          <w:sz w:val="24"/>
        </w:rPr>
        <w:t xml:space="preserve">2 </w:t>
      </w:r>
      <w:r>
        <w:rPr>
          <w:rFonts w:hint="eastAsia" w:ascii="仿宋_GB2312" w:eastAsia="仿宋_GB2312" w:cstheme="minorBidi"/>
          <w:b/>
          <w:bCs/>
          <w:sz w:val="24"/>
        </w:rPr>
        <w:t xml:space="preserve"> </w:t>
      </w:r>
      <w:r>
        <w:rPr>
          <w:rFonts w:eastAsia="仿宋_GB2312"/>
          <w:b/>
          <w:bCs/>
          <w:sz w:val="24"/>
        </w:rPr>
        <w:t>2009-2019</w:t>
      </w:r>
      <w:r>
        <w:rPr>
          <w:rFonts w:ascii="仿宋_GB2312" w:eastAsia="仿宋_GB2312" w:cstheme="minorBidi"/>
          <w:b/>
          <w:bCs/>
          <w:sz w:val="24"/>
        </w:rPr>
        <w:t>年全国生产总值与陕西地区生产总值（亿元）</w:t>
      </w:r>
    </w:p>
    <w:p>
      <w:pPr>
        <w:pStyle w:val="2"/>
        <w:spacing w:afterLines="50"/>
        <w:ind w:firstLine="440"/>
        <w:jc w:val="center"/>
        <w:rPr>
          <w:rFonts w:eastAsia="仿宋_GB2312"/>
          <w:b/>
          <w:bCs/>
          <w:sz w:val="24"/>
        </w:rPr>
      </w:pPr>
      <w:r>
        <w:rPr>
          <w:sz w:val="22"/>
          <w:szCs w:val="22"/>
        </w:rPr>
        <w:drawing>
          <wp:inline distT="0" distB="0" distL="0" distR="0">
            <wp:extent cx="5144135" cy="1987550"/>
            <wp:effectExtent l="0" t="0" r="0" b="0"/>
            <wp:docPr id="72"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eastAsia="仿宋_GB2312"/>
          <w:b/>
          <w:bCs/>
          <w:sz w:val="24"/>
        </w:rPr>
        <w:t>图</w:t>
      </w:r>
      <w:r>
        <w:rPr>
          <w:rFonts w:hint="eastAsia" w:eastAsia="仿宋_GB2312"/>
          <w:b/>
          <w:bCs/>
          <w:sz w:val="24"/>
        </w:rPr>
        <w:t xml:space="preserve">3  </w:t>
      </w:r>
      <w:r>
        <w:rPr>
          <w:rFonts w:eastAsia="仿宋_GB2312"/>
          <w:b/>
          <w:bCs/>
          <w:sz w:val="24"/>
        </w:rPr>
        <w:t>2009</w:t>
      </w:r>
      <w:r>
        <w:rPr>
          <w:rFonts w:hint="eastAsia" w:eastAsia="仿宋_GB2312"/>
          <w:b/>
          <w:bCs/>
          <w:sz w:val="24"/>
        </w:rPr>
        <w:t>-</w:t>
      </w:r>
      <w:r>
        <w:rPr>
          <w:rFonts w:eastAsia="仿宋_GB2312"/>
          <w:b/>
          <w:bCs/>
          <w:sz w:val="24"/>
        </w:rPr>
        <w:t>2019年全国人均国内生产总值与陕西人均地区生产总值（亿元）</w:t>
      </w:r>
    </w:p>
    <w:p>
      <w:pPr>
        <w:pStyle w:val="2"/>
        <w:spacing w:afterLines="50"/>
        <w:ind w:firstLine="440"/>
        <w:jc w:val="center"/>
        <w:rPr>
          <w:rFonts w:eastAsia="仿宋_GB2312"/>
          <w:b/>
          <w:bCs/>
          <w:sz w:val="24"/>
        </w:rPr>
      </w:pPr>
      <w:r>
        <w:rPr>
          <w:sz w:val="22"/>
          <w:szCs w:val="22"/>
        </w:rPr>
        <w:drawing>
          <wp:inline distT="0" distB="0" distL="0" distR="0">
            <wp:extent cx="4937760" cy="1550035"/>
            <wp:effectExtent l="0" t="0" r="0" b="0"/>
            <wp:docPr id="73"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eastAsia="仿宋_GB2312"/>
          <w:b/>
          <w:bCs/>
          <w:sz w:val="24"/>
        </w:rPr>
        <w:t>图</w:t>
      </w:r>
      <w:r>
        <w:rPr>
          <w:rFonts w:hint="eastAsia" w:eastAsia="仿宋_GB2312"/>
          <w:b/>
          <w:bCs/>
          <w:sz w:val="24"/>
        </w:rPr>
        <w:t xml:space="preserve">4  </w:t>
      </w:r>
      <w:r>
        <w:rPr>
          <w:rFonts w:eastAsia="仿宋_GB2312"/>
          <w:b/>
          <w:bCs/>
          <w:sz w:val="24"/>
        </w:rPr>
        <w:t>2009</w:t>
      </w:r>
      <w:r>
        <w:rPr>
          <w:rFonts w:hint="eastAsia" w:eastAsia="仿宋_GB2312"/>
          <w:b/>
          <w:bCs/>
          <w:sz w:val="24"/>
        </w:rPr>
        <w:t>-</w:t>
      </w:r>
      <w:r>
        <w:rPr>
          <w:rFonts w:eastAsia="仿宋_GB2312"/>
          <w:b/>
          <w:bCs/>
          <w:sz w:val="24"/>
        </w:rPr>
        <w:t>2019年陕西人均地区生产总值/全国人均国内生产总值</w:t>
      </w:r>
    </w:p>
    <w:p>
      <w:pPr>
        <w:adjustRightInd w:val="0"/>
        <w:snapToGrid w:val="0"/>
        <w:spacing w:line="580" w:lineRule="exact"/>
        <w:ind w:firstLine="482"/>
        <w:jc w:val="center"/>
        <w:rPr>
          <w:rFonts w:ascii="宋体" w:hAnsi="宋体" w:eastAsia="宋体" w:cs="宋体"/>
          <w:b/>
          <w:bCs/>
          <w:sz w:val="22"/>
        </w:rPr>
      </w:pPr>
      <w:r>
        <w:rPr>
          <w:rFonts w:hint="eastAsia" w:ascii="仿宋_GB2312" w:hAnsi="Times New Roman" w:eastAsia="仿宋_GB2312"/>
          <w:b/>
          <w:bCs/>
          <w:sz w:val="24"/>
        </w:rPr>
        <w:t>表</w:t>
      </w:r>
      <w:r>
        <w:rPr>
          <w:rFonts w:ascii="Times New Roman" w:hAnsi="Times New Roman" w:eastAsia="仿宋_GB2312" w:cs="Times New Roman"/>
          <w:b/>
          <w:bCs/>
          <w:sz w:val="24"/>
        </w:rPr>
        <w:t>5</w:t>
      </w:r>
      <w:r>
        <w:rPr>
          <w:rFonts w:hint="eastAsia" w:ascii="Times New Roman" w:hAnsi="Times New Roman" w:eastAsia="仿宋_GB2312" w:cs="Times New Roman"/>
          <w:b/>
          <w:bCs/>
          <w:sz w:val="24"/>
        </w:rPr>
        <w:t xml:space="preserve">  </w:t>
      </w:r>
      <w:r>
        <w:rPr>
          <w:rFonts w:hint="eastAsia" w:ascii="仿宋_GB2312" w:hAnsi="Times New Roman" w:eastAsia="仿宋_GB2312"/>
          <w:b/>
          <w:bCs/>
          <w:sz w:val="24"/>
        </w:rPr>
        <w:t>全国及陕西民用汽车保有情况</w:t>
      </w:r>
      <w:r>
        <w:rPr>
          <w:rStyle w:val="24"/>
          <w:rFonts w:ascii="宋体" w:hAnsi="宋体" w:eastAsia="宋体" w:cs="宋体"/>
          <w:b/>
          <w:bCs/>
          <w:sz w:val="22"/>
        </w:rPr>
        <w:footnoteReference w:id="6"/>
      </w:r>
    </w:p>
    <w:tbl>
      <w:tblPr>
        <w:tblStyle w:val="17"/>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17"/>
        <w:gridCol w:w="452"/>
        <w:gridCol w:w="517"/>
        <w:gridCol w:w="517"/>
        <w:gridCol w:w="516"/>
        <w:gridCol w:w="516"/>
        <w:gridCol w:w="516"/>
        <w:gridCol w:w="516"/>
        <w:gridCol w:w="516"/>
        <w:gridCol w:w="451"/>
        <w:gridCol w:w="451"/>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2019</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2018</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2017</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2016</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2015</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2014</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2013</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2012</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2011</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2010</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r>
              <w:rPr>
                <w:rFonts w:hint="eastAsia" w:ascii="仿宋" w:hAnsi="仿宋" w:eastAsia="仿宋"/>
                <w:sz w:val="15"/>
                <w:szCs w:val="15"/>
              </w:rPr>
              <w:t>陕西民用汽车拥有量</w:t>
            </w:r>
            <w:r>
              <w:rPr>
                <w:rFonts w:ascii="仿宋" w:hAnsi="仿宋" w:eastAsia="仿宋"/>
                <w:sz w:val="15"/>
                <w:szCs w:val="15"/>
              </w:rPr>
              <w:t>(</w:t>
            </w:r>
            <w:r>
              <w:rPr>
                <w:rFonts w:hint="eastAsia" w:ascii="仿宋" w:hAnsi="仿宋" w:eastAsia="仿宋"/>
                <w:sz w:val="15"/>
                <w:szCs w:val="15"/>
              </w:rPr>
              <w:t>万辆</w:t>
            </w:r>
            <w:r>
              <w:rPr>
                <w:rFonts w:ascii="仿宋" w:hAnsi="仿宋" w:eastAsia="仿宋"/>
                <w:sz w:val="15"/>
                <w:szCs w:val="15"/>
              </w:rPr>
              <w:t>)</w:t>
            </w: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682</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616</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549</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491</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438</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384</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336</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284</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236</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190</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r>
              <w:rPr>
                <w:rFonts w:hint="eastAsia" w:ascii="仿宋" w:hAnsi="仿宋" w:eastAsia="仿宋"/>
                <w:sz w:val="15"/>
                <w:szCs w:val="15"/>
              </w:rPr>
              <w:t>陕西人均民用汽车拥有量</w:t>
            </w:r>
            <w:r>
              <w:rPr>
                <w:rFonts w:ascii="仿宋" w:hAnsi="仿宋" w:eastAsia="仿宋"/>
                <w:sz w:val="15"/>
                <w:szCs w:val="15"/>
              </w:rPr>
              <w:t>(</w:t>
            </w:r>
            <w:r>
              <w:rPr>
                <w:rFonts w:hint="eastAsia" w:ascii="仿宋" w:hAnsi="仿宋" w:eastAsia="仿宋"/>
                <w:sz w:val="15"/>
                <w:szCs w:val="15"/>
              </w:rPr>
              <w:t>辆</w:t>
            </w:r>
            <w:r>
              <w:rPr>
                <w:rFonts w:ascii="仿宋" w:hAnsi="仿宋" w:eastAsia="仿宋"/>
                <w:sz w:val="15"/>
                <w:szCs w:val="15"/>
              </w:rPr>
              <w:t>)</w:t>
            </w: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0.1759</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0.1596</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0.1433</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0.1288</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0.1155</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0.1019</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0.0893</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0.0758</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0.0632</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0.0510</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r>
              <w:rPr>
                <w:rFonts w:hint="eastAsia" w:ascii="仿宋" w:hAnsi="仿宋" w:eastAsia="仿宋"/>
                <w:sz w:val="15"/>
                <w:szCs w:val="15"/>
              </w:rPr>
              <w:t>全国民用汽车拥有量</w:t>
            </w:r>
            <w:r>
              <w:rPr>
                <w:rFonts w:ascii="仿宋" w:hAnsi="仿宋" w:eastAsia="仿宋"/>
                <w:sz w:val="15"/>
                <w:szCs w:val="15"/>
              </w:rPr>
              <w:t>(</w:t>
            </w:r>
            <w:r>
              <w:rPr>
                <w:rFonts w:hint="eastAsia" w:ascii="仿宋" w:hAnsi="仿宋" w:eastAsia="仿宋"/>
                <w:sz w:val="15"/>
                <w:szCs w:val="15"/>
              </w:rPr>
              <w:t>万辆</w:t>
            </w:r>
            <w:r>
              <w:rPr>
                <w:rFonts w:ascii="仿宋" w:hAnsi="仿宋" w:eastAsia="仿宋"/>
                <w:sz w:val="15"/>
                <w:szCs w:val="15"/>
              </w:rPr>
              <w:t>)</w:t>
            </w: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25387</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23231</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20906</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18574</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16284</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14598</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12670</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10933</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9356</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7801</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r>
              <w:rPr>
                <w:rFonts w:hint="eastAsia" w:ascii="仿宋" w:hAnsi="仿宋" w:eastAsia="仿宋"/>
                <w:sz w:val="15"/>
                <w:szCs w:val="15"/>
              </w:rPr>
              <w:t>全国人均民用汽车拥有量</w:t>
            </w:r>
            <w:r>
              <w:rPr>
                <w:rFonts w:ascii="仿宋" w:hAnsi="仿宋" w:eastAsia="仿宋"/>
                <w:sz w:val="15"/>
                <w:szCs w:val="15"/>
              </w:rPr>
              <w:t>(</w:t>
            </w:r>
            <w:r>
              <w:rPr>
                <w:rFonts w:hint="eastAsia" w:ascii="仿宋" w:hAnsi="仿宋" w:eastAsia="仿宋"/>
                <w:sz w:val="15"/>
                <w:szCs w:val="15"/>
              </w:rPr>
              <w:t>辆</w:t>
            </w:r>
            <w:r>
              <w:rPr>
                <w:rFonts w:ascii="仿宋" w:hAnsi="仿宋" w:eastAsia="仿宋"/>
                <w:sz w:val="15"/>
                <w:szCs w:val="15"/>
              </w:rPr>
              <w:t>)</w:t>
            </w: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0.1813</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0.1665</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0.1504</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0.1343</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0.1185</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0.1067</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0.0931</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0.0807</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0.0694</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0.0582</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17" w:type="dxa"/>
            <w:tcBorders>
              <w:tl2br w:val="nil"/>
              <w:tr2bl w:val="nil"/>
            </w:tcBorders>
            <w:shd w:val="clear" w:color="auto" w:fill="auto"/>
            <w:tcMar>
              <w:top w:w="15" w:type="dxa"/>
              <w:left w:w="15" w:type="dxa"/>
              <w:right w:w="15" w:type="dxa"/>
            </w:tcMar>
            <w:vAlign w:val="center"/>
          </w:tcPr>
          <w:p>
            <w:pPr>
              <w:pStyle w:val="27"/>
              <w:spacing w:line="160" w:lineRule="exact"/>
              <w:jc w:val="center"/>
              <w:rPr>
                <w:rFonts w:ascii="仿宋" w:hAnsi="仿宋" w:eastAsia="仿宋"/>
                <w:sz w:val="15"/>
                <w:szCs w:val="15"/>
              </w:rPr>
            </w:pPr>
            <w:r>
              <w:rPr>
                <w:rFonts w:hint="eastAsia" w:ascii="仿宋" w:hAnsi="仿宋" w:eastAsia="仿宋"/>
                <w:sz w:val="15"/>
                <w:szCs w:val="15"/>
              </w:rPr>
              <w:t>陕西人均民用汽车拥有量</w:t>
            </w:r>
            <w:r>
              <w:rPr>
                <w:rFonts w:ascii="仿宋" w:hAnsi="仿宋" w:eastAsia="仿宋"/>
                <w:sz w:val="15"/>
                <w:szCs w:val="15"/>
              </w:rPr>
              <w:t>/</w:t>
            </w:r>
            <w:r>
              <w:rPr>
                <w:rFonts w:hint="eastAsia" w:ascii="仿宋" w:hAnsi="仿宋" w:eastAsia="仿宋"/>
                <w:sz w:val="15"/>
                <w:szCs w:val="15"/>
              </w:rPr>
              <w:t>全国人均民用汽车拥有量</w:t>
            </w:r>
          </w:p>
        </w:tc>
        <w:tc>
          <w:tcPr>
            <w:tcW w:w="452"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0.9700</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0.9588</w:t>
            </w:r>
          </w:p>
        </w:tc>
        <w:tc>
          <w:tcPr>
            <w:tcW w:w="517"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0.9527</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0.9590</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0.9750</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0.9553</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0.9589</w:t>
            </w:r>
          </w:p>
        </w:tc>
        <w:tc>
          <w:tcPr>
            <w:tcW w:w="516"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0.9393</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0.9096</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0.8772</w:t>
            </w:r>
          </w:p>
        </w:tc>
        <w:tc>
          <w:tcPr>
            <w:tcW w:w="451" w:type="dxa"/>
            <w:tcBorders>
              <w:tl2br w:val="nil"/>
              <w:tr2bl w:val="nil"/>
            </w:tcBorders>
            <w:shd w:val="clear" w:color="auto" w:fill="auto"/>
            <w:tcMar>
              <w:top w:w="15" w:type="dxa"/>
              <w:left w:w="15" w:type="dxa"/>
              <w:right w:w="15" w:type="dxa"/>
            </w:tcMar>
            <w:vAlign w:val="center"/>
          </w:tcPr>
          <w:p>
            <w:pPr>
              <w:pStyle w:val="27"/>
              <w:spacing w:line="160" w:lineRule="exact"/>
              <w:jc w:val="center"/>
              <w:rPr>
                <w:sz w:val="15"/>
                <w:szCs w:val="15"/>
              </w:rPr>
            </w:pPr>
            <w:r>
              <w:rPr>
                <w:rFonts w:hint="eastAsia"/>
                <w:sz w:val="15"/>
                <w:szCs w:val="15"/>
              </w:rPr>
              <w:t>0.8339</w:t>
            </w:r>
          </w:p>
        </w:tc>
      </w:tr>
    </w:tbl>
    <w:p>
      <w:pPr>
        <w:pStyle w:val="2"/>
      </w:pPr>
    </w:p>
    <w:p>
      <w:pPr>
        <w:pStyle w:val="2"/>
        <w:spacing w:afterLines="50"/>
        <w:jc w:val="center"/>
        <w:rPr>
          <w:rFonts w:eastAsia="仿宋_GB2312"/>
          <w:b/>
          <w:bCs/>
          <w:sz w:val="24"/>
        </w:rPr>
      </w:pPr>
      <w:r>
        <w:drawing>
          <wp:inline distT="0" distB="0" distL="0" distR="0">
            <wp:extent cx="5064760" cy="1836420"/>
            <wp:effectExtent l="0" t="0" r="0" b="0"/>
            <wp:docPr id="65"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eastAsia="仿宋_GB2312"/>
          <w:b/>
          <w:bCs/>
          <w:sz w:val="24"/>
        </w:rPr>
        <w:t>图</w:t>
      </w:r>
      <w:r>
        <w:rPr>
          <w:rFonts w:hint="eastAsia" w:eastAsia="仿宋_GB2312"/>
          <w:b/>
          <w:bCs/>
          <w:sz w:val="24"/>
        </w:rPr>
        <w:t xml:space="preserve">5  </w:t>
      </w:r>
      <w:r>
        <w:rPr>
          <w:rFonts w:eastAsia="仿宋_GB2312"/>
          <w:b/>
          <w:bCs/>
          <w:sz w:val="24"/>
        </w:rPr>
        <w:t>2009</w:t>
      </w:r>
      <w:r>
        <w:rPr>
          <w:rFonts w:hint="eastAsia" w:eastAsia="仿宋_GB2312"/>
          <w:b/>
          <w:bCs/>
          <w:sz w:val="24"/>
        </w:rPr>
        <w:t>-</w:t>
      </w:r>
      <w:r>
        <w:rPr>
          <w:rFonts w:eastAsia="仿宋_GB2312"/>
          <w:b/>
          <w:bCs/>
          <w:sz w:val="24"/>
        </w:rPr>
        <w:t>2019年陕西与全国民用汽车拥有量</w:t>
      </w:r>
    </w:p>
    <w:p>
      <w:pPr>
        <w:pStyle w:val="2"/>
        <w:ind w:firstLine="440"/>
        <w:jc w:val="center"/>
        <w:rPr>
          <w:sz w:val="22"/>
          <w:szCs w:val="22"/>
        </w:rPr>
      </w:pPr>
      <w:r>
        <w:rPr>
          <w:sz w:val="22"/>
          <w:szCs w:val="22"/>
        </w:rPr>
        <w:drawing>
          <wp:inline distT="0" distB="0" distL="0" distR="0">
            <wp:extent cx="5048885" cy="2360930"/>
            <wp:effectExtent l="0" t="0" r="0" b="0"/>
            <wp:docPr id="66"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spacing w:afterLines="50" w:line="580" w:lineRule="exact"/>
        <w:ind w:firstLine="482"/>
        <w:jc w:val="center"/>
        <w:rPr>
          <w:rFonts w:eastAsia="仿宋_GB2312"/>
          <w:b/>
          <w:bCs/>
          <w:sz w:val="24"/>
        </w:rPr>
      </w:pPr>
      <w:r>
        <w:rPr>
          <w:rFonts w:eastAsia="仿宋_GB2312"/>
          <w:b/>
          <w:bCs/>
          <w:sz w:val="24"/>
        </w:rPr>
        <w:t>图</w:t>
      </w:r>
      <w:r>
        <w:rPr>
          <w:rFonts w:hint="eastAsia" w:eastAsia="仿宋_GB2312"/>
          <w:b/>
          <w:bCs/>
          <w:sz w:val="24"/>
        </w:rPr>
        <w:t xml:space="preserve">6  </w:t>
      </w:r>
      <w:r>
        <w:rPr>
          <w:rFonts w:eastAsia="仿宋_GB2312"/>
          <w:b/>
          <w:bCs/>
          <w:sz w:val="24"/>
        </w:rPr>
        <w:t>2009</w:t>
      </w:r>
      <w:r>
        <w:rPr>
          <w:rFonts w:hint="eastAsia" w:eastAsia="仿宋_GB2312"/>
          <w:b/>
          <w:bCs/>
          <w:sz w:val="24"/>
        </w:rPr>
        <w:t>-</w:t>
      </w:r>
      <w:r>
        <w:rPr>
          <w:rFonts w:eastAsia="仿宋_GB2312"/>
          <w:b/>
          <w:bCs/>
          <w:sz w:val="24"/>
        </w:rPr>
        <w:t>2019年陕西与全国人均民用汽车拥有量</w:t>
      </w:r>
    </w:p>
    <w:p>
      <w:pPr>
        <w:pStyle w:val="2"/>
        <w:ind w:firstLine="440"/>
        <w:jc w:val="center"/>
        <w:rPr>
          <w:sz w:val="22"/>
          <w:szCs w:val="22"/>
        </w:rPr>
      </w:pPr>
      <w:r>
        <w:rPr>
          <w:sz w:val="22"/>
          <w:szCs w:val="22"/>
        </w:rPr>
        <w:drawing>
          <wp:inline distT="0" distB="0" distL="0" distR="0">
            <wp:extent cx="4961255" cy="1327785"/>
            <wp:effectExtent l="0" t="0" r="0" b="0"/>
            <wp:docPr id="67"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afterLines="50"/>
        <w:ind w:firstLine="482"/>
        <w:jc w:val="center"/>
        <w:rPr>
          <w:rFonts w:eastAsia="仿宋_GB2312"/>
          <w:b/>
          <w:bCs/>
          <w:sz w:val="24"/>
        </w:rPr>
      </w:pPr>
      <w:r>
        <w:rPr>
          <w:rFonts w:eastAsia="仿宋_GB2312"/>
          <w:b/>
          <w:bCs/>
          <w:sz w:val="24"/>
        </w:rPr>
        <w:t>图</w:t>
      </w:r>
      <w:r>
        <w:rPr>
          <w:rFonts w:hint="eastAsia" w:eastAsia="仿宋_GB2312"/>
          <w:b/>
          <w:bCs/>
          <w:sz w:val="24"/>
        </w:rPr>
        <w:t xml:space="preserve">7  </w:t>
      </w:r>
      <w:r>
        <w:rPr>
          <w:rFonts w:eastAsia="仿宋_GB2312"/>
          <w:b/>
          <w:bCs/>
          <w:sz w:val="24"/>
        </w:rPr>
        <w:t>2009</w:t>
      </w:r>
      <w:r>
        <w:rPr>
          <w:rFonts w:hint="eastAsia" w:eastAsia="仿宋_GB2312"/>
          <w:b/>
          <w:bCs/>
          <w:sz w:val="24"/>
        </w:rPr>
        <w:t>-</w:t>
      </w:r>
      <w:r>
        <w:rPr>
          <w:rFonts w:eastAsia="仿宋_GB2312"/>
          <w:b/>
          <w:bCs/>
          <w:sz w:val="24"/>
        </w:rPr>
        <w:t>2019年陕西人均民用汽车拥有量/全国人均民用汽车拥有量</w:t>
      </w:r>
    </w:p>
    <w:p>
      <w:pPr>
        <w:adjustRightInd w:val="0"/>
        <w:snapToGrid w:val="0"/>
        <w:spacing w:line="5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表</w:t>
      </w:r>
      <w:r>
        <w:rPr>
          <w:rFonts w:hint="eastAsia" w:ascii="Times New Roman" w:hAnsi="Times New Roman" w:eastAsia="仿宋_GB2312" w:cs="Times New Roman"/>
          <w:b/>
          <w:bCs/>
          <w:sz w:val="24"/>
        </w:rPr>
        <w:t xml:space="preserve">6  </w:t>
      </w:r>
      <w:r>
        <w:rPr>
          <w:rFonts w:ascii="Times New Roman" w:hAnsi="Times New Roman" w:eastAsia="仿宋_GB2312" w:cs="Times New Roman"/>
          <w:b/>
          <w:bCs/>
          <w:sz w:val="24"/>
        </w:rPr>
        <w:t>全</w:t>
      </w:r>
      <w:r>
        <w:rPr>
          <w:rFonts w:hint="eastAsia" w:ascii="Times New Roman" w:hAnsi="Times New Roman" w:eastAsia="仿宋_GB2312" w:cs="Times New Roman"/>
          <w:b/>
          <w:bCs/>
          <w:sz w:val="24"/>
        </w:rPr>
        <w:t>国汽车</w:t>
      </w:r>
      <w:r>
        <w:rPr>
          <w:rFonts w:ascii="Times New Roman" w:hAnsi="Times New Roman" w:eastAsia="仿宋_GB2312" w:cs="Times New Roman"/>
          <w:b/>
          <w:bCs/>
          <w:sz w:val="24"/>
        </w:rPr>
        <w:t>2009-2020</w:t>
      </w:r>
      <w:r>
        <w:rPr>
          <w:rFonts w:hint="eastAsia" w:ascii="Times New Roman" w:hAnsi="Times New Roman" w:eastAsia="仿宋_GB2312" w:cs="Times New Roman"/>
          <w:b/>
          <w:bCs/>
          <w:sz w:val="24"/>
        </w:rPr>
        <w:t>年销量情况</w:t>
      </w:r>
    </w:p>
    <w:tbl>
      <w:tblPr>
        <w:tblStyle w:val="17"/>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5"/>
        <w:gridCol w:w="695"/>
        <w:gridCol w:w="542"/>
        <w:gridCol w:w="542"/>
        <w:gridCol w:w="530"/>
        <w:gridCol w:w="530"/>
        <w:gridCol w:w="530"/>
        <w:gridCol w:w="530"/>
        <w:gridCol w:w="530"/>
        <w:gridCol w:w="530"/>
        <w:gridCol w:w="530"/>
        <w:gridCol w:w="53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95"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5"/>
                <w:szCs w:val="15"/>
              </w:rPr>
            </w:pPr>
          </w:p>
        </w:tc>
        <w:tc>
          <w:tcPr>
            <w:tcW w:w="695"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5"/>
                <w:szCs w:val="15"/>
              </w:rPr>
            </w:pPr>
            <w:r>
              <w:rPr>
                <w:rFonts w:ascii="仿宋" w:hAnsi="仿宋" w:eastAsia="仿宋"/>
                <w:sz w:val="15"/>
                <w:szCs w:val="15"/>
              </w:rPr>
              <w:t>2020</w:t>
            </w:r>
            <w:r>
              <w:rPr>
                <w:rFonts w:hint="eastAsia" w:ascii="仿宋" w:hAnsi="仿宋" w:eastAsia="仿宋"/>
                <w:sz w:val="15"/>
                <w:szCs w:val="15"/>
              </w:rPr>
              <w:t>年</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2019</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2018</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2017</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2016</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2015</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2014</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2013</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2012</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2011</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2010</w:t>
            </w:r>
          </w:p>
        </w:tc>
        <w:tc>
          <w:tcPr>
            <w:tcW w:w="52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95"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5"/>
                <w:szCs w:val="15"/>
              </w:rPr>
            </w:pPr>
            <w:r>
              <w:rPr>
                <w:rFonts w:hint="eastAsia" w:ascii="仿宋" w:hAnsi="仿宋" w:eastAsia="仿宋"/>
                <w:sz w:val="15"/>
                <w:szCs w:val="15"/>
              </w:rPr>
              <w:t>全国汽车销量（万辆）</w:t>
            </w:r>
          </w:p>
        </w:tc>
        <w:tc>
          <w:tcPr>
            <w:tcW w:w="695"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2531</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2576.9</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2808.</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2887</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2802</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2459</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2349</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2198</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1930</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1850</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1806</w:t>
            </w:r>
          </w:p>
        </w:tc>
        <w:tc>
          <w:tcPr>
            <w:tcW w:w="52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95"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5"/>
                <w:szCs w:val="15"/>
              </w:rPr>
            </w:pPr>
            <w:r>
              <w:rPr>
                <w:rFonts w:hint="eastAsia" w:ascii="仿宋" w:hAnsi="仿宋" w:eastAsia="仿宋"/>
                <w:sz w:val="15"/>
                <w:szCs w:val="15"/>
              </w:rPr>
              <w:t>全国汽车销量增长率（</w:t>
            </w:r>
            <w:r>
              <w:rPr>
                <w:rFonts w:ascii="仿宋" w:hAnsi="仿宋" w:eastAsia="仿宋"/>
                <w:sz w:val="15"/>
                <w:szCs w:val="15"/>
              </w:rPr>
              <w:t>%</w:t>
            </w:r>
            <w:r>
              <w:rPr>
                <w:rFonts w:hint="eastAsia" w:ascii="仿宋" w:hAnsi="仿宋" w:eastAsia="仿宋"/>
                <w:sz w:val="15"/>
                <w:szCs w:val="15"/>
              </w:rPr>
              <w:t>）</w:t>
            </w:r>
          </w:p>
        </w:tc>
        <w:tc>
          <w:tcPr>
            <w:tcW w:w="695"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sz w:val="15"/>
                <w:szCs w:val="15"/>
              </w:rPr>
              <w:t>-</w:t>
            </w:r>
            <w:r>
              <w:rPr>
                <w:rFonts w:hint="eastAsia"/>
                <w:sz w:val="15"/>
                <w:szCs w:val="15"/>
              </w:rPr>
              <w:t>1.9</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-8.2</w:t>
            </w:r>
          </w:p>
        </w:tc>
        <w:tc>
          <w:tcPr>
            <w:tcW w:w="54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-2.7</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3.0</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13.9</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4.7</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6.8</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13.8</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4.3</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2.4</w:t>
            </w:r>
          </w:p>
        </w:tc>
        <w:tc>
          <w:tcPr>
            <w:tcW w:w="53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32.3</w:t>
            </w:r>
          </w:p>
        </w:tc>
        <w:tc>
          <w:tcPr>
            <w:tcW w:w="522"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5"/>
                <w:szCs w:val="15"/>
              </w:rPr>
            </w:pPr>
            <w:r>
              <w:rPr>
                <w:rFonts w:hint="eastAsia"/>
                <w:sz w:val="15"/>
                <w:szCs w:val="15"/>
              </w:rPr>
              <w:t>45.4</w:t>
            </w:r>
          </w:p>
        </w:tc>
      </w:tr>
    </w:tbl>
    <w:p>
      <w:pPr>
        <w:pStyle w:val="2"/>
      </w:pPr>
    </w:p>
    <w:p>
      <w:r>
        <w:drawing>
          <wp:inline distT="0" distB="0" distL="0" distR="0">
            <wp:extent cx="5024755" cy="2146300"/>
            <wp:effectExtent l="0" t="0" r="0" b="0"/>
            <wp:docPr id="78"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djustRightInd w:val="0"/>
        <w:snapToGrid w:val="0"/>
        <w:spacing w:afterLines="50" w:line="5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图</w:t>
      </w:r>
      <w:r>
        <w:rPr>
          <w:rFonts w:hint="eastAsia" w:ascii="Times New Roman" w:hAnsi="Times New Roman" w:eastAsia="仿宋_GB2312" w:cs="Times New Roman"/>
          <w:b/>
          <w:bCs/>
          <w:sz w:val="24"/>
        </w:rPr>
        <w:t xml:space="preserve">8  </w:t>
      </w:r>
      <w:r>
        <w:rPr>
          <w:rFonts w:ascii="Times New Roman" w:hAnsi="Times New Roman" w:eastAsia="仿宋_GB2312" w:cs="Times New Roman"/>
          <w:b/>
          <w:bCs/>
          <w:sz w:val="24"/>
        </w:rPr>
        <w:t>2009</w:t>
      </w:r>
      <w:r>
        <w:rPr>
          <w:rFonts w:hint="eastAsia" w:ascii="Times New Roman" w:hAnsi="Times New Roman" w:eastAsia="仿宋_GB2312" w:cs="Times New Roman"/>
          <w:b/>
          <w:bCs/>
          <w:sz w:val="24"/>
        </w:rPr>
        <w:t>-</w:t>
      </w:r>
      <w:r>
        <w:rPr>
          <w:rFonts w:ascii="Times New Roman" w:hAnsi="Times New Roman" w:eastAsia="仿宋_GB2312" w:cs="Times New Roman"/>
          <w:b/>
          <w:bCs/>
          <w:sz w:val="24"/>
        </w:rPr>
        <w:t>2020年全国汽车销量（万辆）</w:t>
      </w:r>
    </w:p>
    <w:p>
      <w:pPr>
        <w:pStyle w:val="2"/>
      </w:pPr>
      <w:r>
        <w:drawing>
          <wp:inline distT="0" distB="0" distL="0" distR="0">
            <wp:extent cx="4523740" cy="2059305"/>
            <wp:effectExtent l="0" t="0" r="0" b="0"/>
            <wp:docPr id="79"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djustRightInd w:val="0"/>
        <w:snapToGrid w:val="0"/>
        <w:spacing w:afterLines="50" w:line="5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图</w:t>
      </w:r>
      <w:r>
        <w:rPr>
          <w:rFonts w:hint="eastAsia" w:ascii="Times New Roman" w:hAnsi="Times New Roman" w:eastAsia="仿宋_GB2312" w:cs="Times New Roman"/>
          <w:b/>
          <w:bCs/>
          <w:sz w:val="24"/>
        </w:rPr>
        <w:t xml:space="preserve">9  </w:t>
      </w:r>
      <w:r>
        <w:rPr>
          <w:rFonts w:ascii="Times New Roman" w:hAnsi="Times New Roman" w:eastAsia="仿宋_GB2312" w:cs="Times New Roman"/>
          <w:b/>
          <w:bCs/>
          <w:sz w:val="24"/>
        </w:rPr>
        <w:t>2009</w:t>
      </w:r>
      <w:r>
        <w:rPr>
          <w:rFonts w:hint="eastAsia" w:ascii="Times New Roman" w:hAnsi="Times New Roman" w:eastAsia="仿宋_GB2312" w:cs="Times New Roman"/>
          <w:b/>
          <w:bCs/>
          <w:sz w:val="24"/>
        </w:rPr>
        <w:t>-</w:t>
      </w:r>
      <w:r>
        <w:rPr>
          <w:rFonts w:ascii="Times New Roman" w:hAnsi="Times New Roman" w:eastAsia="仿宋_GB2312" w:cs="Times New Roman"/>
          <w:b/>
          <w:bCs/>
          <w:sz w:val="24"/>
        </w:rPr>
        <w:t>2020年全国汽车销量增长率（%）</w:t>
      </w:r>
    </w:p>
    <w:p>
      <w:pPr>
        <w:pStyle w:val="2"/>
        <w:spacing w:line="580" w:lineRule="exact"/>
        <w:ind w:firstLine="640"/>
        <w:rPr>
          <w:rFonts w:eastAsia="仿宋_GB2312"/>
          <w:sz w:val="32"/>
          <w:szCs w:val="32"/>
        </w:rPr>
      </w:pPr>
      <w:r>
        <w:rPr>
          <w:rFonts w:hint="eastAsia" w:eastAsia="仿宋_GB2312"/>
          <w:sz w:val="32"/>
          <w:szCs w:val="32"/>
        </w:rPr>
        <w:t>国内汽车销量在2017年达到顶峰，近几年处于缓慢下降阶段，在疫情的负面影响下2020年汽车销量为2531万辆，与2019年相比降幅缩减到1.9%，显示了较强的汽车消费活力。根据权威机构分析预测，国内汽车消费仍然有一定发展潜力，“十四五”期间汽车销量增长率预计将保持1.5%-2%区间，将2021-2025年汽车销量增长率设定为1.5%、1.5%、1.5%、2%、2%。</w:t>
      </w:r>
    </w:p>
    <w:p>
      <w:pPr>
        <w:adjustRightInd w:val="0"/>
        <w:snapToGrid w:val="0"/>
        <w:spacing w:beforeLines="50" w:line="580" w:lineRule="exact"/>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表</w:t>
      </w:r>
      <w:r>
        <w:rPr>
          <w:rFonts w:ascii="Times New Roman" w:hAnsi="Times New Roman" w:eastAsia="仿宋_GB2312" w:cs="Times New Roman"/>
          <w:b/>
          <w:bCs/>
          <w:sz w:val="24"/>
        </w:rPr>
        <w:t>7</w:t>
      </w:r>
      <w:r>
        <w:rPr>
          <w:rFonts w:hint="eastAsia" w:ascii="Times New Roman" w:hAnsi="Times New Roman" w:eastAsia="仿宋_GB2312" w:cs="Times New Roman"/>
          <w:b/>
          <w:bCs/>
          <w:sz w:val="24"/>
        </w:rPr>
        <w:t xml:space="preserve">  全国汽车“十四五”年销量预测（万辆）</w:t>
      </w:r>
    </w:p>
    <w:tbl>
      <w:tblPr>
        <w:tblStyle w:val="17"/>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6"/>
        <w:gridCol w:w="1279"/>
        <w:gridCol w:w="1277"/>
        <w:gridCol w:w="1225"/>
        <w:gridCol w:w="135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856"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8"/>
                <w:szCs w:val="18"/>
              </w:rPr>
            </w:pPr>
            <w:r>
              <w:rPr>
                <w:rFonts w:hint="eastAsia" w:ascii="仿宋" w:hAnsi="仿宋" w:eastAsia="仿宋"/>
                <w:sz w:val="18"/>
                <w:szCs w:val="18"/>
              </w:rPr>
              <w:t>年份</w:t>
            </w:r>
          </w:p>
        </w:tc>
        <w:tc>
          <w:tcPr>
            <w:tcW w:w="127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2021</w:t>
            </w:r>
          </w:p>
        </w:tc>
        <w:tc>
          <w:tcPr>
            <w:tcW w:w="1277"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2022</w:t>
            </w:r>
          </w:p>
        </w:tc>
        <w:tc>
          <w:tcPr>
            <w:tcW w:w="1225"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2023</w:t>
            </w:r>
          </w:p>
        </w:tc>
        <w:tc>
          <w:tcPr>
            <w:tcW w:w="135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2024</w:t>
            </w:r>
          </w:p>
        </w:tc>
        <w:tc>
          <w:tcPr>
            <w:tcW w:w="134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856"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18"/>
                <w:szCs w:val="18"/>
              </w:rPr>
            </w:pPr>
            <w:r>
              <w:rPr>
                <w:rFonts w:hint="eastAsia" w:ascii="仿宋" w:hAnsi="仿宋" w:eastAsia="仿宋"/>
                <w:sz w:val="18"/>
                <w:szCs w:val="18"/>
              </w:rPr>
              <w:t>预计销量</w:t>
            </w:r>
          </w:p>
        </w:tc>
        <w:tc>
          <w:tcPr>
            <w:tcW w:w="127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2568</w:t>
            </w:r>
          </w:p>
        </w:tc>
        <w:tc>
          <w:tcPr>
            <w:tcW w:w="1277"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2607</w:t>
            </w:r>
          </w:p>
        </w:tc>
        <w:tc>
          <w:tcPr>
            <w:tcW w:w="1225"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2646</w:t>
            </w:r>
          </w:p>
        </w:tc>
        <w:tc>
          <w:tcPr>
            <w:tcW w:w="135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2699</w:t>
            </w:r>
          </w:p>
        </w:tc>
        <w:tc>
          <w:tcPr>
            <w:tcW w:w="134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18"/>
                <w:szCs w:val="18"/>
              </w:rPr>
            </w:pPr>
            <w:r>
              <w:rPr>
                <w:sz w:val="18"/>
                <w:szCs w:val="18"/>
              </w:rPr>
              <w:t>2753</w:t>
            </w:r>
          </w:p>
        </w:tc>
      </w:tr>
    </w:tbl>
    <w:p>
      <w:pPr>
        <w:pStyle w:val="2"/>
        <w:ind w:firstLine="0" w:firstLineChars="0"/>
        <w:jc w:val="center"/>
        <w:rPr>
          <w:rFonts w:eastAsia="仿宋_GB2312"/>
          <w:b/>
          <w:bCs/>
          <w:sz w:val="24"/>
        </w:rPr>
      </w:pPr>
    </w:p>
    <w:p>
      <w:pPr>
        <w:pStyle w:val="2"/>
        <w:spacing w:afterLines="50"/>
        <w:ind w:firstLine="0" w:firstLineChars="0"/>
        <w:jc w:val="center"/>
        <w:rPr>
          <w:rFonts w:eastAsia="仿宋_GB2312"/>
          <w:b/>
          <w:bCs/>
          <w:sz w:val="32"/>
          <w:szCs w:val="32"/>
        </w:rPr>
      </w:pPr>
      <w:r>
        <w:drawing>
          <wp:inline distT="0" distB="0" distL="0" distR="0">
            <wp:extent cx="5144135" cy="1939925"/>
            <wp:effectExtent l="0" t="0" r="0" b="0"/>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eastAsia="仿宋_GB2312"/>
          <w:b/>
          <w:bCs/>
          <w:sz w:val="24"/>
        </w:rPr>
        <w:t>图</w:t>
      </w:r>
      <w:r>
        <w:rPr>
          <w:rFonts w:eastAsia="仿宋_GB2312"/>
          <w:b/>
          <w:bCs/>
          <w:sz w:val="24"/>
        </w:rPr>
        <w:t xml:space="preserve">10 </w:t>
      </w:r>
      <w:r>
        <w:rPr>
          <w:rFonts w:hint="eastAsia" w:eastAsia="仿宋_GB2312"/>
          <w:b/>
          <w:bCs/>
          <w:sz w:val="24"/>
        </w:rPr>
        <w:t xml:space="preserve"> 全国汽车“十四五”年销量预测（万辆）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《新能源汽车产业发展规划（2021—2035年）》中提出到2025年，国内新能源汽车新车销售量达到汽车新车销售总量的20%左右</w:t>
      </w:r>
      <w:r>
        <w:rPr>
          <w:rStyle w:val="24"/>
          <w:rFonts w:ascii="Times New Roman" w:hAnsi="Times New Roman" w:eastAsia="仿宋_GB2312" w:cs="Times New Roman"/>
          <w:sz w:val="32"/>
          <w:szCs w:val="32"/>
        </w:rPr>
        <w:footnoteReference w:id="7"/>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年全国新能源汽车销量136.7万辆，市场渗透率约为</w:t>
      </w:r>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，即根据国家总体发展目标，“十四五”期间，全国新能源汽车销量占比将从“十三五”末的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左右增长至约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w:t>
      </w:r>
    </w:p>
    <w:p>
      <w:pPr>
        <w:adjustRightInd w:val="0"/>
        <w:snapToGrid w:val="0"/>
        <w:spacing w:line="580" w:lineRule="exact"/>
        <w:ind w:firstLine="640" w:firstLineChars="200"/>
        <w:jc w:val="left"/>
        <w:rPr>
          <w:rFonts w:ascii="宋体" w:hAnsi="宋体" w:eastAsia="宋体" w:cs="宋体"/>
          <w:b/>
          <w:bCs/>
          <w:kern w:val="0"/>
          <w:sz w:val="22"/>
          <w:szCs w:val="22"/>
        </w:rPr>
      </w:pPr>
      <w:r>
        <w:rPr>
          <w:rFonts w:hint="eastAsia" w:ascii="Times New Roman" w:hAnsi="Times New Roman" w:eastAsia="仿宋_GB2312" w:cs="Times New Roman"/>
          <w:sz w:val="32"/>
          <w:szCs w:val="32"/>
        </w:rPr>
        <w:t>考虑“十四五”期间，全国新能源汽车销量占比匀速增长，全国新能源汽车“十四五”年销量预测如下。</w:t>
      </w:r>
    </w:p>
    <w:p>
      <w:pPr>
        <w:adjustRightInd w:val="0"/>
        <w:snapToGrid w:val="0"/>
        <w:spacing w:beforeLines="50" w:line="580" w:lineRule="exact"/>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表8  全国新能源汽车“十四五”年销量预测（万辆）</w:t>
      </w:r>
    </w:p>
    <w:tbl>
      <w:tblPr>
        <w:tblStyle w:val="1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7"/>
        <w:gridCol w:w="980"/>
        <w:gridCol w:w="980"/>
        <w:gridCol w:w="980"/>
        <w:gridCol w:w="980"/>
        <w:gridCol w:w="98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357"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20"/>
              </w:rPr>
            </w:pPr>
            <w:r>
              <w:rPr>
                <w:rFonts w:hint="eastAsia" w:ascii="仿宋" w:hAnsi="仿宋" w:eastAsia="仿宋"/>
                <w:sz w:val="20"/>
              </w:rPr>
              <w:t>年份</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sz w:val="20"/>
              </w:rPr>
              <w:t>2021</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sz w:val="20"/>
              </w:rPr>
              <w:t>2022</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sz w:val="20"/>
              </w:rPr>
              <w:t>2023</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sz w:val="20"/>
              </w:rPr>
              <w:t>2024</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sz w:val="20"/>
              </w:rPr>
              <w:t>2025</w:t>
            </w:r>
          </w:p>
        </w:tc>
        <w:tc>
          <w:tcPr>
            <w:tcW w:w="107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rPr>
            </w:pPr>
            <w:r>
              <w:rPr>
                <w:rFonts w:hint="eastAsia"/>
                <w:sz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357"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20"/>
              </w:rPr>
            </w:pPr>
            <w:r>
              <w:rPr>
                <w:rFonts w:hint="eastAsia" w:ascii="仿宋" w:hAnsi="仿宋" w:eastAsia="仿宋"/>
                <w:sz w:val="20"/>
              </w:rPr>
              <w:t>预计销量</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2568</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2607</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2646</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2699</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2753</w:t>
            </w:r>
          </w:p>
        </w:tc>
        <w:tc>
          <w:tcPr>
            <w:tcW w:w="107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1</w:t>
            </w:r>
            <w:r>
              <w:rPr>
                <w:rFonts w:hint="eastAsia"/>
                <w:sz w:val="20"/>
                <w:szCs w:val="22"/>
              </w:rPr>
              <w:t>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357"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20"/>
              </w:rPr>
            </w:pPr>
            <w:r>
              <w:rPr>
                <w:rFonts w:hint="eastAsia" w:ascii="仿宋" w:hAnsi="仿宋" w:eastAsia="仿宋"/>
                <w:sz w:val="20"/>
              </w:rPr>
              <w:t>新能源汽车销量占比</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8%</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11%</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14%</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17%</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20%</w:t>
            </w:r>
          </w:p>
        </w:tc>
        <w:tc>
          <w:tcPr>
            <w:tcW w:w="1079" w:type="dxa"/>
            <w:tcBorders>
              <w:tl2br w:val="nil"/>
              <w:tr2bl w:val="nil"/>
            </w:tcBorders>
            <w:shd w:val="clear" w:color="auto" w:fill="auto"/>
            <w:tcMar>
              <w:top w:w="15" w:type="dxa"/>
              <w:left w:w="15" w:type="dxa"/>
              <w:right w:w="15" w:type="dxa"/>
            </w:tcMar>
            <w:vAlign w:val="center"/>
          </w:tcPr>
          <w:p>
            <w:pPr>
              <w:pStyle w:val="27"/>
              <w:spacing w:line="200" w:lineRule="exact"/>
              <w:ind w:firstLine="643"/>
              <w:jc w:val="center"/>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2357"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sz w:val="20"/>
              </w:rPr>
            </w:pPr>
            <w:r>
              <w:rPr>
                <w:rFonts w:hint="eastAsia" w:ascii="仿宋" w:hAnsi="仿宋" w:eastAsia="仿宋"/>
                <w:sz w:val="20"/>
              </w:rPr>
              <w:t>新能源汽车销量</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rFonts w:hint="eastAsia"/>
                <w:sz w:val="20"/>
                <w:szCs w:val="22"/>
              </w:rPr>
              <w:t>205.4</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rFonts w:hint="eastAsia"/>
                <w:sz w:val="20"/>
                <w:szCs w:val="22"/>
              </w:rPr>
              <w:t>286.7</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rFonts w:hint="eastAsia"/>
                <w:sz w:val="20"/>
                <w:szCs w:val="22"/>
              </w:rPr>
              <w:t>370.4</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rFonts w:hint="eastAsia"/>
                <w:sz w:val="20"/>
                <w:szCs w:val="22"/>
              </w:rPr>
              <w:t>458.8</w:t>
            </w:r>
          </w:p>
        </w:tc>
        <w:tc>
          <w:tcPr>
            <w:tcW w:w="980"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rFonts w:hint="eastAsia"/>
                <w:sz w:val="20"/>
                <w:szCs w:val="22"/>
              </w:rPr>
              <w:t>550.6</w:t>
            </w:r>
          </w:p>
        </w:tc>
        <w:tc>
          <w:tcPr>
            <w:tcW w:w="1079" w:type="dxa"/>
            <w:tcBorders>
              <w:tl2br w:val="nil"/>
              <w:tr2bl w:val="nil"/>
            </w:tcBorders>
            <w:shd w:val="clear" w:color="auto" w:fill="auto"/>
            <w:tcMar>
              <w:top w:w="15" w:type="dxa"/>
              <w:left w:w="15" w:type="dxa"/>
              <w:right w:w="15" w:type="dxa"/>
            </w:tcMar>
            <w:vAlign w:val="center"/>
          </w:tcPr>
          <w:p>
            <w:pPr>
              <w:pStyle w:val="27"/>
              <w:spacing w:line="200" w:lineRule="exact"/>
              <w:jc w:val="center"/>
              <w:rPr>
                <w:sz w:val="20"/>
                <w:szCs w:val="22"/>
              </w:rPr>
            </w:pPr>
            <w:r>
              <w:rPr>
                <w:sz w:val="20"/>
                <w:szCs w:val="22"/>
              </w:rPr>
              <w:t>1</w:t>
            </w:r>
            <w:r>
              <w:rPr>
                <w:rFonts w:hint="eastAsia"/>
                <w:sz w:val="20"/>
                <w:szCs w:val="22"/>
              </w:rPr>
              <w:t>871.9</w:t>
            </w:r>
          </w:p>
        </w:tc>
      </w:tr>
    </w:tbl>
    <w:p>
      <w:pPr>
        <w:pStyle w:val="2"/>
        <w:ind w:firstLine="0" w:firstLineChars="0"/>
      </w:pPr>
    </w:p>
    <w:p>
      <w:pPr>
        <w:pStyle w:val="2"/>
      </w:pPr>
      <w:r>
        <w:drawing>
          <wp:inline distT="0" distB="0" distL="0" distR="0">
            <wp:extent cx="5274310" cy="2468880"/>
            <wp:effectExtent l="0" t="0" r="0" b="0"/>
            <wp:docPr id="15"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djustRightInd w:val="0"/>
        <w:snapToGrid w:val="0"/>
        <w:spacing w:afterLines="50"/>
        <w:ind w:firstLine="482" w:firstLineChars="200"/>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24"/>
        </w:rPr>
        <w:t>图11  全国新能源汽车“十四五”年销量预测（万辆</w:t>
      </w:r>
      <w:r>
        <w:rPr>
          <w:rFonts w:hint="eastAsia" w:ascii="宋体" w:hAnsi="宋体" w:eastAsia="宋体" w:cs="宋体"/>
          <w:b/>
          <w:bCs/>
          <w:kern w:val="0"/>
          <w:sz w:val="22"/>
          <w:szCs w:val="22"/>
        </w:rPr>
        <w:t>）</w:t>
      </w:r>
    </w:p>
    <w:p>
      <w:pPr>
        <w:adjustRightInd w:val="0"/>
        <w:snapToGrid w:val="0"/>
        <w:spacing w:beforeLines="50" w:line="580" w:lineRule="exact"/>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表</w:t>
      </w:r>
      <w:r>
        <w:rPr>
          <w:rFonts w:ascii="Times New Roman" w:hAnsi="Times New Roman" w:eastAsia="仿宋_GB2312" w:cs="Times New Roman"/>
          <w:b/>
          <w:bCs/>
          <w:sz w:val="24"/>
        </w:rPr>
        <w:t>9</w:t>
      </w:r>
      <w:r>
        <w:rPr>
          <w:rFonts w:hint="eastAsia" w:ascii="Times New Roman" w:hAnsi="Times New Roman" w:eastAsia="仿宋_GB2312" w:cs="Times New Roman"/>
          <w:b/>
          <w:bCs/>
          <w:sz w:val="24"/>
        </w:rPr>
        <w:t xml:space="preserve">  </w:t>
      </w:r>
      <w:r>
        <w:rPr>
          <w:rFonts w:ascii="Times New Roman" w:hAnsi="Times New Roman" w:eastAsia="仿宋_GB2312" w:cs="Times New Roman"/>
          <w:b/>
          <w:bCs/>
          <w:sz w:val="24"/>
        </w:rPr>
        <w:t>2018-2020</w:t>
      </w:r>
      <w:r>
        <w:rPr>
          <w:rFonts w:hint="eastAsia" w:ascii="Times New Roman" w:hAnsi="Times New Roman" w:eastAsia="仿宋_GB2312" w:cs="Times New Roman"/>
          <w:b/>
          <w:bCs/>
          <w:sz w:val="24"/>
        </w:rPr>
        <w:t>年全国及陕西新能源汽车销量情况（万辆）</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3"/>
        <w:gridCol w:w="1756"/>
        <w:gridCol w:w="285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3" w:type="dxa"/>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年份</w:t>
            </w:r>
          </w:p>
        </w:tc>
        <w:tc>
          <w:tcPr>
            <w:tcW w:w="1756" w:type="dxa"/>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全国新能源销量</w:t>
            </w:r>
          </w:p>
        </w:tc>
        <w:tc>
          <w:tcPr>
            <w:tcW w:w="2856" w:type="dxa"/>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陕西新能源汽车保有量增量</w:t>
            </w:r>
          </w:p>
        </w:tc>
        <w:tc>
          <w:tcPr>
            <w:tcW w:w="1697" w:type="dxa"/>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3" w:type="dxa"/>
            <w:shd w:val="clear" w:color="auto" w:fill="auto"/>
            <w:vAlign w:val="center"/>
          </w:tcPr>
          <w:p>
            <w:pPr>
              <w:pStyle w:val="27"/>
              <w:spacing w:line="200" w:lineRule="exact"/>
              <w:jc w:val="center"/>
            </w:pPr>
            <w:r>
              <w:rPr>
                <w:rFonts w:hint="eastAsia"/>
              </w:rPr>
              <w:t>2020</w:t>
            </w:r>
          </w:p>
        </w:tc>
        <w:tc>
          <w:tcPr>
            <w:tcW w:w="1756" w:type="dxa"/>
            <w:shd w:val="clear" w:color="auto" w:fill="auto"/>
            <w:vAlign w:val="center"/>
          </w:tcPr>
          <w:p>
            <w:pPr>
              <w:pStyle w:val="27"/>
              <w:spacing w:line="200" w:lineRule="exact"/>
              <w:jc w:val="center"/>
            </w:pPr>
            <w:r>
              <w:rPr>
                <w:rFonts w:hint="eastAsia"/>
              </w:rPr>
              <w:t>136.7</w:t>
            </w:r>
          </w:p>
        </w:tc>
        <w:tc>
          <w:tcPr>
            <w:tcW w:w="2856" w:type="dxa"/>
            <w:shd w:val="clear" w:color="auto" w:fill="auto"/>
            <w:vAlign w:val="center"/>
          </w:tcPr>
          <w:p>
            <w:pPr>
              <w:pStyle w:val="27"/>
              <w:spacing w:line="200" w:lineRule="exact"/>
              <w:jc w:val="center"/>
            </w:pPr>
            <w:r>
              <w:rPr>
                <w:rFonts w:hint="eastAsia"/>
              </w:rPr>
              <w:t>2.24</w:t>
            </w:r>
          </w:p>
        </w:tc>
        <w:tc>
          <w:tcPr>
            <w:tcW w:w="1697" w:type="dxa"/>
            <w:shd w:val="clear" w:color="auto" w:fill="auto"/>
            <w:vAlign w:val="center"/>
          </w:tcPr>
          <w:p>
            <w:pPr>
              <w:pStyle w:val="27"/>
              <w:spacing w:line="200" w:lineRule="exact"/>
              <w:jc w:val="center"/>
            </w:pPr>
            <w:r>
              <w:rPr>
                <w:rFonts w:hint="eastAsia"/>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3" w:type="dxa"/>
            <w:shd w:val="clear" w:color="auto" w:fill="auto"/>
            <w:vAlign w:val="center"/>
          </w:tcPr>
          <w:p>
            <w:pPr>
              <w:pStyle w:val="27"/>
              <w:spacing w:line="200" w:lineRule="exact"/>
              <w:jc w:val="center"/>
            </w:pPr>
            <w:r>
              <w:rPr>
                <w:rFonts w:hint="eastAsia"/>
              </w:rPr>
              <w:t>2019</w:t>
            </w:r>
          </w:p>
        </w:tc>
        <w:tc>
          <w:tcPr>
            <w:tcW w:w="1756" w:type="dxa"/>
            <w:shd w:val="clear" w:color="auto" w:fill="auto"/>
            <w:vAlign w:val="center"/>
          </w:tcPr>
          <w:p>
            <w:pPr>
              <w:pStyle w:val="27"/>
              <w:spacing w:line="200" w:lineRule="exact"/>
              <w:jc w:val="center"/>
            </w:pPr>
            <w:r>
              <w:rPr>
                <w:rFonts w:hint="eastAsia"/>
              </w:rPr>
              <w:t>120.6</w:t>
            </w:r>
          </w:p>
        </w:tc>
        <w:tc>
          <w:tcPr>
            <w:tcW w:w="2856" w:type="dxa"/>
            <w:shd w:val="clear" w:color="auto" w:fill="auto"/>
            <w:vAlign w:val="center"/>
          </w:tcPr>
          <w:p>
            <w:pPr>
              <w:pStyle w:val="27"/>
              <w:spacing w:line="200" w:lineRule="exact"/>
              <w:jc w:val="center"/>
            </w:pPr>
            <w:r>
              <w:t>3</w:t>
            </w:r>
            <w:r>
              <w:rPr>
                <w:rFonts w:hint="eastAsia"/>
              </w:rPr>
              <w:t>.</w:t>
            </w:r>
            <w:r>
              <w:t>71</w:t>
            </w:r>
          </w:p>
        </w:tc>
        <w:tc>
          <w:tcPr>
            <w:tcW w:w="1697" w:type="dxa"/>
            <w:shd w:val="clear" w:color="auto" w:fill="auto"/>
            <w:vAlign w:val="center"/>
          </w:tcPr>
          <w:p>
            <w:pPr>
              <w:pStyle w:val="27"/>
              <w:spacing w:line="200" w:lineRule="exact"/>
              <w:jc w:val="center"/>
            </w:pPr>
            <w:r>
              <w:rPr>
                <w:rFonts w:hint="eastAsia"/>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3" w:type="dxa"/>
            <w:shd w:val="clear" w:color="auto" w:fill="auto"/>
            <w:vAlign w:val="center"/>
          </w:tcPr>
          <w:p>
            <w:pPr>
              <w:pStyle w:val="27"/>
              <w:spacing w:line="200" w:lineRule="exact"/>
              <w:jc w:val="center"/>
            </w:pPr>
            <w:r>
              <w:rPr>
                <w:rFonts w:hint="eastAsia"/>
              </w:rPr>
              <w:t>2018</w:t>
            </w:r>
          </w:p>
        </w:tc>
        <w:tc>
          <w:tcPr>
            <w:tcW w:w="1756" w:type="dxa"/>
            <w:shd w:val="clear" w:color="auto" w:fill="auto"/>
            <w:vAlign w:val="center"/>
          </w:tcPr>
          <w:p>
            <w:pPr>
              <w:pStyle w:val="27"/>
              <w:spacing w:line="200" w:lineRule="exact"/>
              <w:jc w:val="center"/>
            </w:pPr>
            <w:r>
              <w:rPr>
                <w:rFonts w:hint="eastAsia"/>
              </w:rPr>
              <w:t>125.6</w:t>
            </w:r>
          </w:p>
        </w:tc>
        <w:tc>
          <w:tcPr>
            <w:tcW w:w="2856" w:type="dxa"/>
            <w:shd w:val="clear" w:color="auto" w:fill="auto"/>
            <w:vAlign w:val="center"/>
          </w:tcPr>
          <w:p>
            <w:pPr>
              <w:pStyle w:val="27"/>
              <w:spacing w:line="200" w:lineRule="exact"/>
              <w:jc w:val="center"/>
            </w:pPr>
            <w:r>
              <w:rPr>
                <w:rFonts w:hint="eastAsia"/>
              </w:rPr>
              <w:t>0.</w:t>
            </w:r>
            <w:r>
              <w:t>66</w:t>
            </w:r>
          </w:p>
        </w:tc>
        <w:tc>
          <w:tcPr>
            <w:tcW w:w="1697" w:type="dxa"/>
            <w:shd w:val="clear" w:color="auto" w:fill="auto"/>
            <w:vAlign w:val="center"/>
          </w:tcPr>
          <w:p>
            <w:pPr>
              <w:pStyle w:val="27"/>
              <w:spacing w:line="200" w:lineRule="exact"/>
              <w:jc w:val="center"/>
            </w:pPr>
            <w:r>
              <w:rPr>
                <w:rFonts w:hint="eastAsia"/>
              </w:rPr>
              <w:t>0.53</w:t>
            </w:r>
          </w:p>
        </w:tc>
      </w:tr>
    </w:tbl>
    <w:p>
      <w:pPr>
        <w:adjustRightInd w:val="0"/>
        <w:snapToGrid w:val="0"/>
        <w:spacing w:beforeLines="50" w:line="580" w:lineRule="exact"/>
        <w:ind w:firstLine="482" w:firstLineChars="200"/>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表</w:t>
      </w:r>
      <w:r>
        <w:rPr>
          <w:rFonts w:ascii="Times New Roman" w:hAnsi="Times New Roman" w:eastAsia="仿宋_GB2312" w:cs="Times New Roman"/>
          <w:b/>
          <w:bCs/>
          <w:sz w:val="24"/>
        </w:rPr>
        <w:t>10</w:t>
      </w:r>
      <w:r>
        <w:rPr>
          <w:rFonts w:hint="eastAsia" w:ascii="Times New Roman" w:hAnsi="Times New Roman" w:eastAsia="仿宋_GB2312" w:cs="Times New Roman"/>
          <w:b/>
          <w:bCs/>
          <w:sz w:val="24"/>
        </w:rPr>
        <w:t xml:space="preserve">  </w:t>
      </w:r>
      <w:r>
        <w:rPr>
          <w:rFonts w:ascii="Times New Roman" w:hAnsi="Times New Roman" w:eastAsia="仿宋_GB2312" w:cs="Times New Roman"/>
          <w:b/>
          <w:bCs/>
          <w:sz w:val="24"/>
        </w:rPr>
        <w:t>2010-2020</w:t>
      </w:r>
      <w:r>
        <w:rPr>
          <w:rFonts w:hint="eastAsia" w:ascii="Times New Roman" w:hAnsi="Times New Roman" w:eastAsia="仿宋_GB2312" w:cs="Times New Roman"/>
          <w:b/>
          <w:bCs/>
          <w:sz w:val="24"/>
        </w:rPr>
        <w:t>年陕西汽车保有量在全国汽车保有量中占比情况（万辆）</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591"/>
        <w:gridCol w:w="591"/>
        <w:gridCol w:w="670"/>
        <w:gridCol w:w="591"/>
        <w:gridCol w:w="591"/>
        <w:gridCol w:w="591"/>
        <w:gridCol w:w="591"/>
        <w:gridCol w:w="591"/>
        <w:gridCol w:w="591"/>
        <w:gridCol w:w="554"/>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016" w:type="dxa"/>
            <w:shd w:val="clear" w:color="auto" w:fill="auto"/>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年份</w:t>
            </w:r>
          </w:p>
        </w:tc>
        <w:tc>
          <w:tcPr>
            <w:tcW w:w="591" w:type="dxa"/>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2020</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2019</w:t>
            </w:r>
          </w:p>
        </w:tc>
        <w:tc>
          <w:tcPr>
            <w:tcW w:w="670"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2018</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2017</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2016</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2015</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2014</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2013</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2012</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2011</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016" w:type="dxa"/>
            <w:shd w:val="clear" w:color="auto" w:fill="auto"/>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陕西民用汽车拥有量</w:t>
            </w:r>
            <w:r>
              <w:rPr>
                <w:rFonts w:ascii="仿宋" w:hAnsi="仿宋" w:eastAsia="仿宋" w:cs="宋体"/>
                <w:kern w:val="0"/>
                <w:sz w:val="15"/>
              </w:rPr>
              <w:t>(万辆)</w:t>
            </w:r>
          </w:p>
        </w:tc>
        <w:tc>
          <w:tcPr>
            <w:tcW w:w="591" w:type="dxa"/>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739</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682</w:t>
            </w:r>
          </w:p>
        </w:tc>
        <w:tc>
          <w:tcPr>
            <w:tcW w:w="670"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616</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549</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491</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438</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384</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336</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284</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236</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016" w:type="dxa"/>
            <w:shd w:val="clear" w:color="auto" w:fill="auto"/>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全国民用汽车拥有量</w:t>
            </w:r>
            <w:r>
              <w:rPr>
                <w:rFonts w:ascii="仿宋" w:hAnsi="仿宋" w:eastAsia="仿宋" w:cs="宋体"/>
                <w:kern w:val="0"/>
                <w:sz w:val="15"/>
              </w:rPr>
              <w:t>(万辆)</w:t>
            </w:r>
          </w:p>
        </w:tc>
        <w:tc>
          <w:tcPr>
            <w:tcW w:w="591" w:type="dxa"/>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28100</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25387</w:t>
            </w:r>
          </w:p>
        </w:tc>
        <w:tc>
          <w:tcPr>
            <w:tcW w:w="670"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23231</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20906</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18574</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16284</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14598</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12670</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10933</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9356</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016" w:type="dxa"/>
            <w:shd w:val="clear" w:color="auto" w:fill="auto"/>
            <w:vAlign w:val="center"/>
          </w:tcPr>
          <w:p>
            <w:pPr>
              <w:widowControl/>
              <w:jc w:val="center"/>
              <w:rPr>
                <w:rFonts w:ascii="宋体" w:hAnsi="宋体" w:eastAsia="宋体" w:cs="宋体"/>
                <w:b/>
                <w:bCs/>
                <w:kern w:val="0"/>
                <w:sz w:val="24"/>
              </w:rPr>
            </w:pPr>
            <w:r>
              <w:rPr>
                <w:rFonts w:hint="eastAsia" w:ascii="仿宋" w:hAnsi="仿宋" w:eastAsia="仿宋" w:cs="宋体"/>
                <w:kern w:val="0"/>
                <w:sz w:val="15"/>
                <w:szCs w:val="15"/>
              </w:rPr>
              <w:t>占比（%）</w:t>
            </w:r>
          </w:p>
        </w:tc>
        <w:tc>
          <w:tcPr>
            <w:tcW w:w="591" w:type="dxa"/>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2.63</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2.686</w:t>
            </w:r>
          </w:p>
        </w:tc>
        <w:tc>
          <w:tcPr>
            <w:tcW w:w="670"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2.652</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2.626</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2.643</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2.689</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2.631</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2.652</w:t>
            </w:r>
          </w:p>
        </w:tc>
        <w:tc>
          <w:tcPr>
            <w:tcW w:w="591"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2.598</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2.522</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2.436</w:t>
            </w:r>
          </w:p>
        </w:tc>
      </w:tr>
    </w:tbl>
    <w:p>
      <w:pPr>
        <w:adjustRightInd w:val="0"/>
        <w:snapToGrid w:val="0"/>
        <w:ind w:firstLine="420" w:firstLineChars="200"/>
        <w:jc w:val="center"/>
      </w:pPr>
    </w:p>
    <w:p>
      <w:pPr>
        <w:adjustRightInd w:val="0"/>
        <w:snapToGrid w:val="0"/>
      </w:pPr>
      <w:r>
        <w:drawing>
          <wp:inline distT="0" distB="0" distL="114300" distR="114300">
            <wp:extent cx="5441315" cy="2549525"/>
            <wp:effectExtent l="19050" t="0" r="26035" b="31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adjustRightInd w:val="0"/>
        <w:snapToGrid w:val="0"/>
        <w:spacing w:afterLines="50"/>
        <w:ind w:firstLine="482" w:firstLineChars="200"/>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24"/>
        </w:rPr>
        <w:t>图12  2010-2020年陕西汽车保有量在全国汽车保有量中占比情况（万辆）</w:t>
      </w:r>
    </w:p>
    <w:p>
      <w:pPr>
        <w:pStyle w:val="2"/>
      </w:pPr>
    </w:p>
    <w:p>
      <w:pPr>
        <w:adjustRightInd w:val="0"/>
        <w:snapToGrid w:val="0"/>
        <w:spacing w:beforeLines="50" w:line="580" w:lineRule="exact"/>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表11  2010-2020年陕西及全国汽车销量中占比情况（万辆）</w:t>
      </w:r>
    </w:p>
    <w:tbl>
      <w:tblPr>
        <w:tblStyle w:val="17"/>
        <w:tblW w:w="80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554"/>
        <w:gridCol w:w="762"/>
        <w:gridCol w:w="646"/>
        <w:gridCol w:w="554"/>
        <w:gridCol w:w="554"/>
        <w:gridCol w:w="554"/>
        <w:gridCol w:w="554"/>
        <w:gridCol w:w="554"/>
        <w:gridCol w:w="554"/>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166" w:type="dxa"/>
            <w:shd w:val="clear" w:color="auto" w:fill="auto"/>
            <w:vAlign w:val="center"/>
          </w:tcPr>
          <w:p>
            <w:pPr>
              <w:widowControl/>
              <w:jc w:val="center"/>
              <w:rPr>
                <w:rFonts w:ascii="仿宋" w:hAnsi="仿宋" w:eastAsia="仿宋" w:cs="宋体"/>
                <w:kern w:val="0"/>
                <w:sz w:val="15"/>
                <w:szCs w:val="15"/>
              </w:rPr>
            </w:pP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2019</w:t>
            </w:r>
          </w:p>
        </w:tc>
        <w:tc>
          <w:tcPr>
            <w:tcW w:w="762"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2018</w:t>
            </w:r>
          </w:p>
        </w:tc>
        <w:tc>
          <w:tcPr>
            <w:tcW w:w="646"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2017</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2016</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2015</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2014</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2013</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2012</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2011</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166" w:type="dxa"/>
            <w:shd w:val="clear" w:color="auto" w:fill="auto"/>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陕西民用汽车新注册量(万辆)</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77.46</w:t>
            </w:r>
          </w:p>
        </w:tc>
        <w:tc>
          <w:tcPr>
            <w:tcW w:w="762"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77.39</w:t>
            </w:r>
          </w:p>
        </w:tc>
        <w:tc>
          <w:tcPr>
            <w:tcW w:w="646"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74.35</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70.56</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62.52</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63.75</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59.5</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53.78</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49.6</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47.42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166" w:type="dxa"/>
            <w:shd w:val="clear" w:color="auto" w:fill="auto"/>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全国汽车销量(万辆)</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2577</w:t>
            </w:r>
          </w:p>
        </w:tc>
        <w:tc>
          <w:tcPr>
            <w:tcW w:w="762"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2808</w:t>
            </w:r>
          </w:p>
        </w:tc>
        <w:tc>
          <w:tcPr>
            <w:tcW w:w="646"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2888</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2803</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2460</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2349</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2198</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1931</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1851</w:t>
            </w:r>
          </w:p>
        </w:tc>
        <w:tc>
          <w:tcPr>
            <w:tcW w:w="554" w:type="dxa"/>
            <w:shd w:val="clear" w:color="auto" w:fill="auto"/>
            <w:vAlign w:val="center"/>
          </w:tcPr>
          <w:p>
            <w:pPr>
              <w:widowControl/>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166" w:type="dxa"/>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kern w:val="0"/>
                <w:sz w:val="15"/>
                <w:szCs w:val="15"/>
              </w:rPr>
              <w:t>占比</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3.00</w:t>
            </w:r>
            <w:r>
              <w:rPr>
                <w:rFonts w:hint="eastAsia" w:ascii="Times New Roman" w:hAnsi="Times New Roman" w:eastAsia="宋体" w:cs="Times New Roman"/>
                <w:kern w:val="0"/>
                <w:sz w:val="15"/>
                <w:szCs w:val="22"/>
              </w:rPr>
              <w:t>6</w:t>
            </w:r>
          </w:p>
        </w:tc>
        <w:tc>
          <w:tcPr>
            <w:tcW w:w="762" w:type="dxa"/>
            <w:shd w:val="clear" w:color="auto" w:fill="auto"/>
            <w:vAlign w:val="center"/>
          </w:tcPr>
          <w:p>
            <w:pPr>
              <w:widowControl/>
              <w:ind w:right="75"/>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2.756</w:t>
            </w:r>
          </w:p>
        </w:tc>
        <w:tc>
          <w:tcPr>
            <w:tcW w:w="646" w:type="dxa"/>
            <w:shd w:val="clear" w:color="auto" w:fill="auto"/>
            <w:vAlign w:val="center"/>
          </w:tcPr>
          <w:p>
            <w:pPr>
              <w:widowControl/>
              <w:ind w:right="75"/>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2.574</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2.517</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2.541</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2.71</w:t>
            </w:r>
            <w:r>
              <w:rPr>
                <w:rFonts w:hint="eastAsia" w:ascii="Times New Roman" w:hAnsi="Times New Roman" w:eastAsia="宋体" w:cs="Times New Roman"/>
                <w:kern w:val="0"/>
                <w:sz w:val="15"/>
                <w:szCs w:val="22"/>
              </w:rPr>
              <w:t>4</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2.707</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2.785</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2.6</w:t>
            </w:r>
            <w:r>
              <w:rPr>
                <w:rFonts w:hint="eastAsia" w:ascii="Times New Roman" w:hAnsi="Times New Roman" w:eastAsia="宋体" w:cs="Times New Roman"/>
                <w:kern w:val="0"/>
                <w:sz w:val="15"/>
                <w:szCs w:val="22"/>
              </w:rPr>
              <w:t>80</w:t>
            </w:r>
          </w:p>
        </w:tc>
        <w:tc>
          <w:tcPr>
            <w:tcW w:w="554" w:type="dxa"/>
            <w:shd w:val="clear" w:color="auto" w:fill="auto"/>
            <w:vAlign w:val="center"/>
          </w:tcPr>
          <w:p>
            <w:pPr>
              <w:widowControl/>
              <w:jc w:val="right"/>
              <w:rPr>
                <w:rFonts w:ascii="Times New Roman" w:hAnsi="Times New Roman" w:eastAsia="宋体" w:cs="Times New Roman"/>
                <w:kern w:val="0"/>
                <w:sz w:val="15"/>
                <w:szCs w:val="22"/>
              </w:rPr>
            </w:pPr>
            <w:r>
              <w:rPr>
                <w:rFonts w:ascii="Times New Roman" w:hAnsi="Times New Roman" w:eastAsia="宋体" w:cs="Times New Roman"/>
                <w:kern w:val="0"/>
                <w:sz w:val="15"/>
                <w:szCs w:val="22"/>
              </w:rPr>
              <w:t>2.62</w:t>
            </w:r>
            <w:r>
              <w:rPr>
                <w:rFonts w:hint="eastAsia" w:ascii="Times New Roman" w:hAnsi="Times New Roman" w:eastAsia="宋体" w:cs="Times New Roman"/>
                <w:kern w:val="0"/>
                <w:sz w:val="15"/>
                <w:szCs w:val="22"/>
              </w:rPr>
              <w:t>6</w:t>
            </w:r>
          </w:p>
        </w:tc>
      </w:tr>
    </w:tbl>
    <w:p>
      <w:pPr>
        <w:adjustRightInd w:val="0"/>
        <w:snapToGrid w:val="0"/>
        <w:ind w:firstLine="442" w:firstLineChars="200"/>
        <w:jc w:val="center"/>
        <w:rPr>
          <w:rFonts w:ascii="宋体" w:hAnsi="宋体" w:eastAsia="宋体" w:cs="宋体"/>
          <w:b/>
          <w:bCs/>
          <w:kern w:val="0"/>
          <w:sz w:val="22"/>
          <w:szCs w:val="22"/>
        </w:rPr>
      </w:pPr>
    </w:p>
    <w:p>
      <w:pPr>
        <w:pStyle w:val="2"/>
        <w:ind w:firstLine="0" w:firstLineChars="0"/>
      </w:pPr>
      <w:r>
        <w:drawing>
          <wp:inline distT="0" distB="0" distL="114300" distR="114300">
            <wp:extent cx="5196205" cy="2372360"/>
            <wp:effectExtent l="4445" t="4445" r="635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djustRightInd w:val="0"/>
        <w:snapToGrid w:val="0"/>
        <w:spacing w:afterLines="50"/>
        <w:ind w:firstLine="482" w:firstLineChars="200"/>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 xml:space="preserve">图13 </w:t>
      </w:r>
      <w:r>
        <w:rPr>
          <w:rFonts w:ascii="Times New Roman" w:hAnsi="Times New Roman" w:eastAsia="仿宋_GB2312" w:cs="Times New Roman"/>
          <w:b/>
          <w:bCs/>
          <w:sz w:val="24"/>
        </w:rPr>
        <w:t xml:space="preserve"> 2010-2020</w:t>
      </w:r>
      <w:r>
        <w:rPr>
          <w:rFonts w:hint="eastAsia" w:ascii="Times New Roman" w:hAnsi="Times New Roman" w:eastAsia="仿宋_GB2312" w:cs="Times New Roman"/>
          <w:b/>
          <w:bCs/>
          <w:sz w:val="24"/>
        </w:rPr>
        <w:t>年陕西及全国汽车销量中占比情况（万辆）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9为2018-2020年3年全国及陕西新能源汽车销售情况，由于新能源汽车保有量较少，且受推广政策影响较大，陕西在全国新能源汽车销量中占比变化较大；但长期来看，陕西新能源汽车销售占比态势将与汽车总体销量占比、汽车保有量占比趋同，因此“十四五”期间陕西新能源汽车销量占全国新能源汽车销量比例采用2010-2019年陕西在全国汽车销量占比的平均值（去掉最低值和最高值后取平均），为2.673%，可计算得出“十四五”期间陕西新能源汽车销量。</w:t>
      </w:r>
    </w:p>
    <w:p>
      <w:pPr>
        <w:adjustRightInd w:val="0"/>
        <w:snapToGrid w:val="0"/>
        <w:spacing w:beforeLines="50" w:line="58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表</w:t>
      </w:r>
      <w:r>
        <w:rPr>
          <w:rFonts w:hint="eastAsia" w:ascii="Times New Roman" w:hAnsi="Times New Roman" w:eastAsia="仿宋_GB2312" w:cs="Times New Roman"/>
          <w:b/>
          <w:bCs/>
          <w:sz w:val="24"/>
        </w:rPr>
        <w:t xml:space="preserve">12  </w:t>
      </w:r>
      <w:r>
        <w:rPr>
          <w:rFonts w:ascii="Times New Roman" w:hAnsi="Times New Roman" w:eastAsia="仿宋_GB2312" w:cs="Times New Roman"/>
          <w:b/>
          <w:bCs/>
          <w:sz w:val="24"/>
        </w:rPr>
        <w:t>陕西</w:t>
      </w:r>
      <w:r>
        <w:rPr>
          <w:rFonts w:hint="eastAsia" w:ascii="Times New Roman" w:hAnsi="Times New Roman" w:eastAsia="仿宋_GB2312" w:cs="Times New Roman"/>
          <w:b/>
          <w:bCs/>
          <w:sz w:val="24"/>
        </w:rPr>
        <w:t>新能源汽车“十四五”年销量预测（万辆）</w:t>
      </w:r>
    </w:p>
    <w:tbl>
      <w:tblPr>
        <w:tblStyle w:val="1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8"/>
        <w:gridCol w:w="942"/>
        <w:gridCol w:w="787"/>
        <w:gridCol w:w="1175"/>
        <w:gridCol w:w="1175"/>
        <w:gridCol w:w="117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908"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rPr>
            </w:pPr>
            <w:r>
              <w:rPr>
                <w:rFonts w:hint="eastAsia" w:ascii="仿宋" w:hAnsi="仿宋" w:eastAsia="仿宋"/>
              </w:rPr>
              <w:t>年份</w:t>
            </w:r>
          </w:p>
        </w:tc>
        <w:tc>
          <w:tcPr>
            <w:tcW w:w="942"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2021</w:t>
            </w:r>
          </w:p>
        </w:tc>
        <w:tc>
          <w:tcPr>
            <w:tcW w:w="787"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2022</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2023</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2024</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2025</w:t>
            </w:r>
          </w:p>
        </w:tc>
        <w:tc>
          <w:tcPr>
            <w:tcW w:w="1174"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908" w:type="dxa"/>
            <w:tcBorders>
              <w:tl2br w:val="nil"/>
              <w:tr2bl w:val="nil"/>
            </w:tcBorders>
            <w:shd w:val="clear" w:color="auto" w:fill="auto"/>
            <w:tcMar>
              <w:top w:w="15" w:type="dxa"/>
              <w:left w:w="15" w:type="dxa"/>
              <w:right w:w="15" w:type="dxa"/>
            </w:tcMar>
            <w:vAlign w:val="center"/>
          </w:tcPr>
          <w:p>
            <w:pPr>
              <w:pStyle w:val="27"/>
              <w:spacing w:line="200" w:lineRule="exact"/>
              <w:jc w:val="center"/>
              <w:rPr>
                <w:rFonts w:ascii="仿宋" w:hAnsi="仿宋" w:eastAsia="仿宋"/>
              </w:rPr>
            </w:pPr>
            <w:r>
              <w:rPr>
                <w:rFonts w:hint="eastAsia" w:ascii="仿宋" w:hAnsi="仿宋" w:eastAsia="仿宋"/>
              </w:rPr>
              <w:t>新能源汽车销量</w:t>
            </w:r>
          </w:p>
        </w:tc>
        <w:tc>
          <w:tcPr>
            <w:tcW w:w="942"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5.4</w:t>
            </w:r>
          </w:p>
        </w:tc>
        <w:tc>
          <w:tcPr>
            <w:tcW w:w="787"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7.6</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9.9</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12.3</w:t>
            </w:r>
          </w:p>
        </w:tc>
        <w:tc>
          <w:tcPr>
            <w:tcW w:w="1175"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14.6</w:t>
            </w:r>
          </w:p>
        </w:tc>
        <w:tc>
          <w:tcPr>
            <w:tcW w:w="1174" w:type="dxa"/>
            <w:tcBorders>
              <w:tl2br w:val="nil"/>
              <w:tr2bl w:val="nil"/>
            </w:tcBorders>
            <w:shd w:val="clear" w:color="auto" w:fill="auto"/>
            <w:tcMar>
              <w:top w:w="15" w:type="dxa"/>
              <w:left w:w="15" w:type="dxa"/>
              <w:right w:w="15" w:type="dxa"/>
            </w:tcMar>
            <w:vAlign w:val="center"/>
          </w:tcPr>
          <w:p>
            <w:pPr>
              <w:pStyle w:val="27"/>
              <w:spacing w:line="200" w:lineRule="exact"/>
              <w:jc w:val="center"/>
            </w:pPr>
            <w:r>
              <w:rPr>
                <w:rFonts w:hint="eastAsia"/>
                <w:sz w:val="22"/>
                <w:szCs w:val="22"/>
              </w:rPr>
              <w:t>49.8</w:t>
            </w:r>
          </w:p>
        </w:tc>
      </w:tr>
    </w:tbl>
    <w:p>
      <w:pPr>
        <w:pStyle w:val="2"/>
        <w:spacing w:afterLines="50"/>
        <w:jc w:val="center"/>
        <w:rPr>
          <w:rFonts w:eastAsia="仿宋_GB2312"/>
          <w:b/>
          <w:bCs/>
          <w:sz w:val="24"/>
        </w:rPr>
      </w:pPr>
      <w:r>
        <w:drawing>
          <wp:inline distT="0" distB="0" distL="0" distR="0">
            <wp:extent cx="4993005" cy="1924050"/>
            <wp:effectExtent l="0" t="0" r="0" b="0"/>
            <wp:docPr id="1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eastAsia="仿宋_GB2312"/>
          <w:b/>
          <w:bCs/>
          <w:sz w:val="24"/>
        </w:rPr>
        <w:t>图</w:t>
      </w:r>
      <w:r>
        <w:rPr>
          <w:rFonts w:hint="eastAsia" w:eastAsia="仿宋_GB2312"/>
          <w:b/>
          <w:bCs/>
          <w:sz w:val="24"/>
        </w:rPr>
        <w:t xml:space="preserve">14  </w:t>
      </w:r>
      <w:r>
        <w:rPr>
          <w:rFonts w:eastAsia="仿宋_GB2312"/>
          <w:b/>
          <w:bCs/>
          <w:sz w:val="24"/>
        </w:rPr>
        <w:t>陕西</w:t>
      </w:r>
      <w:r>
        <w:rPr>
          <w:rFonts w:hint="eastAsia" w:eastAsia="仿宋_GB2312"/>
          <w:b/>
          <w:bCs/>
          <w:sz w:val="24"/>
        </w:rPr>
        <w:t>新能源汽车“十四五”年销量预测（万辆）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2020年底陕西新能源汽车保有量约为12万辆，根据上述分析，“十四五”末陕西新能源汽车保有量将达到62.1万辆。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（3）相关机构分析预测情况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eastAsia="仿宋_GB2312"/>
          <w:sz w:val="32"/>
          <w:szCs w:val="32"/>
        </w:rPr>
        <w:t>根据中国充电联盟相关数</w:t>
      </w:r>
      <w:r>
        <w:rPr>
          <w:rFonts w:hint="eastAsia" w:ascii="Times New Roman" w:hAnsi="Times New Roman" w:eastAsia="仿宋_GB2312" w:cs="Times New Roman"/>
          <w:sz w:val="32"/>
          <w:szCs w:val="32"/>
        </w:rPr>
        <w:t>据，</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年末国内新能源汽车保有量为</w:t>
      </w:r>
      <w:r>
        <w:rPr>
          <w:rFonts w:ascii="Times New Roman" w:hAnsi="Times New Roman" w:eastAsia="仿宋_GB2312" w:cs="Times New Roman"/>
          <w:sz w:val="32"/>
          <w:szCs w:val="32"/>
        </w:rPr>
        <w:t>2220</w:t>
      </w:r>
      <w:r>
        <w:rPr>
          <w:rFonts w:hint="eastAsia" w:ascii="Times New Roman" w:hAnsi="Times New Roman" w:eastAsia="仿宋_GB2312" w:cs="Times New Roman"/>
          <w:sz w:val="32"/>
          <w:szCs w:val="32"/>
        </w:rPr>
        <w:t>万辆，由上述“</w:t>
      </w:r>
      <w:r>
        <w:rPr>
          <w:rFonts w:ascii="Times New Roman" w:hAnsi="Times New Roman" w:eastAsia="仿宋_GB2312" w:cs="Times New Roman"/>
          <w:sz w:val="32"/>
          <w:szCs w:val="32"/>
        </w:rPr>
        <w:t>政策分析法</w:t>
      </w:r>
      <w:r>
        <w:rPr>
          <w:rFonts w:hint="eastAsia" w:ascii="Times New Roman" w:hAnsi="Times New Roman" w:eastAsia="仿宋_GB2312" w:cs="Times New Roman"/>
          <w:sz w:val="32"/>
          <w:szCs w:val="32"/>
        </w:rPr>
        <w:t>”中相关分析，考虑陕西经济社会发展较快，陕西人均电动汽车拥有量与全国水平相当，则根据中国充电联盟数据分析，</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年末陕西新能源汽车保有量为</w:t>
      </w:r>
      <w:r>
        <w:rPr>
          <w:rFonts w:ascii="Times New Roman" w:hAnsi="Times New Roman" w:eastAsia="仿宋_GB2312" w:cs="Times New Roman"/>
          <w:sz w:val="32"/>
          <w:szCs w:val="32"/>
        </w:rPr>
        <w:t>61.5</w:t>
      </w:r>
      <w:r>
        <w:rPr>
          <w:rFonts w:hint="eastAsia" w:ascii="Times New Roman" w:hAnsi="Times New Roman" w:eastAsia="仿宋_GB2312" w:cs="Times New Roman"/>
          <w:sz w:val="32"/>
          <w:szCs w:val="32"/>
        </w:rPr>
        <w:t>万辆，与平均增长率法中方案及政策分析法预测结果相近。</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（4）省内电动汽车保有量预测结果分析</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省内电动汽车发展目标的制定应结合以下因素：</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十四五”期间电动汽车经济性及性能不断提高、产品不断成熟，同时电动汽车类型逐步丰富，乘用车方面覆盖了从代步车到高端车全系列，消费需求覆盖更全面，消费者选择性更多样，同时客运、货运、工程等领域电动汽车实用性也不断提高，电动汽车产品自身吸引力不断增加；</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二是治污降霾、“碳达峰”“碳中和”等环境保护要求将越来越严格，相关政策必将持续推进以电动汽车为主的环保车型推广应用；</w:t>
      </w:r>
    </w:p>
    <w:p>
      <w:pPr>
        <w:pStyle w:val="2"/>
        <w:ind w:firstLine="640"/>
        <w:rPr>
          <w:rFonts w:eastAsia="仿宋_GB2312"/>
          <w:sz w:val="32"/>
          <w:szCs w:val="32"/>
        </w:rPr>
      </w:pPr>
      <w:r>
        <w:rPr>
          <w:rFonts w:hint="eastAsia" w:ascii="仿宋_GB2312" w:eastAsia="仿宋_GB2312"/>
          <w:sz w:val="32"/>
          <w:szCs w:val="32"/>
        </w:rPr>
        <w:t>三是陕西省经济发展增速较快，居民收入</w:t>
      </w:r>
      <w:r>
        <w:rPr>
          <w:rFonts w:hint="eastAsia" w:eastAsia="仿宋_GB2312"/>
          <w:sz w:val="32"/>
          <w:szCs w:val="32"/>
        </w:rPr>
        <w:t>及各级财政收入不断增加，对电动汽车的接受度将持续提升，预计“十四五”期间省内电动汽车保有量增长率将高于</w:t>
      </w:r>
      <w:r>
        <w:rPr>
          <w:rFonts w:eastAsia="仿宋_GB2312"/>
          <w:sz w:val="32"/>
          <w:szCs w:val="32"/>
        </w:rPr>
        <w:t>2017-2020</w:t>
      </w:r>
      <w:r>
        <w:rPr>
          <w:rFonts w:hint="eastAsia" w:eastAsia="仿宋_GB2312"/>
          <w:sz w:val="32"/>
          <w:szCs w:val="32"/>
        </w:rPr>
        <w:t>年；</w:t>
      </w:r>
    </w:p>
    <w:p>
      <w:pPr>
        <w:pStyle w:val="2"/>
        <w:ind w:firstLine="640"/>
        <w:rPr>
          <w:rFonts w:eastAsia="仿宋_GB2312"/>
          <w:sz w:val="32"/>
          <w:szCs w:val="32"/>
        </w:rPr>
      </w:pPr>
      <w:r>
        <w:rPr>
          <w:rFonts w:hint="eastAsia" w:eastAsia="仿宋_GB2312"/>
          <w:sz w:val="32"/>
          <w:szCs w:val="32"/>
        </w:rPr>
        <w:t>四是省内电动汽车发展目标的制定应重点结合国家发展目标，陕西省新能源汽车“十四五”末销量需达到国家新能源汽车产业发展规划中提到的到</w:t>
      </w:r>
      <w:r>
        <w:rPr>
          <w:rFonts w:eastAsia="仿宋_GB2312"/>
          <w:sz w:val="32"/>
          <w:szCs w:val="32"/>
        </w:rPr>
        <w:t>2025</w:t>
      </w:r>
      <w:r>
        <w:rPr>
          <w:rFonts w:hint="eastAsia" w:eastAsia="仿宋_GB2312"/>
          <w:sz w:val="32"/>
          <w:szCs w:val="32"/>
        </w:rPr>
        <w:t>年“新能源汽车新车销售量达到汽车新车销售总量的</w:t>
      </w:r>
      <w:r>
        <w:rPr>
          <w:rFonts w:eastAsia="仿宋_GB2312"/>
          <w:sz w:val="32"/>
          <w:szCs w:val="32"/>
        </w:rPr>
        <w:t>20%</w:t>
      </w:r>
      <w:r>
        <w:rPr>
          <w:rFonts w:hint="eastAsia" w:eastAsia="仿宋_GB2312"/>
          <w:sz w:val="32"/>
          <w:szCs w:val="32"/>
        </w:rPr>
        <w:t>左右”。</w:t>
      </w:r>
    </w:p>
    <w:p>
      <w:pPr>
        <w:pStyle w:val="2"/>
        <w:ind w:firstLine="640"/>
        <w:rPr>
          <w:rFonts w:eastAsia="仿宋_GB2312"/>
          <w:sz w:val="32"/>
          <w:szCs w:val="32"/>
        </w:rPr>
      </w:pPr>
      <w:r>
        <w:rPr>
          <w:rFonts w:hint="eastAsia" w:eastAsia="仿宋_GB2312"/>
          <w:sz w:val="32"/>
          <w:szCs w:val="32"/>
        </w:rPr>
        <w:t>结合以上分析，“十四五”末省内电动汽车保有量应达到</w:t>
      </w:r>
      <w:r>
        <w:rPr>
          <w:rFonts w:eastAsia="仿宋_GB2312"/>
          <w:sz w:val="32"/>
          <w:szCs w:val="32"/>
        </w:rPr>
        <w:t>60</w:t>
      </w:r>
      <w:r>
        <w:rPr>
          <w:rFonts w:hint="eastAsia" w:eastAsia="仿宋_GB2312"/>
          <w:sz w:val="32"/>
          <w:szCs w:val="32"/>
        </w:rPr>
        <w:t>万辆以上，届时省内电动汽车保有量渗透率将达到</w:t>
      </w:r>
      <w:r>
        <w:rPr>
          <w:rFonts w:eastAsia="仿宋_GB2312"/>
          <w:sz w:val="32"/>
          <w:szCs w:val="32"/>
        </w:rPr>
        <w:t>6%</w:t>
      </w:r>
      <w:r>
        <w:rPr>
          <w:rFonts w:hint="eastAsia" w:eastAsia="仿宋_GB2312"/>
          <w:sz w:val="32"/>
          <w:szCs w:val="32"/>
        </w:rPr>
        <w:t>以上。</w:t>
      </w:r>
    </w:p>
    <w:p>
      <w:pPr>
        <w:pStyle w:val="2"/>
        <w:ind w:firstLine="640"/>
        <w:rPr>
          <w:rFonts w:eastAsia="仿宋_GB2312"/>
          <w:sz w:val="32"/>
          <w:szCs w:val="32"/>
        </w:rPr>
      </w:pPr>
      <w:r>
        <w:rPr>
          <w:rFonts w:hint="eastAsia" w:eastAsia="仿宋_GB2312"/>
          <w:sz w:val="32"/>
          <w:szCs w:val="32"/>
        </w:rPr>
        <w:t>同时考虑到电动汽车技术发展迭代速度不断加快，陕西省将发展新能源汽车产业作为“十四五”重要战略目标，加之陕西城乡物流产业将呈现较快增长，新能源汽车及充电设施的各项支持政策、标准、规范等均在不断完善，“</w:t>
      </w:r>
      <w:r>
        <w:rPr>
          <w:rFonts w:eastAsia="仿宋_GB2312"/>
          <w:sz w:val="32"/>
          <w:szCs w:val="32"/>
        </w:rPr>
        <w:t>十四五</w:t>
      </w:r>
      <w:r>
        <w:rPr>
          <w:rFonts w:hint="eastAsia" w:eastAsia="仿宋_GB2312"/>
          <w:sz w:val="32"/>
          <w:szCs w:val="32"/>
        </w:rPr>
        <w:t>”期间有可能迎来电动汽车爆发式增长，若“十四五”期间保有量平均年增长率维持在50%以上，省内电动汽车保有量将达到甚至超过一百万辆。</w:t>
      </w:r>
    </w:p>
    <w:p>
      <w:pPr>
        <w:pStyle w:val="2"/>
        <w:ind w:firstLine="640"/>
        <w:rPr>
          <w:rFonts w:eastAsia="仿宋_GB2312"/>
          <w:sz w:val="32"/>
          <w:szCs w:val="32"/>
        </w:rPr>
      </w:pPr>
      <w:r>
        <w:rPr>
          <w:rFonts w:hint="eastAsia" w:eastAsia="仿宋_GB2312"/>
          <w:sz w:val="32"/>
          <w:szCs w:val="32"/>
        </w:rPr>
        <w:t>但由于目前电动汽车发展还有赖于政策推动，受制于一系列因素的不确定性，例如政策支持力度减小，电动汽车技术发展缓慢等，省内电动汽车保有量增长率若维持在30%及以下水平，“十四五”末省内电动汽车保有量为40余万辆或更少水平。</w:t>
      </w:r>
    </w:p>
    <w:p>
      <w:pPr>
        <w:pStyle w:val="5"/>
        <w:spacing w:line="580" w:lineRule="exact"/>
        <w:ind w:firstLine="643"/>
      </w:pPr>
      <w:r>
        <w:rPr>
          <w:rFonts w:hint="eastAsia"/>
        </w:rPr>
        <w:t>2.分车型预测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根据各类型车辆近年保有量情况及省内电动汽车总量预测，分析“十四五”期间保有量，结合各型车使用年限及更新车辆中电动汽车占比要求等因素，估算各型电动汽车保有量。</w:t>
      </w:r>
    </w:p>
    <w:p>
      <w:pPr>
        <w:pStyle w:val="26"/>
        <w:spacing w:beforeLines="50" w:line="580" w:lineRule="exact"/>
        <w:ind w:firstLine="0"/>
        <w:rPr>
          <w:bCs/>
          <w:sz w:val="22"/>
          <w:szCs w:val="22"/>
        </w:rPr>
      </w:pPr>
      <w:r>
        <w:rPr>
          <w:rFonts w:hint="eastAsia" w:eastAsia="仿宋_GB2312"/>
          <w:bCs/>
          <w:sz w:val="24"/>
          <w:szCs w:val="24"/>
        </w:rPr>
        <w:t xml:space="preserve">表13  </w:t>
      </w:r>
      <w:r>
        <w:rPr>
          <w:rFonts w:eastAsia="仿宋_GB2312"/>
          <w:bCs/>
          <w:sz w:val="24"/>
          <w:szCs w:val="24"/>
        </w:rPr>
        <w:t>2016-20</w:t>
      </w:r>
      <w:r>
        <w:rPr>
          <w:rFonts w:hint="eastAsia" w:eastAsia="仿宋_GB2312"/>
          <w:bCs/>
          <w:sz w:val="24"/>
          <w:szCs w:val="24"/>
        </w:rPr>
        <w:t>19</w:t>
      </w:r>
      <w:r>
        <w:rPr>
          <w:rFonts w:eastAsia="仿宋_GB2312"/>
          <w:bCs/>
          <w:sz w:val="24"/>
          <w:szCs w:val="24"/>
        </w:rPr>
        <w:t>年</w:t>
      </w:r>
      <w:r>
        <w:rPr>
          <w:rFonts w:hint="eastAsia" w:eastAsia="仿宋_GB2312"/>
          <w:bCs/>
          <w:sz w:val="24"/>
          <w:szCs w:val="24"/>
        </w:rPr>
        <w:t>全省多类车型保有量</w:t>
      </w:r>
      <w:r>
        <w:rPr>
          <w:rStyle w:val="24"/>
          <w:bCs/>
          <w:sz w:val="22"/>
          <w:szCs w:val="22"/>
        </w:rPr>
        <w:footnoteReference w:id="8"/>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5"/>
        <w:gridCol w:w="1219"/>
        <w:gridCol w:w="1219"/>
        <w:gridCol w:w="1219"/>
        <w:gridCol w:w="12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435" w:type="dxa"/>
            <w:vAlign w:val="center"/>
          </w:tcPr>
          <w:p>
            <w:pPr>
              <w:pStyle w:val="27"/>
              <w:spacing w:line="200" w:lineRule="exact"/>
              <w:jc w:val="center"/>
              <w:rPr>
                <w:rFonts w:ascii="仿宋" w:hAnsi="仿宋" w:eastAsia="仿宋"/>
              </w:rPr>
            </w:pPr>
            <w:r>
              <w:rPr>
                <w:rFonts w:hint="eastAsia" w:ascii="仿宋" w:hAnsi="仿宋" w:eastAsia="仿宋"/>
              </w:rPr>
              <w:t>年份</w:t>
            </w:r>
          </w:p>
        </w:tc>
        <w:tc>
          <w:tcPr>
            <w:tcW w:w="1219" w:type="dxa"/>
            <w:vAlign w:val="center"/>
          </w:tcPr>
          <w:p>
            <w:pPr>
              <w:pStyle w:val="27"/>
              <w:spacing w:line="200" w:lineRule="exact"/>
              <w:jc w:val="center"/>
            </w:pPr>
            <w:r>
              <w:rPr>
                <w:rFonts w:hint="eastAsia"/>
              </w:rPr>
              <w:t>2016</w:t>
            </w:r>
          </w:p>
        </w:tc>
        <w:tc>
          <w:tcPr>
            <w:tcW w:w="1219" w:type="dxa"/>
            <w:vAlign w:val="center"/>
          </w:tcPr>
          <w:p>
            <w:pPr>
              <w:pStyle w:val="27"/>
              <w:spacing w:line="200" w:lineRule="exact"/>
              <w:jc w:val="center"/>
            </w:pPr>
            <w:r>
              <w:rPr>
                <w:rFonts w:hint="eastAsia"/>
              </w:rPr>
              <w:t>2017</w:t>
            </w:r>
          </w:p>
        </w:tc>
        <w:tc>
          <w:tcPr>
            <w:tcW w:w="1219" w:type="dxa"/>
            <w:vAlign w:val="center"/>
          </w:tcPr>
          <w:p>
            <w:pPr>
              <w:pStyle w:val="27"/>
              <w:spacing w:line="200" w:lineRule="exact"/>
              <w:jc w:val="center"/>
            </w:pPr>
            <w:r>
              <w:rPr>
                <w:rFonts w:hint="eastAsia"/>
              </w:rPr>
              <w:t>2018</w:t>
            </w:r>
          </w:p>
        </w:tc>
        <w:tc>
          <w:tcPr>
            <w:tcW w:w="1215" w:type="dxa"/>
            <w:vAlign w:val="center"/>
          </w:tcPr>
          <w:p>
            <w:pPr>
              <w:pStyle w:val="27"/>
              <w:spacing w:line="200" w:lineRule="exact"/>
              <w:jc w:val="center"/>
            </w:pPr>
            <w:r>
              <w:rPr>
                <w:rFonts w:hint="eastAsia"/>
              </w:rPr>
              <w:t>2019</w:t>
            </w:r>
          </w:p>
        </w:tc>
        <w:tc>
          <w:tcPr>
            <w:tcW w:w="1215" w:type="dxa"/>
            <w:vAlign w:val="center"/>
          </w:tcPr>
          <w:p>
            <w:pPr>
              <w:pStyle w:val="27"/>
              <w:spacing w:line="200" w:lineRule="exact"/>
              <w:jc w:val="center"/>
            </w:pPr>
            <w:r>
              <w:rPr>
                <w:rFonts w:hint="eastAsia"/>
              </w:rPr>
              <w:t>2020</w:t>
            </w:r>
            <w:r>
              <w:rPr>
                <w:rStyle w:val="24"/>
              </w:rPr>
              <w:footnoteReference w:id="9"/>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435" w:type="dxa"/>
            <w:vAlign w:val="center"/>
          </w:tcPr>
          <w:p>
            <w:pPr>
              <w:pStyle w:val="27"/>
              <w:spacing w:line="200" w:lineRule="exact"/>
              <w:jc w:val="center"/>
              <w:rPr>
                <w:rFonts w:ascii="仿宋" w:hAnsi="仿宋" w:eastAsia="仿宋"/>
              </w:rPr>
            </w:pPr>
            <w:r>
              <w:rPr>
                <w:rFonts w:hint="eastAsia" w:ascii="仿宋" w:hAnsi="仿宋" w:eastAsia="仿宋"/>
              </w:rPr>
              <w:t>公交车保有量</w:t>
            </w:r>
          </w:p>
        </w:tc>
        <w:tc>
          <w:tcPr>
            <w:tcW w:w="1219" w:type="dxa"/>
            <w:vAlign w:val="center"/>
          </w:tcPr>
          <w:p>
            <w:pPr>
              <w:pStyle w:val="27"/>
              <w:spacing w:line="200" w:lineRule="exact"/>
              <w:jc w:val="center"/>
              <w:rPr>
                <w:sz w:val="18"/>
              </w:rPr>
            </w:pPr>
            <w:r>
              <w:rPr>
                <w:rFonts w:hint="eastAsia"/>
              </w:rPr>
              <w:t>14341</w:t>
            </w:r>
          </w:p>
        </w:tc>
        <w:tc>
          <w:tcPr>
            <w:tcW w:w="1219" w:type="dxa"/>
            <w:vAlign w:val="center"/>
          </w:tcPr>
          <w:p>
            <w:pPr>
              <w:pStyle w:val="27"/>
              <w:spacing w:line="200" w:lineRule="exact"/>
              <w:jc w:val="center"/>
              <w:rPr>
                <w:sz w:val="18"/>
              </w:rPr>
            </w:pPr>
            <w:r>
              <w:rPr>
                <w:rFonts w:hint="eastAsia"/>
              </w:rPr>
              <w:t>14711</w:t>
            </w:r>
          </w:p>
        </w:tc>
        <w:tc>
          <w:tcPr>
            <w:tcW w:w="1219" w:type="dxa"/>
            <w:vAlign w:val="center"/>
          </w:tcPr>
          <w:p>
            <w:pPr>
              <w:pStyle w:val="27"/>
              <w:spacing w:line="200" w:lineRule="exact"/>
              <w:jc w:val="center"/>
              <w:rPr>
                <w:sz w:val="18"/>
              </w:rPr>
            </w:pPr>
            <w:r>
              <w:rPr>
                <w:rFonts w:hint="eastAsia"/>
              </w:rPr>
              <w:t>15944</w:t>
            </w:r>
          </w:p>
        </w:tc>
        <w:tc>
          <w:tcPr>
            <w:tcW w:w="1215" w:type="dxa"/>
            <w:vAlign w:val="center"/>
          </w:tcPr>
          <w:p>
            <w:pPr>
              <w:pStyle w:val="27"/>
              <w:spacing w:line="200" w:lineRule="exact"/>
              <w:jc w:val="center"/>
            </w:pPr>
            <w:r>
              <w:rPr>
                <w:rFonts w:hint="eastAsia"/>
              </w:rPr>
              <w:t>17342</w:t>
            </w:r>
          </w:p>
        </w:tc>
        <w:tc>
          <w:tcPr>
            <w:tcW w:w="1215" w:type="dxa"/>
            <w:vAlign w:val="center"/>
          </w:tcPr>
          <w:p>
            <w:pPr>
              <w:pStyle w:val="27"/>
              <w:spacing w:line="200" w:lineRule="exact"/>
              <w:jc w:val="center"/>
            </w:pPr>
            <w:r>
              <w:rPr>
                <w:rFonts w:hint="eastAsia"/>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435" w:type="dxa"/>
            <w:vAlign w:val="center"/>
          </w:tcPr>
          <w:p>
            <w:pPr>
              <w:pStyle w:val="27"/>
              <w:spacing w:line="200" w:lineRule="exact"/>
              <w:jc w:val="center"/>
              <w:rPr>
                <w:rFonts w:ascii="仿宋" w:hAnsi="仿宋" w:eastAsia="仿宋"/>
              </w:rPr>
            </w:pPr>
            <w:r>
              <w:rPr>
                <w:rFonts w:hint="eastAsia" w:ascii="仿宋" w:hAnsi="仿宋" w:eastAsia="仿宋"/>
              </w:rPr>
              <w:t>出租车保有量</w:t>
            </w:r>
          </w:p>
        </w:tc>
        <w:tc>
          <w:tcPr>
            <w:tcW w:w="1219" w:type="dxa"/>
            <w:vAlign w:val="center"/>
          </w:tcPr>
          <w:p>
            <w:pPr>
              <w:pStyle w:val="27"/>
              <w:spacing w:line="200" w:lineRule="exact"/>
              <w:jc w:val="center"/>
            </w:pPr>
            <w:r>
              <w:rPr>
                <w:rFonts w:hint="eastAsia"/>
              </w:rPr>
              <w:t>36232</w:t>
            </w:r>
          </w:p>
        </w:tc>
        <w:tc>
          <w:tcPr>
            <w:tcW w:w="1219" w:type="dxa"/>
            <w:vAlign w:val="center"/>
          </w:tcPr>
          <w:p>
            <w:pPr>
              <w:pStyle w:val="27"/>
              <w:spacing w:line="200" w:lineRule="exact"/>
              <w:jc w:val="center"/>
            </w:pPr>
            <w:r>
              <w:rPr>
                <w:rFonts w:hint="eastAsia"/>
              </w:rPr>
              <w:t>35960</w:t>
            </w:r>
          </w:p>
        </w:tc>
        <w:tc>
          <w:tcPr>
            <w:tcW w:w="1219" w:type="dxa"/>
            <w:vAlign w:val="center"/>
          </w:tcPr>
          <w:p>
            <w:pPr>
              <w:pStyle w:val="27"/>
              <w:spacing w:line="200" w:lineRule="exact"/>
              <w:jc w:val="center"/>
            </w:pPr>
            <w:r>
              <w:rPr>
                <w:rFonts w:hint="eastAsia"/>
              </w:rPr>
              <w:t>35720</w:t>
            </w:r>
          </w:p>
        </w:tc>
        <w:tc>
          <w:tcPr>
            <w:tcW w:w="1215" w:type="dxa"/>
            <w:vAlign w:val="center"/>
          </w:tcPr>
          <w:p>
            <w:pPr>
              <w:pStyle w:val="27"/>
              <w:spacing w:line="200" w:lineRule="exact"/>
              <w:jc w:val="center"/>
            </w:pPr>
            <w:r>
              <w:rPr>
                <w:rFonts w:hint="eastAsia"/>
              </w:rPr>
              <w:t>38320</w:t>
            </w:r>
          </w:p>
        </w:tc>
        <w:tc>
          <w:tcPr>
            <w:tcW w:w="1215" w:type="dxa"/>
            <w:vAlign w:val="center"/>
          </w:tcPr>
          <w:p>
            <w:pPr>
              <w:pStyle w:val="27"/>
              <w:spacing w:line="200" w:lineRule="exact"/>
              <w:jc w:val="center"/>
            </w:pPr>
            <w:r>
              <w:rPr>
                <w:rFonts w:hint="eastAsia"/>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435" w:type="dxa"/>
            <w:vAlign w:val="center"/>
          </w:tcPr>
          <w:p>
            <w:pPr>
              <w:pStyle w:val="27"/>
              <w:spacing w:line="200" w:lineRule="exact"/>
              <w:jc w:val="center"/>
              <w:rPr>
                <w:rFonts w:ascii="仿宋" w:hAnsi="仿宋" w:eastAsia="仿宋"/>
              </w:rPr>
            </w:pPr>
            <w:r>
              <w:rPr>
                <w:rFonts w:hint="eastAsia" w:ascii="仿宋" w:hAnsi="仿宋" w:eastAsia="仿宋"/>
              </w:rPr>
              <w:t>客运班车</w:t>
            </w:r>
          </w:p>
        </w:tc>
        <w:tc>
          <w:tcPr>
            <w:tcW w:w="1219" w:type="dxa"/>
            <w:vAlign w:val="center"/>
          </w:tcPr>
          <w:p>
            <w:pPr>
              <w:pStyle w:val="27"/>
              <w:spacing w:line="200" w:lineRule="exact"/>
              <w:jc w:val="center"/>
            </w:pPr>
            <w:r>
              <w:rPr>
                <w:rFonts w:hint="eastAsia"/>
              </w:rPr>
              <w:t>16645</w:t>
            </w:r>
          </w:p>
        </w:tc>
        <w:tc>
          <w:tcPr>
            <w:tcW w:w="1219" w:type="dxa"/>
            <w:vAlign w:val="center"/>
          </w:tcPr>
          <w:p>
            <w:pPr>
              <w:pStyle w:val="27"/>
              <w:spacing w:line="200" w:lineRule="exact"/>
              <w:jc w:val="center"/>
            </w:pPr>
            <w:r>
              <w:rPr>
                <w:rFonts w:hint="eastAsia"/>
              </w:rPr>
              <w:t>15723</w:t>
            </w:r>
          </w:p>
        </w:tc>
        <w:tc>
          <w:tcPr>
            <w:tcW w:w="1219" w:type="dxa"/>
            <w:vAlign w:val="center"/>
          </w:tcPr>
          <w:p>
            <w:pPr>
              <w:pStyle w:val="27"/>
              <w:spacing w:line="200" w:lineRule="exact"/>
              <w:jc w:val="center"/>
            </w:pPr>
            <w:r>
              <w:rPr>
                <w:rFonts w:hint="eastAsia"/>
              </w:rPr>
              <w:t>14553</w:t>
            </w:r>
          </w:p>
        </w:tc>
        <w:tc>
          <w:tcPr>
            <w:tcW w:w="1215" w:type="dxa"/>
            <w:vAlign w:val="center"/>
          </w:tcPr>
          <w:p>
            <w:pPr>
              <w:pStyle w:val="27"/>
              <w:spacing w:line="200" w:lineRule="exact"/>
              <w:jc w:val="center"/>
            </w:pPr>
            <w:r>
              <w:rPr>
                <w:rFonts w:hint="eastAsia"/>
              </w:rPr>
              <w:t>16156</w:t>
            </w:r>
          </w:p>
        </w:tc>
        <w:tc>
          <w:tcPr>
            <w:tcW w:w="1215" w:type="dxa"/>
            <w:vAlign w:val="center"/>
          </w:tcPr>
          <w:p>
            <w:pPr>
              <w:pStyle w:val="27"/>
              <w:spacing w:line="200" w:lineRule="exact"/>
              <w:jc w:val="center"/>
            </w:pPr>
            <w:r>
              <w:rPr>
                <w:rFonts w:hint="eastAsia"/>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2435" w:type="dxa"/>
            <w:vAlign w:val="center"/>
          </w:tcPr>
          <w:p>
            <w:pPr>
              <w:pStyle w:val="27"/>
              <w:spacing w:line="200" w:lineRule="exact"/>
              <w:jc w:val="center"/>
              <w:rPr>
                <w:rFonts w:ascii="仿宋" w:hAnsi="仿宋" w:eastAsia="仿宋"/>
              </w:rPr>
            </w:pPr>
            <w:r>
              <w:rPr>
                <w:rFonts w:hint="eastAsia" w:ascii="仿宋" w:hAnsi="仿宋" w:eastAsia="仿宋"/>
              </w:rPr>
              <w:t>旅游客车</w:t>
            </w:r>
          </w:p>
        </w:tc>
        <w:tc>
          <w:tcPr>
            <w:tcW w:w="1219" w:type="dxa"/>
            <w:vAlign w:val="center"/>
          </w:tcPr>
          <w:p>
            <w:pPr>
              <w:pStyle w:val="27"/>
              <w:spacing w:line="200" w:lineRule="exact"/>
              <w:jc w:val="center"/>
            </w:pPr>
            <w:r>
              <w:rPr>
                <w:rFonts w:hint="eastAsia"/>
              </w:rPr>
              <w:t>2497</w:t>
            </w:r>
          </w:p>
        </w:tc>
        <w:tc>
          <w:tcPr>
            <w:tcW w:w="1219" w:type="dxa"/>
            <w:vAlign w:val="center"/>
          </w:tcPr>
          <w:p>
            <w:pPr>
              <w:pStyle w:val="27"/>
              <w:spacing w:line="200" w:lineRule="exact"/>
              <w:jc w:val="center"/>
            </w:pPr>
            <w:r>
              <w:rPr>
                <w:rFonts w:hint="eastAsia"/>
              </w:rPr>
              <w:t>2888</w:t>
            </w:r>
          </w:p>
        </w:tc>
        <w:tc>
          <w:tcPr>
            <w:tcW w:w="1219" w:type="dxa"/>
            <w:vAlign w:val="center"/>
          </w:tcPr>
          <w:p>
            <w:pPr>
              <w:pStyle w:val="27"/>
              <w:spacing w:line="200" w:lineRule="exact"/>
              <w:jc w:val="center"/>
            </w:pPr>
            <w:r>
              <w:rPr>
                <w:rFonts w:hint="eastAsia"/>
              </w:rPr>
              <w:t>3654</w:t>
            </w:r>
          </w:p>
        </w:tc>
        <w:tc>
          <w:tcPr>
            <w:tcW w:w="1215" w:type="dxa"/>
            <w:vAlign w:val="center"/>
          </w:tcPr>
          <w:p>
            <w:pPr>
              <w:pStyle w:val="27"/>
              <w:spacing w:line="200" w:lineRule="exact"/>
              <w:jc w:val="center"/>
            </w:pPr>
            <w:r>
              <w:rPr>
                <w:rFonts w:hint="eastAsia"/>
              </w:rPr>
              <w:t>5095</w:t>
            </w:r>
          </w:p>
        </w:tc>
        <w:tc>
          <w:tcPr>
            <w:tcW w:w="1215" w:type="dxa"/>
            <w:vAlign w:val="center"/>
          </w:tcPr>
          <w:p>
            <w:pPr>
              <w:pStyle w:val="27"/>
              <w:spacing w:line="200" w:lineRule="exact"/>
              <w:jc w:val="center"/>
            </w:pPr>
            <w:r>
              <w:rPr>
                <w:rFonts w:hint="eastAsia"/>
              </w:rPr>
              <w:t>5500</w:t>
            </w:r>
          </w:p>
        </w:tc>
      </w:tr>
    </w:tbl>
    <w:p>
      <w:pPr>
        <w:pStyle w:val="26"/>
        <w:spacing w:line="240" w:lineRule="auto"/>
        <w:ind w:firstLine="0"/>
        <w:rPr>
          <w:bCs/>
          <w:sz w:val="22"/>
          <w:szCs w:val="22"/>
        </w:rPr>
      </w:pPr>
    </w:p>
    <w:p>
      <w:pPr>
        <w:pStyle w:val="26"/>
        <w:spacing w:line="240" w:lineRule="auto"/>
        <w:ind w:firstLine="0"/>
        <w:rPr>
          <w:bCs/>
          <w:sz w:val="22"/>
          <w:szCs w:val="22"/>
        </w:rPr>
      </w:pPr>
    </w:p>
    <w:p>
      <w:pPr>
        <w:pStyle w:val="26"/>
        <w:spacing w:line="240" w:lineRule="auto"/>
        <w:ind w:firstLine="0"/>
        <w:rPr>
          <w:bCs/>
          <w:sz w:val="22"/>
          <w:szCs w:val="22"/>
        </w:rPr>
      </w:pPr>
      <w:r>
        <w:drawing>
          <wp:inline distT="0" distB="0" distL="114300" distR="114300">
            <wp:extent cx="5340985" cy="2303780"/>
            <wp:effectExtent l="4445" t="4445" r="13970" b="1587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adjustRightInd w:val="0"/>
        <w:snapToGrid w:val="0"/>
        <w:spacing w:afterLines="50"/>
        <w:ind w:firstLine="482" w:firstLineChars="200"/>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 xml:space="preserve">图15  </w:t>
      </w:r>
      <w:r>
        <w:rPr>
          <w:rFonts w:ascii="Times New Roman" w:hAnsi="Times New Roman" w:eastAsia="仿宋_GB2312" w:cs="Times New Roman"/>
          <w:b/>
          <w:bCs/>
          <w:sz w:val="24"/>
        </w:rPr>
        <w:t>2016-20</w:t>
      </w:r>
      <w:r>
        <w:rPr>
          <w:rFonts w:hint="eastAsia" w:ascii="Times New Roman" w:hAnsi="Times New Roman" w:eastAsia="仿宋_GB2312" w:cs="Times New Roman"/>
          <w:b/>
          <w:bCs/>
          <w:sz w:val="24"/>
        </w:rPr>
        <w:t>19</w:t>
      </w:r>
      <w:r>
        <w:rPr>
          <w:rFonts w:ascii="Times New Roman" w:hAnsi="Times New Roman" w:eastAsia="仿宋_GB2312" w:cs="Times New Roman"/>
          <w:b/>
          <w:bCs/>
          <w:sz w:val="24"/>
        </w:rPr>
        <w:t>年</w:t>
      </w:r>
      <w:r>
        <w:rPr>
          <w:rFonts w:hint="eastAsia" w:ascii="Times New Roman" w:hAnsi="Times New Roman" w:eastAsia="仿宋_GB2312" w:cs="Times New Roman"/>
          <w:b/>
          <w:bCs/>
          <w:sz w:val="24"/>
        </w:rPr>
        <w:t>全省多类车型保有量</w:t>
      </w:r>
    </w:p>
    <w:p>
      <w:pPr>
        <w:pStyle w:val="2"/>
      </w:pPr>
    </w:p>
    <w:p>
      <w:pPr>
        <w:pStyle w:val="2"/>
      </w:pPr>
    </w:p>
    <w:p>
      <w:pPr>
        <w:pStyle w:val="2"/>
      </w:pPr>
    </w:p>
    <w:p>
      <w:pPr>
        <w:pStyle w:val="26"/>
        <w:spacing w:beforeLines="50" w:line="240" w:lineRule="auto"/>
        <w:ind w:firstLine="0"/>
        <w:rPr>
          <w:bCs/>
          <w:sz w:val="22"/>
          <w:szCs w:val="22"/>
        </w:rPr>
      </w:pPr>
      <w:r>
        <w:rPr>
          <w:rFonts w:hint="eastAsia" w:eastAsia="仿宋_GB2312"/>
          <w:bCs/>
          <w:sz w:val="24"/>
          <w:szCs w:val="24"/>
        </w:rPr>
        <w:t>表14  陕西省部分领域新能源汽车应用情况</w:t>
      </w:r>
      <w:r>
        <w:rPr>
          <w:rStyle w:val="24"/>
          <w:bCs/>
          <w:sz w:val="22"/>
          <w:szCs w:val="22"/>
        </w:rPr>
        <w:footnoteReference w:id="10"/>
      </w:r>
    </w:p>
    <w:tbl>
      <w:tblPr>
        <w:tblStyle w:val="17"/>
        <w:tblW w:w="8522" w:type="dxa"/>
        <w:jc w:val="center"/>
        <w:tblLayout w:type="fixed"/>
        <w:tblCellMar>
          <w:top w:w="0" w:type="dxa"/>
          <w:left w:w="108" w:type="dxa"/>
          <w:bottom w:w="0" w:type="dxa"/>
          <w:right w:w="108" w:type="dxa"/>
        </w:tblCellMar>
      </w:tblPr>
      <w:tblGrid>
        <w:gridCol w:w="2487"/>
        <w:gridCol w:w="2664"/>
        <w:gridCol w:w="3371"/>
      </w:tblGrid>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vAlign w:val="center"/>
          </w:tcPr>
          <w:p>
            <w:pPr>
              <w:pStyle w:val="27"/>
              <w:jc w:val="center"/>
            </w:pP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截</w:t>
            </w:r>
            <w:r>
              <w:rPr>
                <w:rFonts w:hint="eastAsia" w:ascii="仿宋" w:hAnsi="仿宋" w:eastAsia="仿宋"/>
                <w:lang w:eastAsia="zh-CN"/>
              </w:rPr>
              <w:t>至</w:t>
            </w:r>
            <w:r>
              <w:t>2019</w:t>
            </w:r>
            <w:r>
              <w:rPr>
                <w:rFonts w:hint="eastAsia" w:ascii="仿宋" w:hAnsi="仿宋" w:eastAsia="仿宋"/>
              </w:rPr>
              <w:t>年底</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rPr>
                <w:rFonts w:ascii="仿宋" w:hAnsi="仿宋" w:eastAsia="仿宋"/>
              </w:rPr>
            </w:pPr>
            <w:r>
              <w:rPr>
                <w:rFonts w:hint="eastAsia" w:ascii="仿宋" w:hAnsi="仿宋" w:eastAsia="仿宋"/>
              </w:rPr>
              <w:t>截</w:t>
            </w:r>
            <w:r>
              <w:rPr>
                <w:rFonts w:hint="eastAsia" w:ascii="仿宋" w:hAnsi="仿宋" w:eastAsia="仿宋"/>
                <w:lang w:eastAsia="zh-CN"/>
              </w:rPr>
              <w:t>至</w:t>
            </w:r>
            <w:r>
              <w:t>2020</w:t>
            </w:r>
            <w:r>
              <w:rPr>
                <w:rFonts w:hint="eastAsia" w:ascii="仿宋" w:hAnsi="仿宋" w:eastAsia="仿宋"/>
              </w:rPr>
              <w:t>年底</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公交</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5721</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rPr>
                <w:rFonts w:hint="eastAsia"/>
              </w:rPr>
              <w:t>9700</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环卫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355</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t>541</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邮政</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656</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t>744</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出租</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16267</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t>19763</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通勤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99</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t>146</w:t>
            </w:r>
          </w:p>
        </w:tc>
      </w:tr>
      <w:tr>
        <w:tblPrEx>
          <w:tblCellMar>
            <w:top w:w="0" w:type="dxa"/>
            <w:left w:w="108" w:type="dxa"/>
            <w:bottom w:w="0" w:type="dxa"/>
            <w:right w:w="108" w:type="dxa"/>
          </w:tblCellMar>
        </w:tblPrEx>
        <w:trPr>
          <w:jc w:val="center"/>
        </w:trPr>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rPr>
                <w:rFonts w:ascii="仿宋" w:hAnsi="仿宋" w:eastAsia="仿宋"/>
              </w:rPr>
            </w:pPr>
            <w:r>
              <w:rPr>
                <w:rFonts w:hint="eastAsia" w:ascii="仿宋" w:hAnsi="仿宋" w:eastAsia="仿宋"/>
              </w:rPr>
              <w:t>轻型物流配送</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7"/>
              <w:jc w:val="center"/>
            </w:pPr>
            <w:r>
              <w:t>2308</w:t>
            </w:r>
          </w:p>
        </w:tc>
        <w:tc>
          <w:tcPr>
            <w:tcW w:w="33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27"/>
              <w:jc w:val="center"/>
            </w:pPr>
            <w:r>
              <w:t>20336</w:t>
            </w:r>
          </w:p>
        </w:tc>
      </w:tr>
    </w:tbl>
    <w:p>
      <w:pPr>
        <w:pStyle w:val="26"/>
        <w:spacing w:afterLines="50" w:line="240" w:lineRule="auto"/>
        <w:ind w:firstLine="0"/>
        <w:rPr>
          <w:bCs/>
          <w:sz w:val="22"/>
          <w:szCs w:val="22"/>
        </w:rPr>
      </w:pPr>
      <w:r>
        <w:rPr>
          <w:sz w:val="22"/>
        </w:rPr>
        <w:pict>
          <v:rect id="_x0000_s5122" o:spid="_x0000_s5122" o:spt="1" style="position:absolute;left:0pt;margin-left:294.7pt;margin-top:139.45pt;height:15.8pt;width:23.55pt;z-index:251659264;mso-width-relative:page;mso-height-relative:page;" stroked="t" coordsize="21600,21600">
            <v:path/>
            <v:fill focussize="0,0"/>
            <v:stroke color="#FFFFFF"/>
            <v:imagedata o:title=""/>
            <o:lock v:ext="edit"/>
          </v:rect>
        </w:pict>
      </w:r>
      <w:r>
        <w:rPr>
          <w:rFonts w:hint="eastAsia"/>
          <w:bCs/>
          <w:sz w:val="22"/>
          <w:szCs w:val="22"/>
        </w:rPr>
        <w:drawing>
          <wp:inline distT="0" distB="0" distL="0" distR="0">
            <wp:extent cx="5231765" cy="2011680"/>
            <wp:effectExtent l="0" t="0" r="0" b="0"/>
            <wp:docPr id="5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eastAsia" w:eastAsia="仿宋_GB2312"/>
          <w:bCs/>
          <w:sz w:val="24"/>
          <w:szCs w:val="24"/>
        </w:rPr>
        <w:t>图16  陕西省部分领域新能源汽车应用情况</w:t>
      </w:r>
    </w:p>
    <w:p>
      <w:pPr>
        <w:pStyle w:val="2"/>
        <w:spacing w:line="580" w:lineRule="exact"/>
        <w:ind w:firstLine="0" w:firstLineChars="0"/>
        <w:jc w:val="center"/>
        <w:rPr>
          <w:rFonts w:asciiTheme="minorEastAsia" w:hAnsiTheme="minorEastAsia" w:eastAsiaTheme="minorEastAsia"/>
          <w:b/>
          <w:sz w:val="22"/>
          <w:szCs w:val="48"/>
        </w:rPr>
      </w:pPr>
      <w:r>
        <w:rPr>
          <w:rFonts w:eastAsia="仿宋_GB2312"/>
          <w:b/>
          <w:bCs/>
          <w:sz w:val="24"/>
        </w:rPr>
        <w:t>表1</w:t>
      </w:r>
      <w:r>
        <w:rPr>
          <w:rFonts w:hint="eastAsia" w:eastAsia="仿宋_GB2312"/>
          <w:b/>
          <w:bCs/>
          <w:sz w:val="24"/>
        </w:rPr>
        <w:t>5  省内电动汽车渗透率现状</w:t>
      </w:r>
      <w:r>
        <w:rPr>
          <w:rStyle w:val="24"/>
          <w:rFonts w:eastAsiaTheme="minorEastAsia"/>
          <w:b/>
          <w:sz w:val="22"/>
          <w:szCs w:val="48"/>
        </w:rPr>
        <w:footnoteReference w:id="11"/>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48"/>
        <w:gridCol w:w="859"/>
        <w:gridCol w:w="859"/>
        <w:gridCol w:w="859"/>
        <w:gridCol w:w="859"/>
        <w:gridCol w:w="859"/>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1" w:type="dxa"/>
            <w:vAlign w:val="center"/>
          </w:tcPr>
          <w:p>
            <w:pPr>
              <w:pStyle w:val="2"/>
              <w:spacing w:line="300" w:lineRule="exact"/>
              <w:ind w:firstLine="0" w:firstLineChars="0"/>
              <w:jc w:val="center"/>
              <w:rPr>
                <w:rFonts w:eastAsia="仿宋"/>
                <w:sz w:val="20"/>
                <w:szCs w:val="48"/>
              </w:rPr>
            </w:pPr>
            <w:r>
              <w:rPr>
                <w:rFonts w:hint="eastAsia" w:eastAsia="仿宋"/>
                <w:sz w:val="20"/>
                <w:szCs w:val="48"/>
              </w:rPr>
              <w:t>车辆类型</w:t>
            </w:r>
          </w:p>
        </w:tc>
        <w:tc>
          <w:tcPr>
            <w:tcW w:w="648" w:type="dxa"/>
            <w:vAlign w:val="center"/>
          </w:tcPr>
          <w:p>
            <w:pPr>
              <w:pStyle w:val="2"/>
              <w:spacing w:line="300" w:lineRule="exact"/>
              <w:ind w:firstLine="0" w:firstLineChars="0"/>
              <w:jc w:val="center"/>
              <w:rPr>
                <w:rFonts w:eastAsia="仿宋"/>
                <w:sz w:val="20"/>
                <w:szCs w:val="48"/>
              </w:rPr>
            </w:pPr>
            <w:r>
              <w:rPr>
                <w:rFonts w:hint="eastAsia" w:eastAsia="仿宋"/>
                <w:sz w:val="20"/>
                <w:szCs w:val="48"/>
              </w:rPr>
              <w:t>合计</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公交车</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巡游出租车</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环卫车</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网约出租车</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私家车</w:t>
            </w:r>
          </w:p>
        </w:tc>
        <w:tc>
          <w:tcPr>
            <w:tcW w:w="648" w:type="dxa"/>
            <w:vAlign w:val="center"/>
          </w:tcPr>
          <w:p>
            <w:pPr>
              <w:pStyle w:val="2"/>
              <w:spacing w:line="300" w:lineRule="exact"/>
              <w:ind w:firstLine="0" w:firstLineChars="0"/>
              <w:jc w:val="center"/>
              <w:rPr>
                <w:rFonts w:eastAsia="仿宋"/>
                <w:sz w:val="20"/>
                <w:szCs w:val="48"/>
              </w:rPr>
            </w:pPr>
            <w:r>
              <w:rPr>
                <w:rFonts w:hint="eastAsia" w:eastAsia="仿宋"/>
                <w:sz w:val="20"/>
                <w:szCs w:val="48"/>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1" w:type="dxa"/>
            <w:vAlign w:val="center"/>
          </w:tcPr>
          <w:p>
            <w:pPr>
              <w:pStyle w:val="2"/>
              <w:spacing w:line="300" w:lineRule="exact"/>
              <w:ind w:firstLine="0" w:firstLineChars="0"/>
              <w:jc w:val="center"/>
              <w:rPr>
                <w:rFonts w:eastAsia="仿宋"/>
                <w:sz w:val="20"/>
                <w:szCs w:val="48"/>
              </w:rPr>
            </w:pPr>
            <w:r>
              <w:rPr>
                <w:rFonts w:hint="eastAsia" w:eastAsia="仿宋"/>
                <w:sz w:val="20"/>
                <w:szCs w:val="48"/>
              </w:rPr>
              <w:t>电动汽车保有量渗透率（</w:t>
            </w:r>
            <w:r>
              <w:rPr>
                <w:rFonts w:eastAsia="仿宋"/>
                <w:sz w:val="20"/>
                <w:szCs w:val="48"/>
              </w:rPr>
              <w:t>%</w:t>
            </w:r>
            <w:r>
              <w:rPr>
                <w:rFonts w:hint="eastAsia" w:eastAsia="仿宋"/>
                <w:sz w:val="20"/>
                <w:szCs w:val="48"/>
              </w:rPr>
              <w:t>）</w:t>
            </w:r>
          </w:p>
        </w:tc>
        <w:tc>
          <w:tcPr>
            <w:tcW w:w="648" w:type="dxa"/>
            <w:vAlign w:val="center"/>
          </w:tcPr>
          <w:p>
            <w:pPr>
              <w:pStyle w:val="2"/>
              <w:spacing w:line="300" w:lineRule="exact"/>
              <w:ind w:firstLine="0" w:firstLineChars="0"/>
              <w:jc w:val="center"/>
              <w:rPr>
                <w:rFonts w:eastAsia="仿宋"/>
                <w:sz w:val="20"/>
                <w:szCs w:val="48"/>
              </w:rPr>
            </w:pPr>
            <w:r>
              <w:rPr>
                <w:rFonts w:eastAsia="仿宋"/>
                <w:sz w:val="20"/>
                <w:szCs w:val="48"/>
              </w:rPr>
              <w:t>1.7</w:t>
            </w:r>
          </w:p>
        </w:tc>
        <w:tc>
          <w:tcPr>
            <w:tcW w:w="859" w:type="dxa"/>
            <w:vAlign w:val="center"/>
          </w:tcPr>
          <w:p>
            <w:pPr>
              <w:pStyle w:val="2"/>
              <w:spacing w:line="300" w:lineRule="exact"/>
              <w:ind w:firstLine="0" w:firstLineChars="0"/>
              <w:jc w:val="center"/>
              <w:rPr>
                <w:rFonts w:eastAsia="仿宋"/>
                <w:sz w:val="20"/>
                <w:szCs w:val="48"/>
              </w:rPr>
            </w:pPr>
            <w:r>
              <w:rPr>
                <w:rFonts w:hint="eastAsia" w:eastAsia="仿宋"/>
                <w:sz w:val="20"/>
                <w:szCs w:val="48"/>
              </w:rPr>
              <w:t>53.9</w:t>
            </w:r>
          </w:p>
        </w:tc>
        <w:tc>
          <w:tcPr>
            <w:tcW w:w="859" w:type="dxa"/>
            <w:vAlign w:val="center"/>
          </w:tcPr>
          <w:p>
            <w:pPr>
              <w:pStyle w:val="2"/>
              <w:spacing w:line="300" w:lineRule="exact"/>
              <w:ind w:firstLine="0" w:firstLineChars="0"/>
              <w:jc w:val="center"/>
              <w:rPr>
                <w:rFonts w:eastAsia="仿宋"/>
                <w:sz w:val="20"/>
                <w:szCs w:val="48"/>
              </w:rPr>
            </w:pPr>
            <w:r>
              <w:rPr>
                <w:rFonts w:eastAsia="仿宋"/>
                <w:sz w:val="20"/>
                <w:szCs w:val="48"/>
              </w:rPr>
              <w:t>30</w:t>
            </w:r>
          </w:p>
        </w:tc>
        <w:tc>
          <w:tcPr>
            <w:tcW w:w="859" w:type="dxa"/>
            <w:vAlign w:val="center"/>
          </w:tcPr>
          <w:p>
            <w:pPr>
              <w:pStyle w:val="2"/>
              <w:spacing w:line="300" w:lineRule="exact"/>
              <w:ind w:firstLine="0" w:firstLineChars="0"/>
              <w:jc w:val="center"/>
              <w:rPr>
                <w:rFonts w:eastAsia="仿宋"/>
                <w:sz w:val="20"/>
                <w:szCs w:val="48"/>
              </w:rPr>
            </w:pPr>
            <w:r>
              <w:rPr>
                <w:rFonts w:eastAsia="仿宋"/>
                <w:sz w:val="20"/>
                <w:szCs w:val="48"/>
              </w:rPr>
              <w:t>8.6</w:t>
            </w:r>
          </w:p>
        </w:tc>
        <w:tc>
          <w:tcPr>
            <w:tcW w:w="859" w:type="dxa"/>
            <w:vAlign w:val="center"/>
          </w:tcPr>
          <w:p>
            <w:pPr>
              <w:pStyle w:val="2"/>
              <w:spacing w:line="300" w:lineRule="exact"/>
              <w:ind w:firstLine="0" w:firstLineChars="0"/>
              <w:jc w:val="center"/>
              <w:rPr>
                <w:rFonts w:eastAsia="仿宋"/>
                <w:sz w:val="20"/>
                <w:szCs w:val="48"/>
              </w:rPr>
            </w:pPr>
            <w:r>
              <w:rPr>
                <w:rFonts w:eastAsia="仿宋"/>
                <w:sz w:val="20"/>
                <w:szCs w:val="48"/>
              </w:rPr>
              <w:t>61.7</w:t>
            </w:r>
          </w:p>
        </w:tc>
        <w:tc>
          <w:tcPr>
            <w:tcW w:w="859" w:type="dxa"/>
            <w:vAlign w:val="center"/>
          </w:tcPr>
          <w:p>
            <w:pPr>
              <w:pStyle w:val="2"/>
              <w:spacing w:line="300" w:lineRule="exact"/>
              <w:ind w:firstLine="0" w:firstLineChars="0"/>
              <w:jc w:val="center"/>
              <w:rPr>
                <w:rFonts w:eastAsia="仿宋"/>
                <w:sz w:val="20"/>
                <w:szCs w:val="48"/>
              </w:rPr>
            </w:pPr>
            <w:r>
              <w:rPr>
                <w:rFonts w:eastAsia="仿宋"/>
                <w:sz w:val="20"/>
                <w:szCs w:val="48"/>
              </w:rPr>
              <w:t>0.8</w:t>
            </w:r>
          </w:p>
        </w:tc>
        <w:tc>
          <w:tcPr>
            <w:tcW w:w="648" w:type="dxa"/>
            <w:vAlign w:val="center"/>
          </w:tcPr>
          <w:p>
            <w:pPr>
              <w:pStyle w:val="2"/>
              <w:spacing w:line="300" w:lineRule="exact"/>
              <w:ind w:firstLine="0" w:firstLineChars="0"/>
              <w:jc w:val="center"/>
              <w:rPr>
                <w:rFonts w:eastAsia="仿宋"/>
                <w:sz w:val="20"/>
                <w:szCs w:val="48"/>
              </w:rPr>
            </w:pPr>
            <w:r>
              <w:rPr>
                <w:rFonts w:hint="eastAsia" w:eastAsia="仿宋"/>
                <w:sz w:val="20"/>
                <w:szCs w:val="48"/>
              </w:rPr>
              <w:t>0.48</w:t>
            </w:r>
          </w:p>
        </w:tc>
      </w:tr>
    </w:tbl>
    <w:p>
      <w:pPr>
        <w:pStyle w:val="26"/>
        <w:spacing w:beforeLines="50" w:line="580" w:lineRule="exact"/>
        <w:ind w:firstLine="0"/>
        <w:rPr>
          <w:rFonts w:eastAsia="仿宋_GB2312"/>
          <w:bCs/>
          <w:sz w:val="24"/>
          <w:szCs w:val="24"/>
        </w:rPr>
      </w:pPr>
      <w:r>
        <w:rPr>
          <w:rFonts w:hint="eastAsia" w:eastAsia="仿宋_GB2312"/>
          <w:bCs/>
          <w:sz w:val="24"/>
          <w:szCs w:val="24"/>
        </w:rPr>
        <w:t xml:space="preserve">表16  </w:t>
      </w:r>
      <w:r>
        <w:rPr>
          <w:rFonts w:eastAsia="仿宋_GB2312"/>
          <w:bCs/>
          <w:sz w:val="24"/>
          <w:szCs w:val="24"/>
        </w:rPr>
        <w:t>2021-2025</w:t>
      </w:r>
      <w:r>
        <w:rPr>
          <w:rFonts w:hint="eastAsia" w:eastAsia="仿宋_GB2312"/>
          <w:bCs/>
          <w:sz w:val="24"/>
          <w:szCs w:val="24"/>
        </w:rPr>
        <w:t>年电动公交车推广预测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0"/>
        <w:gridCol w:w="954"/>
        <w:gridCol w:w="941"/>
        <w:gridCol w:w="954"/>
        <w:gridCol w:w="902"/>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0" w:type="dxa"/>
            <w:vAlign w:val="center"/>
          </w:tcPr>
          <w:p>
            <w:pPr>
              <w:pStyle w:val="27"/>
              <w:spacing w:line="300" w:lineRule="exact"/>
              <w:jc w:val="center"/>
              <w:rPr>
                <w:rFonts w:ascii="仿宋" w:hAnsi="仿宋" w:eastAsia="仿宋"/>
              </w:rPr>
            </w:pPr>
            <w:r>
              <w:rPr>
                <w:rFonts w:hint="eastAsia" w:ascii="仿宋" w:hAnsi="仿宋" w:eastAsia="仿宋"/>
              </w:rPr>
              <w:t>年份</w:t>
            </w:r>
          </w:p>
        </w:tc>
        <w:tc>
          <w:tcPr>
            <w:tcW w:w="954" w:type="dxa"/>
            <w:vAlign w:val="center"/>
          </w:tcPr>
          <w:p>
            <w:pPr>
              <w:pStyle w:val="27"/>
              <w:spacing w:line="300" w:lineRule="exact"/>
              <w:jc w:val="center"/>
            </w:pPr>
            <w:r>
              <w:rPr>
                <w:rFonts w:hint="eastAsia"/>
              </w:rPr>
              <w:t>2021</w:t>
            </w:r>
          </w:p>
        </w:tc>
        <w:tc>
          <w:tcPr>
            <w:tcW w:w="941" w:type="dxa"/>
            <w:vAlign w:val="center"/>
          </w:tcPr>
          <w:p>
            <w:pPr>
              <w:pStyle w:val="27"/>
              <w:spacing w:line="300" w:lineRule="exact"/>
              <w:jc w:val="center"/>
            </w:pPr>
            <w:r>
              <w:rPr>
                <w:rFonts w:hint="eastAsia"/>
              </w:rPr>
              <w:t>2022</w:t>
            </w:r>
          </w:p>
        </w:tc>
        <w:tc>
          <w:tcPr>
            <w:tcW w:w="954" w:type="dxa"/>
            <w:vAlign w:val="center"/>
          </w:tcPr>
          <w:p>
            <w:pPr>
              <w:pStyle w:val="27"/>
              <w:spacing w:line="300" w:lineRule="exact"/>
              <w:jc w:val="center"/>
            </w:pPr>
            <w:r>
              <w:rPr>
                <w:rFonts w:hint="eastAsia"/>
              </w:rPr>
              <w:t>2023</w:t>
            </w:r>
          </w:p>
        </w:tc>
        <w:tc>
          <w:tcPr>
            <w:tcW w:w="902" w:type="dxa"/>
            <w:vAlign w:val="center"/>
          </w:tcPr>
          <w:p>
            <w:pPr>
              <w:pStyle w:val="27"/>
              <w:spacing w:line="300" w:lineRule="exact"/>
              <w:jc w:val="center"/>
            </w:pPr>
            <w:r>
              <w:rPr>
                <w:rFonts w:hint="eastAsia"/>
              </w:rPr>
              <w:t>2024</w:t>
            </w:r>
          </w:p>
        </w:tc>
        <w:tc>
          <w:tcPr>
            <w:tcW w:w="861" w:type="dxa"/>
            <w:vAlign w:val="center"/>
          </w:tcPr>
          <w:p>
            <w:pPr>
              <w:pStyle w:val="27"/>
              <w:spacing w:line="300" w:lineRule="exact"/>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0" w:type="dxa"/>
            <w:vAlign w:val="center"/>
          </w:tcPr>
          <w:p>
            <w:pPr>
              <w:pStyle w:val="27"/>
              <w:spacing w:line="300" w:lineRule="exact"/>
              <w:jc w:val="center"/>
              <w:rPr>
                <w:rFonts w:ascii="仿宋" w:hAnsi="仿宋" w:eastAsia="仿宋"/>
              </w:rPr>
            </w:pPr>
            <w:r>
              <w:rPr>
                <w:rFonts w:hint="eastAsia" w:ascii="仿宋" w:hAnsi="仿宋" w:eastAsia="仿宋"/>
              </w:rPr>
              <w:t>公交车总保有量预计（万辆）</w:t>
            </w:r>
          </w:p>
        </w:tc>
        <w:tc>
          <w:tcPr>
            <w:tcW w:w="954" w:type="dxa"/>
            <w:vAlign w:val="center"/>
          </w:tcPr>
          <w:p>
            <w:pPr>
              <w:pStyle w:val="27"/>
              <w:spacing w:line="300" w:lineRule="exact"/>
              <w:jc w:val="center"/>
            </w:pPr>
            <w:r>
              <w:t>1</w:t>
            </w:r>
            <w:r>
              <w:rPr>
                <w:rFonts w:hint="eastAsia"/>
              </w:rPr>
              <w:t>.</w:t>
            </w:r>
            <w:r>
              <w:t>9</w:t>
            </w:r>
          </w:p>
        </w:tc>
        <w:tc>
          <w:tcPr>
            <w:tcW w:w="941" w:type="dxa"/>
            <w:vAlign w:val="center"/>
          </w:tcPr>
          <w:p>
            <w:pPr>
              <w:pStyle w:val="27"/>
              <w:spacing w:line="300" w:lineRule="exact"/>
              <w:jc w:val="center"/>
            </w:pPr>
            <w:r>
              <w:t>2</w:t>
            </w:r>
            <w:r>
              <w:rPr>
                <w:rFonts w:hint="eastAsia"/>
              </w:rPr>
              <w:t>.</w:t>
            </w:r>
            <w:r>
              <w:t>0</w:t>
            </w:r>
          </w:p>
        </w:tc>
        <w:tc>
          <w:tcPr>
            <w:tcW w:w="954" w:type="dxa"/>
            <w:vAlign w:val="center"/>
          </w:tcPr>
          <w:p>
            <w:pPr>
              <w:pStyle w:val="27"/>
              <w:spacing w:line="300" w:lineRule="exact"/>
              <w:jc w:val="center"/>
            </w:pPr>
            <w:r>
              <w:t>2</w:t>
            </w:r>
            <w:r>
              <w:rPr>
                <w:rFonts w:hint="eastAsia"/>
              </w:rPr>
              <w:t>.</w:t>
            </w:r>
            <w:r>
              <w:t>1</w:t>
            </w:r>
          </w:p>
        </w:tc>
        <w:tc>
          <w:tcPr>
            <w:tcW w:w="902" w:type="dxa"/>
            <w:vAlign w:val="center"/>
          </w:tcPr>
          <w:p>
            <w:pPr>
              <w:pStyle w:val="27"/>
              <w:spacing w:line="300" w:lineRule="exact"/>
              <w:jc w:val="center"/>
            </w:pPr>
            <w:r>
              <w:t>2</w:t>
            </w:r>
            <w:r>
              <w:rPr>
                <w:rFonts w:hint="eastAsia"/>
              </w:rPr>
              <w:t>.</w:t>
            </w:r>
            <w:r>
              <w:t>2</w:t>
            </w:r>
          </w:p>
        </w:tc>
        <w:tc>
          <w:tcPr>
            <w:tcW w:w="861" w:type="dxa"/>
            <w:vAlign w:val="center"/>
          </w:tcPr>
          <w:p>
            <w:pPr>
              <w:pStyle w:val="27"/>
              <w:spacing w:line="300" w:lineRule="exact"/>
              <w:jc w:val="center"/>
            </w:pPr>
            <w:r>
              <w:t>2</w:t>
            </w:r>
            <w:r>
              <w:rPr>
                <w:rFonts w:hint="eastAsia"/>
              </w:rPr>
              <w:t>.</w:t>
            </w: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0" w:type="dxa"/>
            <w:vAlign w:val="center"/>
          </w:tcPr>
          <w:p>
            <w:pPr>
              <w:pStyle w:val="27"/>
              <w:spacing w:line="300" w:lineRule="exact"/>
              <w:jc w:val="center"/>
              <w:rPr>
                <w:rFonts w:ascii="仿宋" w:hAnsi="仿宋" w:eastAsia="仿宋"/>
              </w:rPr>
            </w:pPr>
            <w:r>
              <w:rPr>
                <w:rFonts w:hint="eastAsia" w:ascii="仿宋" w:hAnsi="仿宋" w:eastAsia="仿宋"/>
              </w:rPr>
              <w:t>电动公交车保有量</w:t>
            </w:r>
            <w:r>
              <w:rPr>
                <w:rFonts w:ascii="仿宋" w:hAnsi="仿宋" w:eastAsia="仿宋"/>
              </w:rPr>
              <w:t>(</w:t>
            </w:r>
            <w:r>
              <w:rPr>
                <w:rFonts w:hint="eastAsia" w:ascii="仿宋" w:hAnsi="仿宋" w:eastAsia="仿宋"/>
              </w:rPr>
              <w:t>万辆</w:t>
            </w:r>
            <w:r>
              <w:rPr>
                <w:rFonts w:ascii="仿宋" w:hAnsi="仿宋" w:eastAsia="仿宋"/>
              </w:rPr>
              <w:t>)</w:t>
            </w:r>
          </w:p>
        </w:tc>
        <w:tc>
          <w:tcPr>
            <w:tcW w:w="954" w:type="dxa"/>
            <w:vAlign w:val="center"/>
          </w:tcPr>
          <w:p>
            <w:pPr>
              <w:pStyle w:val="27"/>
              <w:spacing w:line="300" w:lineRule="exact"/>
              <w:jc w:val="center"/>
            </w:pPr>
            <w:r>
              <w:t>1.</w:t>
            </w:r>
            <w:r>
              <w:rPr>
                <w:rFonts w:hint="eastAsia"/>
              </w:rPr>
              <w:t>1</w:t>
            </w:r>
          </w:p>
        </w:tc>
        <w:tc>
          <w:tcPr>
            <w:tcW w:w="941" w:type="dxa"/>
            <w:vAlign w:val="center"/>
          </w:tcPr>
          <w:p>
            <w:pPr>
              <w:pStyle w:val="27"/>
              <w:spacing w:line="300" w:lineRule="exact"/>
              <w:jc w:val="center"/>
            </w:pPr>
            <w:r>
              <w:t>1.</w:t>
            </w:r>
            <w:r>
              <w:rPr>
                <w:rFonts w:hint="eastAsia"/>
              </w:rPr>
              <w:t>3</w:t>
            </w:r>
          </w:p>
        </w:tc>
        <w:tc>
          <w:tcPr>
            <w:tcW w:w="954" w:type="dxa"/>
            <w:vAlign w:val="center"/>
          </w:tcPr>
          <w:p>
            <w:pPr>
              <w:pStyle w:val="27"/>
              <w:spacing w:line="300" w:lineRule="exact"/>
              <w:jc w:val="center"/>
            </w:pPr>
            <w:r>
              <w:t>1.</w:t>
            </w:r>
            <w:r>
              <w:rPr>
                <w:rFonts w:hint="eastAsia"/>
              </w:rPr>
              <w:t>5</w:t>
            </w:r>
          </w:p>
        </w:tc>
        <w:tc>
          <w:tcPr>
            <w:tcW w:w="902" w:type="dxa"/>
            <w:vAlign w:val="center"/>
          </w:tcPr>
          <w:p>
            <w:pPr>
              <w:pStyle w:val="27"/>
              <w:spacing w:line="300" w:lineRule="exact"/>
              <w:jc w:val="center"/>
            </w:pPr>
            <w:r>
              <w:t>1.7</w:t>
            </w:r>
          </w:p>
        </w:tc>
        <w:tc>
          <w:tcPr>
            <w:tcW w:w="861" w:type="dxa"/>
            <w:vAlign w:val="center"/>
          </w:tcPr>
          <w:p>
            <w:pPr>
              <w:pStyle w:val="27"/>
              <w:spacing w:line="300" w:lineRule="exact"/>
              <w:jc w:val="center"/>
              <w:rPr>
                <w:sz w:val="18"/>
              </w:rP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0" w:type="dxa"/>
            <w:vAlign w:val="center"/>
          </w:tcPr>
          <w:p>
            <w:pPr>
              <w:pStyle w:val="27"/>
              <w:spacing w:line="300" w:lineRule="exact"/>
              <w:jc w:val="center"/>
              <w:rPr>
                <w:rFonts w:ascii="仿宋" w:hAnsi="仿宋" w:eastAsia="仿宋"/>
              </w:rPr>
            </w:pPr>
            <w:r>
              <w:rPr>
                <w:rFonts w:hint="eastAsia" w:ascii="仿宋" w:hAnsi="仿宋" w:eastAsia="仿宋"/>
              </w:rPr>
              <w:t>占比</w:t>
            </w:r>
          </w:p>
        </w:tc>
        <w:tc>
          <w:tcPr>
            <w:tcW w:w="954" w:type="dxa"/>
            <w:vAlign w:val="center"/>
          </w:tcPr>
          <w:p>
            <w:pPr>
              <w:pStyle w:val="27"/>
              <w:spacing w:line="300" w:lineRule="exact"/>
              <w:jc w:val="center"/>
            </w:pPr>
            <w:r>
              <w:t>5</w:t>
            </w:r>
            <w:r>
              <w:rPr>
                <w:rFonts w:hint="eastAsia"/>
              </w:rPr>
              <w:t>7.9%</w:t>
            </w:r>
          </w:p>
        </w:tc>
        <w:tc>
          <w:tcPr>
            <w:tcW w:w="941" w:type="dxa"/>
            <w:vAlign w:val="center"/>
          </w:tcPr>
          <w:p>
            <w:pPr>
              <w:pStyle w:val="27"/>
              <w:spacing w:line="300" w:lineRule="exact"/>
              <w:jc w:val="center"/>
            </w:pPr>
            <w:r>
              <w:t>6</w:t>
            </w:r>
            <w:r>
              <w:rPr>
                <w:rFonts w:hint="eastAsia"/>
              </w:rPr>
              <w:t>5%</w:t>
            </w:r>
          </w:p>
        </w:tc>
        <w:tc>
          <w:tcPr>
            <w:tcW w:w="954" w:type="dxa"/>
            <w:vAlign w:val="center"/>
          </w:tcPr>
          <w:p>
            <w:pPr>
              <w:pStyle w:val="27"/>
              <w:spacing w:line="300" w:lineRule="exact"/>
              <w:jc w:val="center"/>
            </w:pPr>
            <w:r>
              <w:rPr>
                <w:rFonts w:hint="eastAsia"/>
              </w:rPr>
              <w:t>71%</w:t>
            </w:r>
          </w:p>
        </w:tc>
        <w:tc>
          <w:tcPr>
            <w:tcW w:w="902" w:type="dxa"/>
            <w:vAlign w:val="center"/>
          </w:tcPr>
          <w:p>
            <w:pPr>
              <w:pStyle w:val="27"/>
              <w:spacing w:line="300" w:lineRule="exact"/>
              <w:jc w:val="center"/>
            </w:pPr>
            <w:r>
              <w:t>77</w:t>
            </w:r>
            <w:r>
              <w:rPr>
                <w:rFonts w:hint="eastAsia"/>
              </w:rPr>
              <w:t>%</w:t>
            </w:r>
          </w:p>
        </w:tc>
        <w:tc>
          <w:tcPr>
            <w:tcW w:w="861" w:type="dxa"/>
            <w:vAlign w:val="center"/>
          </w:tcPr>
          <w:p>
            <w:pPr>
              <w:pStyle w:val="27"/>
              <w:spacing w:line="300" w:lineRule="exact"/>
              <w:jc w:val="center"/>
            </w:pPr>
            <w:r>
              <w:t>8</w:t>
            </w:r>
            <w:r>
              <w:rPr>
                <w:rFonts w:hint="eastAsia"/>
              </w:rPr>
              <w:t>7%</w:t>
            </w:r>
          </w:p>
        </w:tc>
      </w:tr>
    </w:tbl>
    <w:p>
      <w:pPr>
        <w:pStyle w:val="26"/>
        <w:spacing w:line="240" w:lineRule="auto"/>
        <w:ind w:firstLine="0"/>
        <w:rPr>
          <w:bCs/>
          <w:sz w:val="22"/>
          <w:szCs w:val="22"/>
        </w:rPr>
      </w:pPr>
    </w:p>
    <w:p>
      <w:pPr>
        <w:pStyle w:val="26"/>
        <w:spacing w:line="240" w:lineRule="auto"/>
        <w:ind w:firstLine="0"/>
        <w:rPr>
          <w:bCs/>
          <w:sz w:val="22"/>
          <w:szCs w:val="22"/>
        </w:rPr>
      </w:pPr>
      <w:r>
        <w:rPr>
          <w:rFonts w:hint="eastAsia"/>
          <w:bCs/>
          <w:sz w:val="22"/>
          <w:szCs w:val="22"/>
        </w:rPr>
        <w:drawing>
          <wp:inline distT="0" distB="0" distL="0" distR="0">
            <wp:extent cx="4994275" cy="1466215"/>
            <wp:effectExtent l="0" t="0" r="0" b="0"/>
            <wp:docPr id="48"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26"/>
        <w:spacing w:line="240" w:lineRule="auto"/>
        <w:ind w:firstLine="0"/>
        <w:rPr>
          <w:rFonts w:eastAsia="仿宋_GB2312"/>
          <w:bCs/>
          <w:sz w:val="24"/>
          <w:szCs w:val="24"/>
        </w:rPr>
      </w:pPr>
      <w:r>
        <w:rPr>
          <w:rFonts w:hint="eastAsia" w:eastAsia="仿宋_GB2312"/>
          <w:bCs/>
          <w:sz w:val="24"/>
          <w:szCs w:val="24"/>
        </w:rPr>
        <w:t xml:space="preserve">图17  </w:t>
      </w:r>
      <w:r>
        <w:rPr>
          <w:rFonts w:eastAsia="仿宋_GB2312"/>
          <w:bCs/>
          <w:sz w:val="24"/>
          <w:szCs w:val="24"/>
        </w:rPr>
        <w:t>2021-2025</w:t>
      </w:r>
      <w:r>
        <w:rPr>
          <w:rFonts w:hint="eastAsia" w:eastAsia="仿宋_GB2312"/>
          <w:bCs/>
          <w:sz w:val="24"/>
          <w:szCs w:val="24"/>
        </w:rPr>
        <w:t>年电动公交车推广预测</w:t>
      </w:r>
    </w:p>
    <w:p>
      <w:pPr>
        <w:pStyle w:val="26"/>
        <w:spacing w:beforeLines="50" w:line="240" w:lineRule="auto"/>
        <w:ind w:firstLine="0"/>
        <w:rPr>
          <w:rFonts w:eastAsia="仿宋_GB2312"/>
          <w:bCs/>
          <w:sz w:val="24"/>
          <w:szCs w:val="24"/>
        </w:rPr>
      </w:pPr>
      <w:r>
        <w:rPr>
          <w:rFonts w:hint="eastAsia" w:eastAsia="仿宋_GB2312"/>
          <w:bCs/>
          <w:sz w:val="24"/>
          <w:szCs w:val="24"/>
        </w:rPr>
        <w:t xml:space="preserve">表17  </w:t>
      </w:r>
      <w:r>
        <w:rPr>
          <w:rFonts w:eastAsia="仿宋_GB2312"/>
          <w:bCs/>
          <w:sz w:val="24"/>
          <w:szCs w:val="24"/>
        </w:rPr>
        <w:t>2021-2025</w:t>
      </w:r>
      <w:r>
        <w:rPr>
          <w:rFonts w:hint="eastAsia" w:eastAsia="仿宋_GB2312"/>
          <w:bCs/>
          <w:sz w:val="24"/>
          <w:szCs w:val="24"/>
        </w:rPr>
        <w:t>年电动出租车推广预测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2"/>
        <w:gridCol w:w="954"/>
        <w:gridCol w:w="941"/>
        <w:gridCol w:w="954"/>
        <w:gridCol w:w="876"/>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年份</w:t>
            </w:r>
          </w:p>
        </w:tc>
        <w:tc>
          <w:tcPr>
            <w:tcW w:w="954" w:type="dxa"/>
            <w:vAlign w:val="center"/>
          </w:tcPr>
          <w:p>
            <w:pPr>
              <w:pStyle w:val="27"/>
              <w:jc w:val="center"/>
            </w:pPr>
            <w:r>
              <w:rPr>
                <w:rFonts w:hint="eastAsia"/>
              </w:rPr>
              <w:t>2021</w:t>
            </w:r>
          </w:p>
        </w:tc>
        <w:tc>
          <w:tcPr>
            <w:tcW w:w="941" w:type="dxa"/>
            <w:vAlign w:val="center"/>
          </w:tcPr>
          <w:p>
            <w:pPr>
              <w:pStyle w:val="27"/>
              <w:jc w:val="center"/>
            </w:pPr>
            <w:r>
              <w:rPr>
                <w:rFonts w:hint="eastAsia"/>
              </w:rPr>
              <w:t>2022</w:t>
            </w:r>
          </w:p>
        </w:tc>
        <w:tc>
          <w:tcPr>
            <w:tcW w:w="954" w:type="dxa"/>
            <w:vAlign w:val="center"/>
          </w:tcPr>
          <w:p>
            <w:pPr>
              <w:pStyle w:val="27"/>
              <w:jc w:val="center"/>
            </w:pPr>
            <w:r>
              <w:rPr>
                <w:rFonts w:hint="eastAsia"/>
              </w:rPr>
              <w:t>2023</w:t>
            </w:r>
          </w:p>
        </w:tc>
        <w:tc>
          <w:tcPr>
            <w:tcW w:w="876" w:type="dxa"/>
            <w:vAlign w:val="center"/>
          </w:tcPr>
          <w:p>
            <w:pPr>
              <w:pStyle w:val="27"/>
              <w:jc w:val="center"/>
            </w:pPr>
            <w:r>
              <w:rPr>
                <w:rFonts w:hint="eastAsia"/>
              </w:rPr>
              <w:t>2024</w:t>
            </w:r>
          </w:p>
        </w:tc>
        <w:tc>
          <w:tcPr>
            <w:tcW w:w="885" w:type="dxa"/>
            <w:vAlign w:val="center"/>
          </w:tcPr>
          <w:p>
            <w:pPr>
              <w:pStyle w:val="27"/>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巡游出租车总保有量预计（万辆）</w:t>
            </w:r>
          </w:p>
        </w:tc>
        <w:tc>
          <w:tcPr>
            <w:tcW w:w="954" w:type="dxa"/>
            <w:vAlign w:val="center"/>
          </w:tcPr>
          <w:p>
            <w:pPr>
              <w:pStyle w:val="27"/>
              <w:jc w:val="center"/>
            </w:pPr>
            <w:r>
              <w:rPr>
                <w:rFonts w:hint="eastAsia"/>
              </w:rPr>
              <w:t>4.2</w:t>
            </w:r>
          </w:p>
        </w:tc>
        <w:tc>
          <w:tcPr>
            <w:tcW w:w="941" w:type="dxa"/>
            <w:vAlign w:val="center"/>
          </w:tcPr>
          <w:p>
            <w:pPr>
              <w:pStyle w:val="27"/>
              <w:jc w:val="center"/>
            </w:pPr>
            <w:r>
              <w:rPr>
                <w:rFonts w:hint="eastAsia"/>
              </w:rPr>
              <w:t>4.4</w:t>
            </w:r>
          </w:p>
        </w:tc>
        <w:tc>
          <w:tcPr>
            <w:tcW w:w="954" w:type="dxa"/>
            <w:vAlign w:val="center"/>
          </w:tcPr>
          <w:p>
            <w:pPr>
              <w:pStyle w:val="27"/>
              <w:jc w:val="center"/>
            </w:pPr>
            <w:r>
              <w:rPr>
                <w:rFonts w:hint="eastAsia"/>
              </w:rPr>
              <w:t>4.7</w:t>
            </w:r>
          </w:p>
        </w:tc>
        <w:tc>
          <w:tcPr>
            <w:tcW w:w="876" w:type="dxa"/>
            <w:vAlign w:val="center"/>
          </w:tcPr>
          <w:p>
            <w:pPr>
              <w:pStyle w:val="27"/>
              <w:jc w:val="center"/>
            </w:pPr>
            <w:r>
              <w:rPr>
                <w:rFonts w:hint="eastAsia"/>
              </w:rPr>
              <w:t>4.9</w:t>
            </w:r>
          </w:p>
        </w:tc>
        <w:tc>
          <w:tcPr>
            <w:tcW w:w="885" w:type="dxa"/>
            <w:vAlign w:val="center"/>
          </w:tcPr>
          <w:p>
            <w:pPr>
              <w:pStyle w:val="27"/>
              <w:jc w:val="center"/>
            </w:pPr>
            <w:r>
              <w:rPr>
                <w:rFonts w:hint="eastAsia"/>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2" w:type="dxa"/>
            <w:vAlign w:val="center"/>
          </w:tcPr>
          <w:p>
            <w:pPr>
              <w:pStyle w:val="27"/>
              <w:jc w:val="center"/>
              <w:rPr>
                <w:rFonts w:ascii="仿宋" w:hAnsi="仿宋" w:eastAsia="仿宋"/>
              </w:rPr>
            </w:pPr>
            <w:r>
              <w:rPr>
                <w:rFonts w:hint="eastAsia" w:ascii="仿宋" w:hAnsi="仿宋" w:eastAsia="仿宋"/>
              </w:rPr>
              <w:t>电动巡游出租车保有量</w:t>
            </w:r>
            <w:r>
              <w:rPr>
                <w:rFonts w:ascii="仿宋" w:hAnsi="仿宋" w:eastAsia="仿宋"/>
              </w:rPr>
              <w:t>(</w:t>
            </w:r>
            <w:r>
              <w:rPr>
                <w:rFonts w:hint="eastAsia" w:ascii="仿宋" w:hAnsi="仿宋" w:eastAsia="仿宋"/>
              </w:rPr>
              <w:t>万辆</w:t>
            </w:r>
            <w:r>
              <w:rPr>
                <w:rFonts w:ascii="仿宋" w:hAnsi="仿宋" w:eastAsia="仿宋"/>
              </w:rPr>
              <w:t>)</w:t>
            </w:r>
          </w:p>
        </w:tc>
        <w:tc>
          <w:tcPr>
            <w:tcW w:w="954" w:type="dxa"/>
            <w:vAlign w:val="center"/>
          </w:tcPr>
          <w:p>
            <w:pPr>
              <w:pStyle w:val="27"/>
              <w:jc w:val="center"/>
            </w:pPr>
            <w:r>
              <w:t>1.5</w:t>
            </w:r>
          </w:p>
        </w:tc>
        <w:tc>
          <w:tcPr>
            <w:tcW w:w="941" w:type="dxa"/>
            <w:vAlign w:val="center"/>
          </w:tcPr>
          <w:p>
            <w:pPr>
              <w:pStyle w:val="27"/>
              <w:widowControl/>
              <w:jc w:val="center"/>
              <w:textAlignment w:val="center"/>
            </w:pPr>
            <w:r>
              <w:t>1.8</w:t>
            </w:r>
          </w:p>
        </w:tc>
        <w:tc>
          <w:tcPr>
            <w:tcW w:w="954" w:type="dxa"/>
            <w:vAlign w:val="center"/>
          </w:tcPr>
          <w:p>
            <w:pPr>
              <w:pStyle w:val="27"/>
              <w:widowControl/>
              <w:jc w:val="center"/>
              <w:textAlignment w:val="center"/>
            </w:pPr>
            <w:r>
              <w:t>2.1</w:t>
            </w:r>
          </w:p>
        </w:tc>
        <w:tc>
          <w:tcPr>
            <w:tcW w:w="876" w:type="dxa"/>
            <w:vAlign w:val="center"/>
          </w:tcPr>
          <w:p>
            <w:pPr>
              <w:pStyle w:val="27"/>
              <w:widowControl/>
              <w:jc w:val="center"/>
              <w:textAlignment w:val="center"/>
              <w:rPr>
                <w:sz w:val="18"/>
              </w:rPr>
            </w:pPr>
            <w:r>
              <w:t>2.5</w:t>
            </w:r>
          </w:p>
        </w:tc>
        <w:tc>
          <w:tcPr>
            <w:tcW w:w="885" w:type="dxa"/>
            <w:vAlign w:val="center"/>
          </w:tcPr>
          <w:p>
            <w:pPr>
              <w:pStyle w:val="27"/>
              <w:widowControl/>
              <w:jc w:val="center"/>
              <w:textAlignment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2" w:type="dxa"/>
            <w:vAlign w:val="center"/>
          </w:tcPr>
          <w:p>
            <w:pPr>
              <w:pStyle w:val="27"/>
              <w:jc w:val="center"/>
              <w:rPr>
                <w:rFonts w:ascii="仿宋" w:hAnsi="仿宋" w:eastAsia="仿宋"/>
              </w:rPr>
            </w:pPr>
            <w:r>
              <w:rPr>
                <w:rFonts w:hint="eastAsia" w:ascii="仿宋" w:hAnsi="仿宋" w:eastAsia="仿宋"/>
              </w:rPr>
              <w:t>占比</w:t>
            </w:r>
          </w:p>
        </w:tc>
        <w:tc>
          <w:tcPr>
            <w:tcW w:w="954" w:type="dxa"/>
            <w:vAlign w:val="center"/>
          </w:tcPr>
          <w:p>
            <w:pPr>
              <w:pStyle w:val="27"/>
              <w:jc w:val="center"/>
              <w:rPr>
                <w:sz w:val="18"/>
              </w:rPr>
            </w:pPr>
            <w:r>
              <w:rPr>
                <w:rFonts w:hint="eastAsia"/>
                <w:sz w:val="22"/>
                <w:szCs w:val="22"/>
              </w:rPr>
              <w:t>35%</w:t>
            </w:r>
          </w:p>
        </w:tc>
        <w:tc>
          <w:tcPr>
            <w:tcW w:w="941" w:type="dxa"/>
            <w:vAlign w:val="center"/>
          </w:tcPr>
          <w:p>
            <w:pPr>
              <w:pStyle w:val="27"/>
              <w:widowControl/>
              <w:jc w:val="center"/>
              <w:textAlignment w:val="center"/>
              <w:rPr>
                <w:sz w:val="18"/>
              </w:rPr>
            </w:pPr>
            <w:r>
              <w:rPr>
                <w:rFonts w:hint="eastAsia"/>
                <w:sz w:val="22"/>
                <w:szCs w:val="22"/>
              </w:rPr>
              <w:t>40%</w:t>
            </w:r>
          </w:p>
        </w:tc>
        <w:tc>
          <w:tcPr>
            <w:tcW w:w="954" w:type="dxa"/>
            <w:vAlign w:val="center"/>
          </w:tcPr>
          <w:p>
            <w:pPr>
              <w:pStyle w:val="27"/>
              <w:widowControl/>
              <w:jc w:val="center"/>
              <w:textAlignment w:val="center"/>
              <w:rPr>
                <w:sz w:val="18"/>
              </w:rPr>
            </w:pPr>
            <w:r>
              <w:rPr>
                <w:rFonts w:hint="eastAsia"/>
                <w:sz w:val="22"/>
                <w:szCs w:val="22"/>
              </w:rPr>
              <w:t>45%</w:t>
            </w:r>
          </w:p>
        </w:tc>
        <w:tc>
          <w:tcPr>
            <w:tcW w:w="876" w:type="dxa"/>
            <w:vAlign w:val="center"/>
          </w:tcPr>
          <w:p>
            <w:pPr>
              <w:pStyle w:val="27"/>
              <w:widowControl/>
              <w:jc w:val="center"/>
              <w:textAlignment w:val="center"/>
              <w:rPr>
                <w:sz w:val="18"/>
              </w:rPr>
            </w:pPr>
            <w:r>
              <w:rPr>
                <w:rFonts w:hint="eastAsia"/>
                <w:sz w:val="22"/>
                <w:szCs w:val="22"/>
              </w:rPr>
              <w:t>51%</w:t>
            </w:r>
          </w:p>
        </w:tc>
        <w:tc>
          <w:tcPr>
            <w:tcW w:w="885" w:type="dxa"/>
            <w:vAlign w:val="center"/>
          </w:tcPr>
          <w:p>
            <w:pPr>
              <w:pStyle w:val="27"/>
              <w:widowControl/>
              <w:jc w:val="center"/>
              <w:textAlignment w:val="center"/>
              <w:rPr>
                <w:sz w:val="18"/>
              </w:rPr>
            </w:pPr>
            <w:r>
              <w:rPr>
                <w:rFonts w:hint="eastAsia"/>
                <w:sz w:val="22"/>
                <w:szCs w:val="22"/>
              </w:rPr>
              <w:t>59%</w:t>
            </w:r>
          </w:p>
        </w:tc>
      </w:tr>
    </w:tbl>
    <w:p>
      <w:pPr>
        <w:pStyle w:val="26"/>
        <w:spacing w:line="240" w:lineRule="auto"/>
        <w:ind w:firstLine="0"/>
        <w:jc w:val="both"/>
        <w:rPr>
          <w:bCs/>
          <w:sz w:val="22"/>
          <w:szCs w:val="22"/>
        </w:rPr>
      </w:pPr>
    </w:p>
    <w:p>
      <w:pPr>
        <w:pStyle w:val="26"/>
        <w:spacing w:line="240" w:lineRule="auto"/>
        <w:ind w:firstLine="0"/>
        <w:rPr>
          <w:bCs/>
          <w:sz w:val="22"/>
          <w:szCs w:val="22"/>
        </w:rPr>
      </w:pPr>
      <w:r>
        <w:rPr>
          <w:bCs/>
          <w:sz w:val="22"/>
          <w:szCs w:val="22"/>
        </w:rPr>
        <w:drawing>
          <wp:inline distT="0" distB="0" distL="0" distR="0">
            <wp:extent cx="5175250" cy="2000885"/>
            <wp:effectExtent l="0" t="0" r="0" b="0"/>
            <wp:docPr id="52"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6"/>
        <w:spacing w:afterLines="50" w:line="240" w:lineRule="auto"/>
        <w:ind w:firstLine="0"/>
        <w:rPr>
          <w:rFonts w:eastAsia="仿宋_GB2312"/>
          <w:bCs/>
          <w:sz w:val="24"/>
          <w:szCs w:val="24"/>
        </w:rPr>
      </w:pPr>
      <w:r>
        <w:rPr>
          <w:rFonts w:hint="eastAsia" w:eastAsia="仿宋_GB2312"/>
          <w:bCs/>
          <w:sz w:val="24"/>
          <w:szCs w:val="24"/>
        </w:rPr>
        <w:t xml:space="preserve">图18  </w:t>
      </w:r>
      <w:r>
        <w:rPr>
          <w:rFonts w:eastAsia="仿宋_GB2312"/>
          <w:bCs/>
          <w:sz w:val="24"/>
          <w:szCs w:val="24"/>
        </w:rPr>
        <w:t>2021-2025</w:t>
      </w:r>
      <w:r>
        <w:rPr>
          <w:rFonts w:hint="eastAsia" w:eastAsia="仿宋_GB2312"/>
          <w:bCs/>
          <w:sz w:val="24"/>
          <w:szCs w:val="24"/>
        </w:rPr>
        <w:t>年电动出租车推广预测</w:t>
      </w:r>
    </w:p>
    <w:p>
      <w:pPr>
        <w:pStyle w:val="26"/>
        <w:spacing w:beforeLines="50" w:line="240" w:lineRule="auto"/>
        <w:ind w:firstLine="0"/>
        <w:rPr>
          <w:rFonts w:eastAsia="仿宋_GB2312"/>
          <w:bCs/>
          <w:sz w:val="24"/>
          <w:szCs w:val="24"/>
        </w:rPr>
      </w:pPr>
      <w:r>
        <w:rPr>
          <w:rFonts w:hint="eastAsia" w:eastAsia="仿宋_GB2312"/>
          <w:bCs/>
          <w:sz w:val="24"/>
          <w:szCs w:val="24"/>
        </w:rPr>
        <w:t xml:space="preserve">表18  </w:t>
      </w:r>
      <w:r>
        <w:rPr>
          <w:rFonts w:eastAsia="仿宋_GB2312"/>
          <w:bCs/>
          <w:sz w:val="24"/>
          <w:szCs w:val="24"/>
        </w:rPr>
        <w:t>2021-2025</w:t>
      </w:r>
      <w:r>
        <w:rPr>
          <w:rFonts w:hint="eastAsia" w:eastAsia="仿宋_GB2312"/>
          <w:bCs/>
          <w:sz w:val="24"/>
          <w:szCs w:val="24"/>
        </w:rPr>
        <w:t>年电动客运班车、旅游客车推广预测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2"/>
        <w:gridCol w:w="954"/>
        <w:gridCol w:w="941"/>
        <w:gridCol w:w="954"/>
        <w:gridCol w:w="888"/>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年份</w:t>
            </w:r>
          </w:p>
        </w:tc>
        <w:tc>
          <w:tcPr>
            <w:tcW w:w="954" w:type="dxa"/>
            <w:vAlign w:val="center"/>
          </w:tcPr>
          <w:p>
            <w:pPr>
              <w:pStyle w:val="27"/>
              <w:jc w:val="center"/>
            </w:pPr>
            <w:r>
              <w:rPr>
                <w:rFonts w:hint="eastAsia"/>
              </w:rPr>
              <w:t>2021</w:t>
            </w:r>
          </w:p>
        </w:tc>
        <w:tc>
          <w:tcPr>
            <w:tcW w:w="941" w:type="dxa"/>
            <w:vAlign w:val="center"/>
          </w:tcPr>
          <w:p>
            <w:pPr>
              <w:pStyle w:val="27"/>
              <w:jc w:val="center"/>
            </w:pPr>
            <w:r>
              <w:rPr>
                <w:rFonts w:hint="eastAsia"/>
              </w:rPr>
              <w:t>2022</w:t>
            </w:r>
          </w:p>
        </w:tc>
        <w:tc>
          <w:tcPr>
            <w:tcW w:w="954" w:type="dxa"/>
            <w:vAlign w:val="center"/>
          </w:tcPr>
          <w:p>
            <w:pPr>
              <w:pStyle w:val="27"/>
              <w:jc w:val="center"/>
            </w:pPr>
            <w:r>
              <w:rPr>
                <w:rFonts w:hint="eastAsia"/>
              </w:rPr>
              <w:t>2023</w:t>
            </w:r>
          </w:p>
        </w:tc>
        <w:tc>
          <w:tcPr>
            <w:tcW w:w="888" w:type="dxa"/>
            <w:vAlign w:val="center"/>
          </w:tcPr>
          <w:p>
            <w:pPr>
              <w:pStyle w:val="27"/>
              <w:jc w:val="center"/>
            </w:pPr>
            <w:r>
              <w:rPr>
                <w:rFonts w:hint="eastAsia"/>
              </w:rPr>
              <w:t>2024</w:t>
            </w:r>
          </w:p>
        </w:tc>
        <w:tc>
          <w:tcPr>
            <w:tcW w:w="873" w:type="dxa"/>
            <w:vAlign w:val="center"/>
          </w:tcPr>
          <w:p>
            <w:pPr>
              <w:pStyle w:val="27"/>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客运班车、旅游客车总保有量预计（万辆）</w:t>
            </w:r>
          </w:p>
        </w:tc>
        <w:tc>
          <w:tcPr>
            <w:tcW w:w="954" w:type="dxa"/>
            <w:vAlign w:val="center"/>
          </w:tcPr>
          <w:p>
            <w:pPr>
              <w:pStyle w:val="27"/>
              <w:jc w:val="center"/>
            </w:pPr>
            <w:r>
              <w:rPr>
                <w:rFonts w:hint="eastAsia"/>
              </w:rPr>
              <w:t>2.1</w:t>
            </w:r>
          </w:p>
        </w:tc>
        <w:tc>
          <w:tcPr>
            <w:tcW w:w="941" w:type="dxa"/>
            <w:vAlign w:val="center"/>
          </w:tcPr>
          <w:p>
            <w:pPr>
              <w:pStyle w:val="27"/>
              <w:jc w:val="center"/>
            </w:pPr>
            <w:r>
              <w:rPr>
                <w:rFonts w:hint="eastAsia"/>
              </w:rPr>
              <w:t>2.2</w:t>
            </w:r>
          </w:p>
        </w:tc>
        <w:tc>
          <w:tcPr>
            <w:tcW w:w="954" w:type="dxa"/>
            <w:vAlign w:val="center"/>
          </w:tcPr>
          <w:p>
            <w:pPr>
              <w:pStyle w:val="27"/>
              <w:jc w:val="center"/>
            </w:pPr>
            <w:r>
              <w:rPr>
                <w:rFonts w:hint="eastAsia"/>
              </w:rPr>
              <w:t>2.3</w:t>
            </w:r>
          </w:p>
        </w:tc>
        <w:tc>
          <w:tcPr>
            <w:tcW w:w="888" w:type="dxa"/>
            <w:vAlign w:val="center"/>
          </w:tcPr>
          <w:p>
            <w:pPr>
              <w:pStyle w:val="27"/>
              <w:jc w:val="center"/>
            </w:pPr>
            <w:r>
              <w:rPr>
                <w:rFonts w:hint="eastAsia"/>
              </w:rPr>
              <w:t>2.4</w:t>
            </w:r>
          </w:p>
        </w:tc>
        <w:tc>
          <w:tcPr>
            <w:tcW w:w="873" w:type="dxa"/>
            <w:vAlign w:val="center"/>
          </w:tcPr>
          <w:p>
            <w:pPr>
              <w:pStyle w:val="27"/>
              <w:jc w:val="center"/>
            </w:pPr>
            <w:r>
              <w:rPr>
                <w:rFonts w:hint="eastAsia"/>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电动客运班车、旅游客车保有量</w:t>
            </w:r>
            <w:r>
              <w:rPr>
                <w:rFonts w:ascii="仿宋" w:hAnsi="仿宋" w:eastAsia="仿宋"/>
              </w:rPr>
              <w:t>(</w:t>
            </w:r>
            <w:r>
              <w:rPr>
                <w:rFonts w:hint="eastAsia" w:ascii="仿宋" w:hAnsi="仿宋" w:eastAsia="仿宋"/>
              </w:rPr>
              <w:t>万辆</w:t>
            </w:r>
            <w:r>
              <w:rPr>
                <w:rFonts w:ascii="仿宋" w:hAnsi="仿宋" w:eastAsia="仿宋"/>
              </w:rPr>
              <w:t>)</w:t>
            </w:r>
          </w:p>
        </w:tc>
        <w:tc>
          <w:tcPr>
            <w:tcW w:w="954" w:type="dxa"/>
            <w:vAlign w:val="center"/>
          </w:tcPr>
          <w:p>
            <w:pPr>
              <w:pStyle w:val="27"/>
              <w:jc w:val="center"/>
            </w:pPr>
            <w:r>
              <w:rPr>
                <w:rFonts w:hint="eastAsia"/>
              </w:rPr>
              <w:t>0.05</w:t>
            </w:r>
          </w:p>
        </w:tc>
        <w:tc>
          <w:tcPr>
            <w:tcW w:w="941" w:type="dxa"/>
            <w:vAlign w:val="center"/>
          </w:tcPr>
          <w:p>
            <w:pPr>
              <w:pStyle w:val="27"/>
              <w:jc w:val="center"/>
            </w:pPr>
            <w:r>
              <w:rPr>
                <w:rFonts w:hint="eastAsia"/>
              </w:rPr>
              <w:t>0.15</w:t>
            </w:r>
          </w:p>
        </w:tc>
        <w:tc>
          <w:tcPr>
            <w:tcW w:w="954" w:type="dxa"/>
            <w:vAlign w:val="center"/>
          </w:tcPr>
          <w:p>
            <w:pPr>
              <w:pStyle w:val="27"/>
              <w:jc w:val="center"/>
            </w:pPr>
            <w:r>
              <w:rPr>
                <w:rFonts w:hint="eastAsia"/>
              </w:rPr>
              <w:t>0.3</w:t>
            </w:r>
          </w:p>
        </w:tc>
        <w:tc>
          <w:tcPr>
            <w:tcW w:w="888" w:type="dxa"/>
            <w:vAlign w:val="center"/>
          </w:tcPr>
          <w:p>
            <w:pPr>
              <w:pStyle w:val="27"/>
              <w:jc w:val="center"/>
            </w:pPr>
            <w:r>
              <w:rPr>
                <w:rFonts w:hint="eastAsia"/>
              </w:rPr>
              <w:t>0.45</w:t>
            </w:r>
          </w:p>
        </w:tc>
        <w:tc>
          <w:tcPr>
            <w:tcW w:w="873" w:type="dxa"/>
            <w:vAlign w:val="center"/>
          </w:tcPr>
          <w:p>
            <w:pPr>
              <w:pStyle w:val="27"/>
              <w:jc w:val="center"/>
            </w:pPr>
            <w:r>
              <w:rPr>
                <w:rFonts w:hint="eastAsia"/>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912" w:type="dxa"/>
            <w:vAlign w:val="center"/>
          </w:tcPr>
          <w:p>
            <w:pPr>
              <w:pStyle w:val="27"/>
              <w:jc w:val="center"/>
              <w:rPr>
                <w:rFonts w:ascii="仿宋" w:hAnsi="仿宋" w:eastAsia="仿宋"/>
              </w:rPr>
            </w:pPr>
            <w:r>
              <w:rPr>
                <w:rFonts w:hint="eastAsia" w:ascii="仿宋" w:hAnsi="仿宋" w:eastAsia="仿宋"/>
              </w:rPr>
              <w:t>占比</w:t>
            </w:r>
          </w:p>
        </w:tc>
        <w:tc>
          <w:tcPr>
            <w:tcW w:w="954" w:type="dxa"/>
            <w:vAlign w:val="center"/>
          </w:tcPr>
          <w:p>
            <w:pPr>
              <w:pStyle w:val="27"/>
              <w:jc w:val="center"/>
            </w:pPr>
            <w:r>
              <w:rPr>
                <w:rFonts w:hint="eastAsia"/>
                <w:sz w:val="22"/>
                <w:szCs w:val="22"/>
              </w:rPr>
              <w:t>3%</w:t>
            </w:r>
          </w:p>
        </w:tc>
        <w:tc>
          <w:tcPr>
            <w:tcW w:w="941" w:type="dxa"/>
            <w:vAlign w:val="center"/>
          </w:tcPr>
          <w:p>
            <w:pPr>
              <w:pStyle w:val="27"/>
              <w:jc w:val="center"/>
            </w:pPr>
            <w:r>
              <w:rPr>
                <w:rFonts w:hint="eastAsia"/>
                <w:sz w:val="22"/>
                <w:szCs w:val="22"/>
              </w:rPr>
              <w:t>7%</w:t>
            </w:r>
          </w:p>
        </w:tc>
        <w:tc>
          <w:tcPr>
            <w:tcW w:w="954" w:type="dxa"/>
            <w:vAlign w:val="center"/>
          </w:tcPr>
          <w:p>
            <w:pPr>
              <w:pStyle w:val="27"/>
              <w:jc w:val="center"/>
            </w:pPr>
            <w:r>
              <w:rPr>
                <w:rFonts w:hint="eastAsia"/>
                <w:sz w:val="22"/>
                <w:szCs w:val="22"/>
              </w:rPr>
              <w:t>13%</w:t>
            </w:r>
          </w:p>
        </w:tc>
        <w:tc>
          <w:tcPr>
            <w:tcW w:w="888" w:type="dxa"/>
            <w:vAlign w:val="center"/>
          </w:tcPr>
          <w:p>
            <w:pPr>
              <w:pStyle w:val="27"/>
              <w:jc w:val="center"/>
            </w:pPr>
            <w:r>
              <w:rPr>
                <w:rFonts w:hint="eastAsia"/>
                <w:sz w:val="22"/>
                <w:szCs w:val="22"/>
              </w:rPr>
              <w:t>18%</w:t>
            </w:r>
          </w:p>
        </w:tc>
        <w:tc>
          <w:tcPr>
            <w:tcW w:w="873" w:type="dxa"/>
            <w:vAlign w:val="center"/>
          </w:tcPr>
          <w:p>
            <w:pPr>
              <w:pStyle w:val="27"/>
              <w:jc w:val="center"/>
            </w:pPr>
            <w:r>
              <w:rPr>
                <w:rFonts w:hint="eastAsia"/>
                <w:sz w:val="22"/>
                <w:szCs w:val="22"/>
              </w:rPr>
              <w:t>24%</w:t>
            </w:r>
          </w:p>
        </w:tc>
      </w:tr>
    </w:tbl>
    <w:p>
      <w:pPr>
        <w:pStyle w:val="26"/>
        <w:spacing w:line="240" w:lineRule="auto"/>
        <w:ind w:firstLine="0"/>
        <w:rPr>
          <w:bCs/>
          <w:sz w:val="22"/>
          <w:szCs w:val="22"/>
        </w:rPr>
      </w:pPr>
    </w:p>
    <w:p>
      <w:pPr>
        <w:pStyle w:val="26"/>
        <w:spacing w:line="240" w:lineRule="auto"/>
        <w:ind w:firstLine="0"/>
        <w:rPr>
          <w:bCs/>
          <w:sz w:val="22"/>
          <w:szCs w:val="22"/>
        </w:rPr>
      </w:pPr>
      <w:r>
        <w:rPr>
          <w:bCs/>
          <w:sz w:val="22"/>
          <w:szCs w:val="22"/>
        </w:rPr>
        <w:drawing>
          <wp:inline distT="0" distB="0" distL="0" distR="0">
            <wp:extent cx="5271135" cy="2345055"/>
            <wp:effectExtent l="0" t="0" r="0" b="0"/>
            <wp:docPr id="53"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26"/>
        <w:spacing w:afterLines="50" w:line="240" w:lineRule="auto"/>
        <w:ind w:firstLine="0"/>
        <w:rPr>
          <w:rFonts w:eastAsia="仿宋_GB2312"/>
          <w:bCs/>
          <w:sz w:val="24"/>
          <w:szCs w:val="24"/>
        </w:rPr>
      </w:pPr>
      <w:r>
        <w:rPr>
          <w:rFonts w:hint="eastAsia" w:eastAsia="仿宋_GB2312"/>
          <w:bCs/>
          <w:sz w:val="24"/>
          <w:szCs w:val="24"/>
        </w:rPr>
        <w:t xml:space="preserve">图19  </w:t>
      </w:r>
      <w:r>
        <w:rPr>
          <w:rFonts w:eastAsia="仿宋_GB2312"/>
          <w:bCs/>
          <w:sz w:val="24"/>
          <w:szCs w:val="24"/>
        </w:rPr>
        <w:t>2021-2025</w:t>
      </w:r>
      <w:r>
        <w:rPr>
          <w:rFonts w:hint="eastAsia" w:eastAsia="仿宋_GB2312"/>
          <w:bCs/>
          <w:sz w:val="24"/>
          <w:szCs w:val="24"/>
        </w:rPr>
        <w:t>年电动客运班车、旅游客车推广预测</w:t>
      </w:r>
    </w:p>
    <w:p>
      <w:pPr>
        <w:pStyle w:val="26"/>
        <w:spacing w:beforeLines="50" w:line="240" w:lineRule="auto"/>
        <w:ind w:firstLine="0"/>
        <w:rPr>
          <w:rFonts w:eastAsia="仿宋_GB2312"/>
          <w:bCs/>
          <w:sz w:val="24"/>
          <w:szCs w:val="24"/>
        </w:rPr>
      </w:pPr>
      <w:r>
        <w:rPr>
          <w:rFonts w:hint="eastAsia" w:eastAsia="仿宋_GB2312"/>
          <w:bCs/>
          <w:sz w:val="24"/>
          <w:szCs w:val="24"/>
        </w:rPr>
        <w:t xml:space="preserve">表19  </w:t>
      </w:r>
      <w:r>
        <w:rPr>
          <w:rFonts w:eastAsia="仿宋_GB2312"/>
          <w:bCs/>
          <w:sz w:val="24"/>
          <w:szCs w:val="24"/>
        </w:rPr>
        <w:t>2021</w:t>
      </w:r>
      <w:r>
        <w:rPr>
          <w:rFonts w:hint="eastAsia" w:eastAsia="仿宋_GB2312"/>
          <w:bCs/>
          <w:sz w:val="24"/>
          <w:szCs w:val="24"/>
        </w:rPr>
        <w:t>-</w:t>
      </w:r>
      <w:r>
        <w:rPr>
          <w:rFonts w:eastAsia="仿宋_GB2312"/>
          <w:bCs/>
          <w:sz w:val="24"/>
          <w:szCs w:val="24"/>
        </w:rPr>
        <w:t>2025</w:t>
      </w:r>
      <w:r>
        <w:rPr>
          <w:rFonts w:hint="eastAsia" w:eastAsia="仿宋_GB2312"/>
          <w:bCs/>
          <w:sz w:val="24"/>
          <w:szCs w:val="24"/>
        </w:rPr>
        <w:t>年电动网约车推广预测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4"/>
        <w:gridCol w:w="1101"/>
        <w:gridCol w:w="944"/>
        <w:gridCol w:w="983"/>
        <w:gridCol w:w="997"/>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44" w:type="dxa"/>
            <w:vAlign w:val="center"/>
          </w:tcPr>
          <w:p>
            <w:pPr>
              <w:pStyle w:val="27"/>
              <w:jc w:val="center"/>
              <w:rPr>
                <w:rFonts w:ascii="仿宋" w:hAnsi="仿宋" w:eastAsia="仿宋"/>
              </w:rPr>
            </w:pPr>
            <w:r>
              <w:rPr>
                <w:rFonts w:hint="eastAsia" w:ascii="仿宋" w:hAnsi="仿宋" w:eastAsia="仿宋"/>
              </w:rPr>
              <w:t>年份</w:t>
            </w:r>
          </w:p>
        </w:tc>
        <w:tc>
          <w:tcPr>
            <w:tcW w:w="1101" w:type="dxa"/>
            <w:vAlign w:val="center"/>
          </w:tcPr>
          <w:p>
            <w:pPr>
              <w:pStyle w:val="27"/>
              <w:jc w:val="center"/>
            </w:pPr>
            <w:r>
              <w:rPr>
                <w:rFonts w:hint="eastAsia"/>
              </w:rPr>
              <w:t>2021</w:t>
            </w:r>
          </w:p>
        </w:tc>
        <w:tc>
          <w:tcPr>
            <w:tcW w:w="944" w:type="dxa"/>
            <w:vAlign w:val="center"/>
          </w:tcPr>
          <w:p>
            <w:pPr>
              <w:pStyle w:val="27"/>
              <w:jc w:val="center"/>
            </w:pPr>
            <w:r>
              <w:rPr>
                <w:rFonts w:hint="eastAsia"/>
              </w:rPr>
              <w:t>2022</w:t>
            </w:r>
          </w:p>
        </w:tc>
        <w:tc>
          <w:tcPr>
            <w:tcW w:w="983" w:type="dxa"/>
            <w:vAlign w:val="center"/>
          </w:tcPr>
          <w:p>
            <w:pPr>
              <w:pStyle w:val="27"/>
              <w:jc w:val="center"/>
            </w:pPr>
            <w:r>
              <w:rPr>
                <w:rFonts w:hint="eastAsia"/>
              </w:rPr>
              <w:t>2023</w:t>
            </w:r>
          </w:p>
        </w:tc>
        <w:tc>
          <w:tcPr>
            <w:tcW w:w="997" w:type="dxa"/>
            <w:vAlign w:val="center"/>
          </w:tcPr>
          <w:p>
            <w:pPr>
              <w:pStyle w:val="27"/>
              <w:jc w:val="center"/>
            </w:pPr>
            <w:r>
              <w:rPr>
                <w:rFonts w:hint="eastAsia"/>
              </w:rPr>
              <w:t>2024</w:t>
            </w:r>
          </w:p>
        </w:tc>
        <w:tc>
          <w:tcPr>
            <w:tcW w:w="953" w:type="dxa"/>
            <w:vAlign w:val="center"/>
          </w:tcPr>
          <w:p>
            <w:pPr>
              <w:pStyle w:val="27"/>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44" w:type="dxa"/>
            <w:vAlign w:val="center"/>
          </w:tcPr>
          <w:p>
            <w:pPr>
              <w:pStyle w:val="27"/>
              <w:jc w:val="center"/>
              <w:rPr>
                <w:rFonts w:ascii="仿宋" w:hAnsi="仿宋" w:eastAsia="仿宋"/>
              </w:rPr>
            </w:pPr>
            <w:r>
              <w:rPr>
                <w:rFonts w:hint="eastAsia" w:ascii="仿宋" w:hAnsi="仿宋" w:eastAsia="仿宋"/>
              </w:rPr>
              <w:t>网约出租车总保有量预计（万辆）</w:t>
            </w:r>
          </w:p>
        </w:tc>
        <w:tc>
          <w:tcPr>
            <w:tcW w:w="1101" w:type="dxa"/>
            <w:vAlign w:val="center"/>
          </w:tcPr>
          <w:p>
            <w:pPr>
              <w:pStyle w:val="27"/>
              <w:jc w:val="center"/>
            </w:pPr>
            <w:r>
              <w:rPr>
                <w:rFonts w:hint="eastAsia"/>
              </w:rPr>
              <w:t>3.2</w:t>
            </w:r>
          </w:p>
        </w:tc>
        <w:tc>
          <w:tcPr>
            <w:tcW w:w="944" w:type="dxa"/>
            <w:vAlign w:val="center"/>
          </w:tcPr>
          <w:p>
            <w:pPr>
              <w:pStyle w:val="27"/>
              <w:jc w:val="center"/>
            </w:pPr>
            <w:r>
              <w:rPr>
                <w:rFonts w:hint="eastAsia"/>
              </w:rPr>
              <w:t>3.4</w:t>
            </w:r>
          </w:p>
        </w:tc>
        <w:tc>
          <w:tcPr>
            <w:tcW w:w="983" w:type="dxa"/>
            <w:vAlign w:val="center"/>
          </w:tcPr>
          <w:p>
            <w:pPr>
              <w:pStyle w:val="27"/>
              <w:jc w:val="center"/>
            </w:pPr>
            <w:r>
              <w:rPr>
                <w:rFonts w:hint="eastAsia"/>
              </w:rPr>
              <w:t>3.7</w:t>
            </w:r>
          </w:p>
        </w:tc>
        <w:tc>
          <w:tcPr>
            <w:tcW w:w="997" w:type="dxa"/>
            <w:vAlign w:val="center"/>
          </w:tcPr>
          <w:p>
            <w:pPr>
              <w:pStyle w:val="27"/>
              <w:jc w:val="center"/>
            </w:pPr>
            <w:r>
              <w:rPr>
                <w:rFonts w:hint="eastAsia"/>
              </w:rPr>
              <w:t>4.0</w:t>
            </w:r>
          </w:p>
        </w:tc>
        <w:tc>
          <w:tcPr>
            <w:tcW w:w="953" w:type="dxa"/>
            <w:vAlign w:val="center"/>
          </w:tcPr>
          <w:p>
            <w:pPr>
              <w:pStyle w:val="27"/>
              <w:jc w:val="center"/>
            </w:pPr>
            <w:r>
              <w:rPr>
                <w:rFonts w:hint="eastAsi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44" w:type="dxa"/>
            <w:vAlign w:val="center"/>
          </w:tcPr>
          <w:p>
            <w:pPr>
              <w:pStyle w:val="27"/>
              <w:jc w:val="center"/>
              <w:rPr>
                <w:rFonts w:ascii="仿宋" w:hAnsi="仿宋" w:eastAsia="仿宋"/>
              </w:rPr>
            </w:pPr>
            <w:r>
              <w:rPr>
                <w:rFonts w:hint="eastAsia" w:ascii="仿宋" w:hAnsi="仿宋" w:eastAsia="仿宋"/>
              </w:rPr>
              <w:t>电动网约出租车保有量</w:t>
            </w:r>
            <w:r>
              <w:rPr>
                <w:rFonts w:ascii="仿宋" w:hAnsi="仿宋" w:eastAsia="仿宋"/>
              </w:rPr>
              <w:t>(</w:t>
            </w:r>
            <w:r>
              <w:rPr>
                <w:rFonts w:hint="eastAsia" w:ascii="仿宋" w:hAnsi="仿宋" w:eastAsia="仿宋"/>
              </w:rPr>
              <w:t>万辆</w:t>
            </w:r>
            <w:r>
              <w:rPr>
                <w:rFonts w:ascii="仿宋" w:hAnsi="仿宋" w:eastAsia="仿宋"/>
              </w:rPr>
              <w:t>)</w:t>
            </w:r>
          </w:p>
        </w:tc>
        <w:tc>
          <w:tcPr>
            <w:tcW w:w="1101" w:type="dxa"/>
            <w:vAlign w:val="center"/>
          </w:tcPr>
          <w:p>
            <w:pPr>
              <w:pStyle w:val="27"/>
              <w:jc w:val="center"/>
            </w:pPr>
            <w:r>
              <w:t>2</w:t>
            </w:r>
          </w:p>
        </w:tc>
        <w:tc>
          <w:tcPr>
            <w:tcW w:w="944" w:type="dxa"/>
            <w:vAlign w:val="center"/>
          </w:tcPr>
          <w:p>
            <w:pPr>
              <w:pStyle w:val="27"/>
              <w:jc w:val="center"/>
            </w:pPr>
            <w:r>
              <w:t>2.2</w:t>
            </w:r>
          </w:p>
        </w:tc>
        <w:tc>
          <w:tcPr>
            <w:tcW w:w="983" w:type="dxa"/>
            <w:vAlign w:val="center"/>
          </w:tcPr>
          <w:p>
            <w:pPr>
              <w:pStyle w:val="27"/>
              <w:jc w:val="center"/>
            </w:pPr>
            <w:r>
              <w:t>2.4</w:t>
            </w:r>
          </w:p>
        </w:tc>
        <w:tc>
          <w:tcPr>
            <w:tcW w:w="997" w:type="dxa"/>
            <w:vAlign w:val="center"/>
          </w:tcPr>
          <w:p>
            <w:pPr>
              <w:pStyle w:val="27"/>
              <w:jc w:val="center"/>
            </w:pPr>
            <w:r>
              <w:t>2.7</w:t>
            </w:r>
          </w:p>
        </w:tc>
        <w:tc>
          <w:tcPr>
            <w:tcW w:w="953" w:type="dxa"/>
            <w:vAlign w:val="center"/>
          </w:tcPr>
          <w:p>
            <w:pPr>
              <w:pStyle w:val="27"/>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44" w:type="dxa"/>
            <w:vAlign w:val="center"/>
          </w:tcPr>
          <w:p>
            <w:pPr>
              <w:pStyle w:val="27"/>
              <w:jc w:val="center"/>
              <w:rPr>
                <w:rFonts w:ascii="仿宋" w:hAnsi="仿宋" w:eastAsia="仿宋"/>
              </w:rPr>
            </w:pPr>
            <w:r>
              <w:rPr>
                <w:rFonts w:hint="eastAsia" w:ascii="仿宋" w:hAnsi="仿宋" w:eastAsia="仿宋"/>
              </w:rPr>
              <w:t>占比</w:t>
            </w:r>
          </w:p>
        </w:tc>
        <w:tc>
          <w:tcPr>
            <w:tcW w:w="1101" w:type="dxa"/>
            <w:vAlign w:val="center"/>
          </w:tcPr>
          <w:p>
            <w:pPr>
              <w:pStyle w:val="27"/>
              <w:jc w:val="center"/>
            </w:pPr>
            <w:r>
              <w:rPr>
                <w:rFonts w:hint="eastAsia"/>
                <w:sz w:val="22"/>
                <w:szCs w:val="22"/>
              </w:rPr>
              <w:t>62.5%</w:t>
            </w:r>
          </w:p>
        </w:tc>
        <w:tc>
          <w:tcPr>
            <w:tcW w:w="944" w:type="dxa"/>
            <w:vAlign w:val="center"/>
          </w:tcPr>
          <w:p>
            <w:pPr>
              <w:pStyle w:val="27"/>
              <w:jc w:val="center"/>
            </w:pPr>
            <w:r>
              <w:rPr>
                <w:rFonts w:hint="eastAsia"/>
                <w:sz w:val="22"/>
                <w:szCs w:val="22"/>
              </w:rPr>
              <w:t>65%</w:t>
            </w:r>
          </w:p>
        </w:tc>
        <w:tc>
          <w:tcPr>
            <w:tcW w:w="983" w:type="dxa"/>
            <w:vAlign w:val="center"/>
          </w:tcPr>
          <w:p>
            <w:pPr>
              <w:pStyle w:val="27"/>
              <w:jc w:val="center"/>
            </w:pPr>
            <w:r>
              <w:rPr>
                <w:rFonts w:hint="eastAsia"/>
                <w:sz w:val="22"/>
                <w:szCs w:val="22"/>
              </w:rPr>
              <w:t>65%</w:t>
            </w:r>
          </w:p>
        </w:tc>
        <w:tc>
          <w:tcPr>
            <w:tcW w:w="997" w:type="dxa"/>
            <w:vAlign w:val="center"/>
          </w:tcPr>
          <w:p>
            <w:pPr>
              <w:pStyle w:val="27"/>
              <w:jc w:val="center"/>
            </w:pPr>
            <w:r>
              <w:rPr>
                <w:rFonts w:hint="eastAsia"/>
                <w:sz w:val="22"/>
                <w:szCs w:val="22"/>
              </w:rPr>
              <w:t>67%</w:t>
            </w:r>
          </w:p>
        </w:tc>
        <w:tc>
          <w:tcPr>
            <w:tcW w:w="953" w:type="dxa"/>
            <w:vAlign w:val="center"/>
          </w:tcPr>
          <w:p>
            <w:pPr>
              <w:pStyle w:val="27"/>
              <w:jc w:val="center"/>
            </w:pPr>
            <w:r>
              <w:rPr>
                <w:rFonts w:hint="eastAsia"/>
                <w:sz w:val="22"/>
                <w:szCs w:val="22"/>
              </w:rPr>
              <w:t>67%</w:t>
            </w:r>
          </w:p>
        </w:tc>
      </w:tr>
    </w:tbl>
    <w:p>
      <w:pPr>
        <w:pStyle w:val="26"/>
        <w:spacing w:line="240" w:lineRule="auto"/>
        <w:ind w:firstLine="0"/>
        <w:rPr>
          <w:bCs/>
          <w:sz w:val="22"/>
          <w:szCs w:val="22"/>
        </w:rPr>
      </w:pPr>
      <w:r>
        <w:rPr>
          <w:bCs/>
          <w:sz w:val="22"/>
          <w:szCs w:val="22"/>
        </w:rPr>
        <w:drawing>
          <wp:inline distT="0" distB="0" distL="0" distR="0">
            <wp:extent cx="4916805" cy="1578610"/>
            <wp:effectExtent l="0" t="0" r="0" b="0"/>
            <wp:docPr id="54"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26"/>
        <w:spacing w:afterLines="50" w:line="240" w:lineRule="auto"/>
        <w:ind w:firstLine="0"/>
        <w:rPr>
          <w:rFonts w:eastAsia="仿宋_GB2312"/>
          <w:bCs/>
          <w:sz w:val="24"/>
          <w:szCs w:val="24"/>
        </w:rPr>
      </w:pPr>
      <w:r>
        <w:rPr>
          <w:rFonts w:hint="eastAsia" w:eastAsia="仿宋_GB2312"/>
          <w:bCs/>
          <w:sz w:val="24"/>
          <w:szCs w:val="24"/>
        </w:rPr>
        <w:t xml:space="preserve">图20  </w:t>
      </w:r>
      <w:r>
        <w:rPr>
          <w:rFonts w:eastAsia="仿宋_GB2312"/>
          <w:bCs/>
          <w:sz w:val="24"/>
          <w:szCs w:val="24"/>
        </w:rPr>
        <w:t>2021</w:t>
      </w:r>
      <w:r>
        <w:rPr>
          <w:rFonts w:hint="eastAsia" w:eastAsia="仿宋_GB2312"/>
          <w:bCs/>
          <w:sz w:val="24"/>
          <w:szCs w:val="24"/>
        </w:rPr>
        <w:t>-</w:t>
      </w:r>
      <w:r>
        <w:rPr>
          <w:rFonts w:eastAsia="仿宋_GB2312"/>
          <w:bCs/>
          <w:sz w:val="24"/>
          <w:szCs w:val="24"/>
        </w:rPr>
        <w:t>2025</w:t>
      </w:r>
      <w:r>
        <w:rPr>
          <w:rFonts w:hint="eastAsia" w:eastAsia="仿宋_GB2312"/>
          <w:bCs/>
          <w:sz w:val="24"/>
          <w:szCs w:val="24"/>
        </w:rPr>
        <w:t>年电动网约车推广预测</w:t>
      </w:r>
    </w:p>
    <w:p>
      <w:pPr>
        <w:pStyle w:val="26"/>
        <w:spacing w:beforeLines="50" w:line="580" w:lineRule="exact"/>
        <w:ind w:firstLine="0"/>
        <w:rPr>
          <w:rFonts w:eastAsia="仿宋_GB2312"/>
          <w:bCs/>
          <w:sz w:val="24"/>
          <w:szCs w:val="24"/>
        </w:rPr>
      </w:pPr>
      <w:r>
        <w:rPr>
          <w:rFonts w:hint="eastAsia" w:eastAsia="仿宋_GB2312"/>
          <w:bCs/>
          <w:sz w:val="24"/>
          <w:szCs w:val="24"/>
        </w:rPr>
        <w:t xml:space="preserve">表20  </w:t>
      </w:r>
      <w:r>
        <w:rPr>
          <w:rFonts w:eastAsia="仿宋_GB2312"/>
          <w:bCs/>
          <w:sz w:val="24"/>
          <w:szCs w:val="24"/>
        </w:rPr>
        <w:t>2021-2025</w:t>
      </w:r>
      <w:r>
        <w:rPr>
          <w:rFonts w:hint="eastAsia" w:eastAsia="仿宋_GB2312"/>
          <w:bCs/>
          <w:sz w:val="24"/>
          <w:szCs w:val="24"/>
        </w:rPr>
        <w:t>年电动物流车推广预测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8"/>
        <w:gridCol w:w="1191"/>
        <w:gridCol w:w="1045"/>
        <w:gridCol w:w="954"/>
        <w:gridCol w:w="810"/>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68" w:type="dxa"/>
            <w:vAlign w:val="center"/>
          </w:tcPr>
          <w:p>
            <w:pPr>
              <w:pStyle w:val="27"/>
              <w:spacing w:line="300" w:lineRule="exact"/>
              <w:jc w:val="center"/>
              <w:rPr>
                <w:rFonts w:ascii="仿宋" w:hAnsi="仿宋" w:eastAsia="仿宋"/>
              </w:rPr>
            </w:pPr>
            <w:r>
              <w:rPr>
                <w:rFonts w:hint="eastAsia" w:ascii="仿宋" w:hAnsi="仿宋" w:eastAsia="仿宋"/>
              </w:rPr>
              <w:t>年份</w:t>
            </w:r>
          </w:p>
        </w:tc>
        <w:tc>
          <w:tcPr>
            <w:tcW w:w="1191" w:type="dxa"/>
            <w:vAlign w:val="center"/>
          </w:tcPr>
          <w:p>
            <w:pPr>
              <w:pStyle w:val="27"/>
              <w:spacing w:line="300" w:lineRule="exact"/>
              <w:jc w:val="center"/>
            </w:pPr>
            <w:r>
              <w:rPr>
                <w:rFonts w:hint="eastAsia"/>
              </w:rPr>
              <w:t>2021</w:t>
            </w:r>
          </w:p>
        </w:tc>
        <w:tc>
          <w:tcPr>
            <w:tcW w:w="1045" w:type="dxa"/>
            <w:vAlign w:val="center"/>
          </w:tcPr>
          <w:p>
            <w:pPr>
              <w:pStyle w:val="27"/>
              <w:spacing w:line="300" w:lineRule="exact"/>
              <w:jc w:val="center"/>
            </w:pPr>
            <w:r>
              <w:rPr>
                <w:rFonts w:hint="eastAsia"/>
              </w:rPr>
              <w:t>2022</w:t>
            </w:r>
          </w:p>
        </w:tc>
        <w:tc>
          <w:tcPr>
            <w:tcW w:w="954" w:type="dxa"/>
            <w:vAlign w:val="center"/>
          </w:tcPr>
          <w:p>
            <w:pPr>
              <w:pStyle w:val="27"/>
              <w:spacing w:line="300" w:lineRule="exact"/>
              <w:jc w:val="center"/>
            </w:pPr>
            <w:r>
              <w:rPr>
                <w:rFonts w:hint="eastAsia"/>
              </w:rPr>
              <w:t>2023</w:t>
            </w:r>
          </w:p>
        </w:tc>
        <w:tc>
          <w:tcPr>
            <w:tcW w:w="810" w:type="dxa"/>
            <w:vAlign w:val="center"/>
          </w:tcPr>
          <w:p>
            <w:pPr>
              <w:pStyle w:val="27"/>
              <w:spacing w:line="300" w:lineRule="exact"/>
              <w:jc w:val="center"/>
            </w:pPr>
            <w:r>
              <w:rPr>
                <w:rFonts w:hint="eastAsia"/>
              </w:rPr>
              <w:t>2024</w:t>
            </w:r>
          </w:p>
        </w:tc>
        <w:tc>
          <w:tcPr>
            <w:tcW w:w="954" w:type="dxa"/>
            <w:vAlign w:val="center"/>
          </w:tcPr>
          <w:p>
            <w:pPr>
              <w:pStyle w:val="27"/>
              <w:spacing w:line="300" w:lineRule="exact"/>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568" w:type="dxa"/>
            <w:vAlign w:val="center"/>
          </w:tcPr>
          <w:p>
            <w:pPr>
              <w:pStyle w:val="27"/>
              <w:spacing w:line="300" w:lineRule="exact"/>
              <w:jc w:val="center"/>
              <w:rPr>
                <w:rFonts w:ascii="仿宋" w:hAnsi="仿宋" w:eastAsia="仿宋"/>
              </w:rPr>
            </w:pPr>
            <w:r>
              <w:rPr>
                <w:rFonts w:hint="eastAsia" w:ascii="仿宋" w:hAnsi="仿宋" w:eastAsia="仿宋"/>
              </w:rPr>
              <w:t>电动物流车保有量（万辆）</w:t>
            </w:r>
          </w:p>
        </w:tc>
        <w:tc>
          <w:tcPr>
            <w:tcW w:w="1191" w:type="dxa"/>
            <w:vAlign w:val="center"/>
          </w:tcPr>
          <w:p>
            <w:pPr>
              <w:pStyle w:val="27"/>
              <w:spacing w:line="300" w:lineRule="exact"/>
              <w:jc w:val="center"/>
            </w:pPr>
            <w:r>
              <w:rPr>
                <w:rFonts w:hint="eastAsia"/>
              </w:rPr>
              <w:t>2.2</w:t>
            </w:r>
          </w:p>
        </w:tc>
        <w:tc>
          <w:tcPr>
            <w:tcW w:w="1045" w:type="dxa"/>
            <w:vAlign w:val="center"/>
          </w:tcPr>
          <w:p>
            <w:pPr>
              <w:pStyle w:val="27"/>
              <w:spacing w:line="300" w:lineRule="exact"/>
              <w:jc w:val="center"/>
            </w:pPr>
            <w:r>
              <w:rPr>
                <w:rFonts w:hint="eastAsia"/>
              </w:rPr>
              <w:t>2.3</w:t>
            </w:r>
          </w:p>
        </w:tc>
        <w:tc>
          <w:tcPr>
            <w:tcW w:w="954" w:type="dxa"/>
            <w:vAlign w:val="center"/>
          </w:tcPr>
          <w:p>
            <w:pPr>
              <w:pStyle w:val="27"/>
              <w:spacing w:line="300" w:lineRule="exact"/>
              <w:jc w:val="center"/>
            </w:pPr>
            <w:r>
              <w:rPr>
                <w:rFonts w:hint="eastAsia"/>
              </w:rPr>
              <w:t>2.5</w:t>
            </w:r>
          </w:p>
        </w:tc>
        <w:tc>
          <w:tcPr>
            <w:tcW w:w="810" w:type="dxa"/>
            <w:vAlign w:val="center"/>
          </w:tcPr>
          <w:p>
            <w:pPr>
              <w:pStyle w:val="27"/>
              <w:spacing w:line="300" w:lineRule="exact"/>
              <w:jc w:val="center"/>
            </w:pPr>
            <w:r>
              <w:rPr>
                <w:rFonts w:hint="eastAsia"/>
              </w:rPr>
              <w:t>2.7</w:t>
            </w:r>
          </w:p>
        </w:tc>
        <w:tc>
          <w:tcPr>
            <w:tcW w:w="954" w:type="dxa"/>
            <w:vAlign w:val="center"/>
          </w:tcPr>
          <w:p>
            <w:pPr>
              <w:pStyle w:val="27"/>
              <w:spacing w:line="300" w:lineRule="exact"/>
              <w:jc w:val="center"/>
            </w:pPr>
            <w:r>
              <w:rPr>
                <w:rFonts w:hint="eastAsia"/>
              </w:rPr>
              <w:t>3.0</w:t>
            </w:r>
          </w:p>
        </w:tc>
      </w:tr>
    </w:tbl>
    <w:p>
      <w:pPr>
        <w:pStyle w:val="26"/>
        <w:spacing w:beforeLines="50" w:line="580" w:lineRule="exact"/>
        <w:ind w:firstLine="0"/>
        <w:rPr>
          <w:rFonts w:eastAsia="仿宋_GB2312"/>
          <w:bCs/>
          <w:sz w:val="24"/>
          <w:szCs w:val="24"/>
        </w:rPr>
      </w:pPr>
      <w:r>
        <w:rPr>
          <w:rFonts w:hint="eastAsia" w:eastAsia="仿宋_GB2312"/>
          <w:bCs/>
          <w:sz w:val="24"/>
          <w:szCs w:val="24"/>
        </w:rPr>
        <w:t xml:space="preserve">表21  </w:t>
      </w:r>
      <w:r>
        <w:rPr>
          <w:rFonts w:eastAsia="仿宋_GB2312"/>
          <w:bCs/>
          <w:sz w:val="24"/>
          <w:szCs w:val="24"/>
        </w:rPr>
        <w:t>2021-2025</w:t>
      </w:r>
      <w:r>
        <w:rPr>
          <w:rFonts w:hint="eastAsia" w:eastAsia="仿宋_GB2312"/>
          <w:bCs/>
          <w:sz w:val="24"/>
          <w:szCs w:val="24"/>
        </w:rPr>
        <w:t>年电动环卫车推广预测</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4"/>
        <w:gridCol w:w="1009"/>
        <w:gridCol w:w="1072"/>
        <w:gridCol w:w="954"/>
        <w:gridCol w:w="810"/>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24" w:type="dxa"/>
            <w:vAlign w:val="center"/>
          </w:tcPr>
          <w:p>
            <w:pPr>
              <w:pStyle w:val="27"/>
              <w:jc w:val="center"/>
              <w:rPr>
                <w:rFonts w:ascii="仿宋" w:hAnsi="仿宋" w:eastAsia="仿宋"/>
              </w:rPr>
            </w:pPr>
            <w:r>
              <w:rPr>
                <w:rFonts w:hint="eastAsia" w:ascii="仿宋" w:hAnsi="仿宋" w:eastAsia="仿宋"/>
              </w:rPr>
              <w:t>年份</w:t>
            </w:r>
          </w:p>
        </w:tc>
        <w:tc>
          <w:tcPr>
            <w:tcW w:w="1009" w:type="dxa"/>
            <w:vAlign w:val="center"/>
          </w:tcPr>
          <w:p>
            <w:pPr>
              <w:pStyle w:val="27"/>
              <w:jc w:val="center"/>
            </w:pPr>
            <w:r>
              <w:rPr>
                <w:rFonts w:hint="eastAsia"/>
              </w:rPr>
              <w:t>2021</w:t>
            </w:r>
          </w:p>
        </w:tc>
        <w:tc>
          <w:tcPr>
            <w:tcW w:w="1072" w:type="dxa"/>
            <w:vAlign w:val="center"/>
          </w:tcPr>
          <w:p>
            <w:pPr>
              <w:pStyle w:val="27"/>
              <w:jc w:val="center"/>
            </w:pPr>
            <w:r>
              <w:rPr>
                <w:rFonts w:hint="eastAsia"/>
              </w:rPr>
              <w:t>2022</w:t>
            </w:r>
          </w:p>
        </w:tc>
        <w:tc>
          <w:tcPr>
            <w:tcW w:w="954" w:type="dxa"/>
            <w:vAlign w:val="center"/>
          </w:tcPr>
          <w:p>
            <w:pPr>
              <w:pStyle w:val="27"/>
              <w:jc w:val="center"/>
            </w:pPr>
            <w:r>
              <w:rPr>
                <w:rFonts w:hint="eastAsia"/>
              </w:rPr>
              <w:t>2023</w:t>
            </w:r>
          </w:p>
        </w:tc>
        <w:tc>
          <w:tcPr>
            <w:tcW w:w="810" w:type="dxa"/>
            <w:vAlign w:val="center"/>
          </w:tcPr>
          <w:p>
            <w:pPr>
              <w:pStyle w:val="27"/>
              <w:jc w:val="center"/>
            </w:pPr>
            <w:r>
              <w:rPr>
                <w:rFonts w:hint="eastAsia"/>
              </w:rPr>
              <w:t>2024</w:t>
            </w:r>
          </w:p>
        </w:tc>
        <w:tc>
          <w:tcPr>
            <w:tcW w:w="953" w:type="dxa"/>
            <w:vAlign w:val="center"/>
          </w:tcPr>
          <w:p>
            <w:pPr>
              <w:pStyle w:val="27"/>
              <w:jc w:val="center"/>
            </w:pPr>
            <w:r>
              <w:rPr>
                <w:rFonts w:hint="eastAsia"/>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24" w:type="dxa"/>
            <w:vAlign w:val="center"/>
          </w:tcPr>
          <w:p>
            <w:pPr>
              <w:pStyle w:val="27"/>
              <w:jc w:val="center"/>
              <w:rPr>
                <w:rFonts w:ascii="仿宋" w:hAnsi="仿宋" w:eastAsia="仿宋"/>
              </w:rPr>
            </w:pPr>
            <w:r>
              <w:rPr>
                <w:rFonts w:hint="eastAsia" w:ascii="仿宋" w:hAnsi="仿宋" w:eastAsia="仿宋"/>
              </w:rPr>
              <w:t>环卫车总保有量预计（辆）</w:t>
            </w:r>
          </w:p>
        </w:tc>
        <w:tc>
          <w:tcPr>
            <w:tcW w:w="1009" w:type="dxa"/>
            <w:vAlign w:val="center"/>
          </w:tcPr>
          <w:p>
            <w:pPr>
              <w:pStyle w:val="27"/>
              <w:jc w:val="center"/>
            </w:pPr>
            <w:r>
              <w:rPr>
                <w:rFonts w:hint="eastAsia"/>
              </w:rPr>
              <w:t>6500</w:t>
            </w:r>
          </w:p>
        </w:tc>
        <w:tc>
          <w:tcPr>
            <w:tcW w:w="1072" w:type="dxa"/>
            <w:vAlign w:val="center"/>
          </w:tcPr>
          <w:p>
            <w:pPr>
              <w:pStyle w:val="27"/>
              <w:jc w:val="center"/>
            </w:pPr>
            <w:r>
              <w:rPr>
                <w:rFonts w:hint="eastAsia"/>
              </w:rPr>
              <w:t>7000</w:t>
            </w:r>
          </w:p>
        </w:tc>
        <w:tc>
          <w:tcPr>
            <w:tcW w:w="954" w:type="dxa"/>
            <w:vAlign w:val="center"/>
          </w:tcPr>
          <w:p>
            <w:pPr>
              <w:pStyle w:val="27"/>
              <w:jc w:val="center"/>
            </w:pPr>
            <w:r>
              <w:rPr>
                <w:rFonts w:hint="eastAsia"/>
              </w:rPr>
              <w:t>7500</w:t>
            </w:r>
          </w:p>
        </w:tc>
        <w:tc>
          <w:tcPr>
            <w:tcW w:w="810" w:type="dxa"/>
            <w:vAlign w:val="center"/>
          </w:tcPr>
          <w:p>
            <w:pPr>
              <w:pStyle w:val="27"/>
              <w:jc w:val="center"/>
            </w:pPr>
            <w:r>
              <w:rPr>
                <w:rFonts w:hint="eastAsia"/>
              </w:rPr>
              <w:t>8000</w:t>
            </w:r>
          </w:p>
        </w:tc>
        <w:tc>
          <w:tcPr>
            <w:tcW w:w="953" w:type="dxa"/>
            <w:vAlign w:val="center"/>
          </w:tcPr>
          <w:p>
            <w:pPr>
              <w:pStyle w:val="27"/>
              <w:jc w:val="center"/>
            </w:pPr>
            <w:r>
              <w:rPr>
                <w:rFonts w:hint="eastAsia"/>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24" w:type="dxa"/>
            <w:vAlign w:val="center"/>
          </w:tcPr>
          <w:p>
            <w:pPr>
              <w:pStyle w:val="27"/>
              <w:jc w:val="center"/>
              <w:rPr>
                <w:rFonts w:ascii="仿宋" w:hAnsi="仿宋" w:eastAsia="仿宋"/>
              </w:rPr>
            </w:pPr>
            <w:r>
              <w:rPr>
                <w:rFonts w:hint="eastAsia" w:ascii="仿宋" w:hAnsi="仿宋" w:eastAsia="仿宋"/>
              </w:rPr>
              <w:t>电动环卫车保有量（辆）</w:t>
            </w:r>
          </w:p>
        </w:tc>
        <w:tc>
          <w:tcPr>
            <w:tcW w:w="1009" w:type="dxa"/>
            <w:vAlign w:val="center"/>
          </w:tcPr>
          <w:p>
            <w:pPr>
              <w:pStyle w:val="27"/>
              <w:jc w:val="center"/>
            </w:pPr>
            <w:r>
              <w:t>700</w:t>
            </w:r>
          </w:p>
        </w:tc>
        <w:tc>
          <w:tcPr>
            <w:tcW w:w="1072" w:type="dxa"/>
            <w:vAlign w:val="center"/>
          </w:tcPr>
          <w:p>
            <w:pPr>
              <w:pStyle w:val="27"/>
              <w:jc w:val="center"/>
            </w:pPr>
            <w:r>
              <w:t>900</w:t>
            </w:r>
          </w:p>
        </w:tc>
        <w:tc>
          <w:tcPr>
            <w:tcW w:w="954" w:type="dxa"/>
            <w:vAlign w:val="center"/>
          </w:tcPr>
          <w:p>
            <w:pPr>
              <w:pStyle w:val="27"/>
              <w:jc w:val="center"/>
            </w:pPr>
            <w:r>
              <w:t>1200</w:t>
            </w:r>
          </w:p>
        </w:tc>
        <w:tc>
          <w:tcPr>
            <w:tcW w:w="810" w:type="dxa"/>
            <w:vAlign w:val="center"/>
          </w:tcPr>
          <w:p>
            <w:pPr>
              <w:pStyle w:val="27"/>
              <w:jc w:val="center"/>
            </w:pPr>
            <w:r>
              <w:t>1500</w:t>
            </w:r>
          </w:p>
        </w:tc>
        <w:tc>
          <w:tcPr>
            <w:tcW w:w="953" w:type="dxa"/>
            <w:vAlign w:val="center"/>
          </w:tcPr>
          <w:p>
            <w:pPr>
              <w:pStyle w:val="27"/>
              <w:jc w:val="center"/>
            </w:pPr>
            <w: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724" w:type="dxa"/>
            <w:vAlign w:val="center"/>
          </w:tcPr>
          <w:p>
            <w:pPr>
              <w:pStyle w:val="27"/>
              <w:jc w:val="center"/>
              <w:rPr>
                <w:rFonts w:ascii="仿宋" w:hAnsi="仿宋" w:eastAsia="仿宋"/>
              </w:rPr>
            </w:pPr>
            <w:r>
              <w:rPr>
                <w:rFonts w:hint="eastAsia" w:ascii="仿宋" w:hAnsi="仿宋" w:eastAsia="仿宋"/>
              </w:rPr>
              <w:t>占比</w:t>
            </w:r>
          </w:p>
        </w:tc>
        <w:tc>
          <w:tcPr>
            <w:tcW w:w="1009" w:type="dxa"/>
            <w:vAlign w:val="center"/>
          </w:tcPr>
          <w:p>
            <w:pPr>
              <w:pStyle w:val="27"/>
              <w:jc w:val="center"/>
            </w:pPr>
            <w:r>
              <w:rPr>
                <w:rFonts w:hint="eastAsia"/>
                <w:sz w:val="22"/>
                <w:szCs w:val="22"/>
              </w:rPr>
              <w:t>10%</w:t>
            </w:r>
          </w:p>
        </w:tc>
        <w:tc>
          <w:tcPr>
            <w:tcW w:w="1072" w:type="dxa"/>
            <w:vAlign w:val="center"/>
          </w:tcPr>
          <w:p>
            <w:pPr>
              <w:pStyle w:val="27"/>
              <w:jc w:val="center"/>
            </w:pPr>
            <w:r>
              <w:rPr>
                <w:rFonts w:hint="eastAsia"/>
                <w:sz w:val="22"/>
                <w:szCs w:val="22"/>
              </w:rPr>
              <w:t>13%</w:t>
            </w:r>
          </w:p>
        </w:tc>
        <w:tc>
          <w:tcPr>
            <w:tcW w:w="954" w:type="dxa"/>
            <w:vAlign w:val="center"/>
          </w:tcPr>
          <w:p>
            <w:pPr>
              <w:pStyle w:val="27"/>
              <w:jc w:val="center"/>
            </w:pPr>
            <w:r>
              <w:rPr>
                <w:rFonts w:hint="eastAsia"/>
                <w:sz w:val="22"/>
                <w:szCs w:val="22"/>
              </w:rPr>
              <w:t>16%</w:t>
            </w:r>
          </w:p>
        </w:tc>
        <w:tc>
          <w:tcPr>
            <w:tcW w:w="810" w:type="dxa"/>
            <w:vAlign w:val="center"/>
          </w:tcPr>
          <w:p>
            <w:pPr>
              <w:pStyle w:val="27"/>
              <w:jc w:val="center"/>
            </w:pPr>
            <w:r>
              <w:rPr>
                <w:rFonts w:hint="eastAsia"/>
                <w:sz w:val="22"/>
                <w:szCs w:val="22"/>
              </w:rPr>
              <w:t>19%</w:t>
            </w:r>
          </w:p>
        </w:tc>
        <w:tc>
          <w:tcPr>
            <w:tcW w:w="953" w:type="dxa"/>
            <w:vAlign w:val="center"/>
          </w:tcPr>
          <w:p>
            <w:pPr>
              <w:pStyle w:val="27"/>
              <w:jc w:val="center"/>
            </w:pPr>
            <w:r>
              <w:rPr>
                <w:rFonts w:hint="eastAsia"/>
                <w:sz w:val="22"/>
                <w:szCs w:val="22"/>
              </w:rPr>
              <w:t>21%</w:t>
            </w:r>
          </w:p>
        </w:tc>
      </w:tr>
    </w:tbl>
    <w:p>
      <w:pPr>
        <w:pStyle w:val="26"/>
        <w:spacing w:line="240" w:lineRule="auto"/>
        <w:ind w:firstLine="0"/>
        <w:rPr>
          <w:bCs/>
          <w:sz w:val="22"/>
          <w:szCs w:val="22"/>
        </w:rPr>
      </w:pPr>
    </w:p>
    <w:p>
      <w:pPr>
        <w:pStyle w:val="26"/>
        <w:spacing w:line="240" w:lineRule="auto"/>
        <w:ind w:firstLine="0"/>
        <w:rPr>
          <w:bCs/>
          <w:sz w:val="22"/>
          <w:szCs w:val="22"/>
        </w:rPr>
      </w:pPr>
      <w:r>
        <w:rPr>
          <w:bCs/>
          <w:sz w:val="22"/>
          <w:szCs w:val="22"/>
        </w:rPr>
        <w:drawing>
          <wp:inline distT="0" distB="0" distL="0" distR="0">
            <wp:extent cx="5327015" cy="1915795"/>
            <wp:effectExtent l="0" t="0" r="0" b="0"/>
            <wp:docPr id="55"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26"/>
        <w:spacing w:afterLines="50" w:line="240" w:lineRule="auto"/>
        <w:ind w:firstLine="0"/>
        <w:rPr>
          <w:rFonts w:eastAsia="仿宋_GB2312"/>
          <w:bCs/>
          <w:sz w:val="24"/>
          <w:szCs w:val="24"/>
        </w:rPr>
      </w:pPr>
      <w:r>
        <w:rPr>
          <w:rFonts w:hint="eastAsia" w:eastAsia="仿宋_GB2312"/>
          <w:bCs/>
          <w:sz w:val="24"/>
          <w:szCs w:val="24"/>
        </w:rPr>
        <w:t xml:space="preserve">图21  </w:t>
      </w:r>
      <w:r>
        <w:rPr>
          <w:rFonts w:eastAsia="仿宋_GB2312"/>
          <w:bCs/>
          <w:sz w:val="24"/>
          <w:szCs w:val="24"/>
        </w:rPr>
        <w:t>2021-2025</w:t>
      </w:r>
      <w:r>
        <w:rPr>
          <w:rFonts w:hint="eastAsia" w:eastAsia="仿宋_GB2312"/>
          <w:bCs/>
          <w:sz w:val="24"/>
          <w:szCs w:val="24"/>
        </w:rPr>
        <w:t>年电动环卫车推广预测</w:t>
      </w:r>
    </w:p>
    <w:p>
      <w:pPr>
        <w:pStyle w:val="26"/>
        <w:spacing w:beforeLines="50" w:line="580" w:lineRule="exact"/>
        <w:ind w:firstLine="0"/>
        <w:rPr>
          <w:rFonts w:eastAsia="仿宋_GB2312"/>
          <w:bCs/>
          <w:sz w:val="24"/>
          <w:szCs w:val="24"/>
        </w:rPr>
      </w:pPr>
      <w:r>
        <w:rPr>
          <w:rFonts w:hint="eastAsia" w:eastAsia="仿宋_GB2312"/>
          <w:bCs/>
          <w:sz w:val="24"/>
          <w:szCs w:val="24"/>
        </w:rPr>
        <w:t>表22  陕西省“十四五”电动汽车保有量预测（万辆）</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977"/>
        <w:gridCol w:w="977"/>
        <w:gridCol w:w="951"/>
        <w:gridCol w:w="97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977" w:type="dxa"/>
            <w:shd w:val="clear" w:color="auto" w:fill="auto"/>
            <w:vAlign w:val="center"/>
          </w:tcPr>
          <w:p>
            <w:pPr>
              <w:pStyle w:val="27"/>
              <w:spacing w:line="300" w:lineRule="exact"/>
              <w:jc w:val="center"/>
            </w:pPr>
            <w:r>
              <w:rPr>
                <w:rFonts w:hint="eastAsia"/>
              </w:rPr>
              <w:t>2021</w:t>
            </w:r>
          </w:p>
        </w:tc>
        <w:tc>
          <w:tcPr>
            <w:tcW w:w="977" w:type="dxa"/>
            <w:shd w:val="clear" w:color="auto" w:fill="auto"/>
            <w:vAlign w:val="center"/>
          </w:tcPr>
          <w:p>
            <w:pPr>
              <w:pStyle w:val="27"/>
              <w:spacing w:line="300" w:lineRule="exact"/>
              <w:jc w:val="center"/>
            </w:pPr>
            <w:r>
              <w:rPr>
                <w:rFonts w:hint="eastAsia"/>
              </w:rPr>
              <w:t>2022</w:t>
            </w:r>
          </w:p>
        </w:tc>
        <w:tc>
          <w:tcPr>
            <w:tcW w:w="951" w:type="dxa"/>
            <w:shd w:val="clear" w:color="auto" w:fill="auto"/>
            <w:vAlign w:val="center"/>
          </w:tcPr>
          <w:p>
            <w:pPr>
              <w:pStyle w:val="27"/>
              <w:spacing w:line="300" w:lineRule="exact"/>
              <w:jc w:val="center"/>
            </w:pPr>
            <w:r>
              <w:rPr>
                <w:rFonts w:hint="eastAsia"/>
              </w:rPr>
              <w:t>2023</w:t>
            </w:r>
          </w:p>
        </w:tc>
        <w:tc>
          <w:tcPr>
            <w:tcW w:w="977" w:type="dxa"/>
            <w:shd w:val="clear" w:color="auto" w:fill="auto"/>
            <w:vAlign w:val="center"/>
          </w:tcPr>
          <w:p>
            <w:pPr>
              <w:pStyle w:val="27"/>
              <w:spacing w:line="300" w:lineRule="exact"/>
              <w:jc w:val="center"/>
            </w:pPr>
            <w:r>
              <w:rPr>
                <w:rFonts w:hint="eastAsia"/>
              </w:rPr>
              <w:t>2024</w:t>
            </w:r>
          </w:p>
        </w:tc>
        <w:tc>
          <w:tcPr>
            <w:tcW w:w="878" w:type="dxa"/>
            <w:shd w:val="clear" w:color="auto" w:fill="auto"/>
            <w:vAlign w:val="center"/>
          </w:tcPr>
          <w:p>
            <w:pPr>
              <w:pStyle w:val="27"/>
              <w:spacing w:line="300" w:lineRule="exact"/>
              <w:jc w:val="center"/>
            </w:pPr>
            <w:r>
              <w:rPr>
                <w:rFonts w:hint="eastAsia"/>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电动公交车</w:t>
            </w:r>
          </w:p>
        </w:tc>
        <w:tc>
          <w:tcPr>
            <w:tcW w:w="977" w:type="dxa"/>
            <w:shd w:val="clear" w:color="auto" w:fill="auto"/>
            <w:vAlign w:val="center"/>
          </w:tcPr>
          <w:p>
            <w:pPr>
              <w:pStyle w:val="27"/>
              <w:widowControl/>
              <w:spacing w:line="300" w:lineRule="exact"/>
              <w:jc w:val="center"/>
            </w:pPr>
            <w:r>
              <w:t>1.</w:t>
            </w:r>
            <w:r>
              <w:rPr>
                <w:rFonts w:hint="eastAsia"/>
              </w:rPr>
              <w:t>1</w:t>
            </w:r>
          </w:p>
        </w:tc>
        <w:tc>
          <w:tcPr>
            <w:tcW w:w="977" w:type="dxa"/>
            <w:shd w:val="clear" w:color="auto" w:fill="auto"/>
            <w:vAlign w:val="center"/>
          </w:tcPr>
          <w:p>
            <w:pPr>
              <w:pStyle w:val="27"/>
              <w:widowControl/>
              <w:spacing w:line="300" w:lineRule="exact"/>
              <w:jc w:val="center"/>
            </w:pPr>
            <w:r>
              <w:t>1.</w:t>
            </w:r>
            <w:r>
              <w:rPr>
                <w:rFonts w:hint="eastAsia"/>
              </w:rPr>
              <w:t>3</w:t>
            </w:r>
          </w:p>
        </w:tc>
        <w:tc>
          <w:tcPr>
            <w:tcW w:w="951" w:type="dxa"/>
            <w:shd w:val="clear" w:color="auto" w:fill="auto"/>
            <w:vAlign w:val="center"/>
          </w:tcPr>
          <w:p>
            <w:pPr>
              <w:pStyle w:val="27"/>
              <w:widowControl/>
              <w:spacing w:line="300" w:lineRule="exact"/>
              <w:jc w:val="center"/>
            </w:pPr>
            <w:r>
              <w:t>1.</w:t>
            </w:r>
            <w:r>
              <w:rPr>
                <w:rFonts w:hint="eastAsia"/>
              </w:rPr>
              <w:t>5</w:t>
            </w:r>
          </w:p>
        </w:tc>
        <w:tc>
          <w:tcPr>
            <w:tcW w:w="977" w:type="dxa"/>
            <w:shd w:val="clear" w:color="auto" w:fill="auto"/>
            <w:vAlign w:val="center"/>
          </w:tcPr>
          <w:p>
            <w:pPr>
              <w:pStyle w:val="27"/>
              <w:widowControl/>
              <w:spacing w:line="300" w:lineRule="exact"/>
              <w:jc w:val="center"/>
            </w:pPr>
            <w:r>
              <w:t>1.7</w:t>
            </w:r>
          </w:p>
        </w:tc>
        <w:tc>
          <w:tcPr>
            <w:tcW w:w="878" w:type="dxa"/>
            <w:shd w:val="clear" w:color="auto" w:fill="auto"/>
            <w:vAlign w:val="center"/>
          </w:tcPr>
          <w:p>
            <w:pPr>
              <w:pStyle w:val="27"/>
              <w:widowControl/>
              <w:spacing w:line="30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电动巡游出租车</w:t>
            </w:r>
          </w:p>
        </w:tc>
        <w:tc>
          <w:tcPr>
            <w:tcW w:w="977" w:type="dxa"/>
            <w:shd w:val="clear" w:color="auto" w:fill="auto"/>
            <w:vAlign w:val="center"/>
          </w:tcPr>
          <w:p>
            <w:pPr>
              <w:pStyle w:val="27"/>
              <w:widowControl/>
              <w:spacing w:line="300" w:lineRule="exact"/>
              <w:jc w:val="center"/>
            </w:pPr>
            <w:r>
              <w:t>1.5</w:t>
            </w:r>
          </w:p>
        </w:tc>
        <w:tc>
          <w:tcPr>
            <w:tcW w:w="977" w:type="dxa"/>
            <w:shd w:val="clear" w:color="auto" w:fill="auto"/>
            <w:vAlign w:val="center"/>
          </w:tcPr>
          <w:p>
            <w:pPr>
              <w:pStyle w:val="27"/>
              <w:widowControl/>
              <w:spacing w:line="300" w:lineRule="exact"/>
              <w:jc w:val="center"/>
            </w:pPr>
            <w:r>
              <w:t>1.8</w:t>
            </w:r>
          </w:p>
        </w:tc>
        <w:tc>
          <w:tcPr>
            <w:tcW w:w="951" w:type="dxa"/>
            <w:shd w:val="clear" w:color="auto" w:fill="auto"/>
            <w:vAlign w:val="center"/>
          </w:tcPr>
          <w:p>
            <w:pPr>
              <w:pStyle w:val="27"/>
              <w:widowControl/>
              <w:spacing w:line="300" w:lineRule="exact"/>
              <w:jc w:val="center"/>
            </w:pPr>
            <w:r>
              <w:t>2.1</w:t>
            </w:r>
          </w:p>
        </w:tc>
        <w:tc>
          <w:tcPr>
            <w:tcW w:w="977" w:type="dxa"/>
            <w:shd w:val="clear" w:color="auto" w:fill="auto"/>
            <w:vAlign w:val="center"/>
          </w:tcPr>
          <w:p>
            <w:pPr>
              <w:pStyle w:val="27"/>
              <w:widowControl/>
              <w:spacing w:line="300" w:lineRule="exact"/>
              <w:jc w:val="center"/>
            </w:pPr>
            <w:r>
              <w:t>2.5</w:t>
            </w:r>
          </w:p>
        </w:tc>
        <w:tc>
          <w:tcPr>
            <w:tcW w:w="878" w:type="dxa"/>
            <w:shd w:val="clear" w:color="auto" w:fill="auto"/>
            <w:vAlign w:val="center"/>
          </w:tcPr>
          <w:p>
            <w:pPr>
              <w:pStyle w:val="27"/>
              <w:widowControl/>
              <w:spacing w:line="300" w:lineRule="exact"/>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电动网约出租车</w:t>
            </w:r>
          </w:p>
        </w:tc>
        <w:tc>
          <w:tcPr>
            <w:tcW w:w="977" w:type="dxa"/>
            <w:shd w:val="clear" w:color="auto" w:fill="auto"/>
            <w:vAlign w:val="center"/>
          </w:tcPr>
          <w:p>
            <w:pPr>
              <w:pStyle w:val="27"/>
              <w:widowControl/>
              <w:spacing w:line="300" w:lineRule="exact"/>
              <w:jc w:val="center"/>
            </w:pPr>
            <w:r>
              <w:t>2</w:t>
            </w:r>
          </w:p>
        </w:tc>
        <w:tc>
          <w:tcPr>
            <w:tcW w:w="977" w:type="dxa"/>
            <w:shd w:val="clear" w:color="auto" w:fill="auto"/>
            <w:vAlign w:val="center"/>
          </w:tcPr>
          <w:p>
            <w:pPr>
              <w:pStyle w:val="27"/>
              <w:widowControl/>
              <w:spacing w:line="300" w:lineRule="exact"/>
              <w:jc w:val="center"/>
            </w:pPr>
            <w:r>
              <w:t>2.2</w:t>
            </w:r>
          </w:p>
        </w:tc>
        <w:tc>
          <w:tcPr>
            <w:tcW w:w="951" w:type="dxa"/>
            <w:shd w:val="clear" w:color="auto" w:fill="auto"/>
            <w:vAlign w:val="center"/>
          </w:tcPr>
          <w:p>
            <w:pPr>
              <w:pStyle w:val="27"/>
              <w:widowControl/>
              <w:spacing w:line="300" w:lineRule="exact"/>
              <w:jc w:val="center"/>
            </w:pPr>
            <w:r>
              <w:t>2.4</w:t>
            </w:r>
          </w:p>
        </w:tc>
        <w:tc>
          <w:tcPr>
            <w:tcW w:w="977" w:type="dxa"/>
            <w:shd w:val="clear" w:color="auto" w:fill="auto"/>
            <w:vAlign w:val="center"/>
          </w:tcPr>
          <w:p>
            <w:pPr>
              <w:pStyle w:val="27"/>
              <w:widowControl/>
              <w:spacing w:line="300" w:lineRule="exact"/>
              <w:jc w:val="center"/>
            </w:pPr>
            <w:r>
              <w:t>2.7</w:t>
            </w:r>
          </w:p>
        </w:tc>
        <w:tc>
          <w:tcPr>
            <w:tcW w:w="878" w:type="dxa"/>
            <w:shd w:val="clear" w:color="auto" w:fill="auto"/>
            <w:vAlign w:val="center"/>
          </w:tcPr>
          <w:p>
            <w:pPr>
              <w:pStyle w:val="27"/>
              <w:widowControl/>
              <w:spacing w:line="300" w:lineRule="exact"/>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电动物流车</w:t>
            </w:r>
          </w:p>
        </w:tc>
        <w:tc>
          <w:tcPr>
            <w:tcW w:w="977" w:type="dxa"/>
            <w:shd w:val="clear" w:color="auto" w:fill="auto"/>
            <w:vAlign w:val="center"/>
          </w:tcPr>
          <w:p>
            <w:pPr>
              <w:pStyle w:val="27"/>
              <w:widowControl/>
              <w:spacing w:line="300" w:lineRule="exact"/>
              <w:jc w:val="center"/>
            </w:pPr>
            <w:r>
              <w:t>2.2</w:t>
            </w:r>
          </w:p>
        </w:tc>
        <w:tc>
          <w:tcPr>
            <w:tcW w:w="977" w:type="dxa"/>
            <w:shd w:val="clear" w:color="auto" w:fill="auto"/>
            <w:vAlign w:val="center"/>
          </w:tcPr>
          <w:p>
            <w:pPr>
              <w:pStyle w:val="27"/>
              <w:widowControl/>
              <w:spacing w:line="300" w:lineRule="exact"/>
              <w:jc w:val="center"/>
            </w:pPr>
            <w:r>
              <w:t>2.3</w:t>
            </w:r>
          </w:p>
        </w:tc>
        <w:tc>
          <w:tcPr>
            <w:tcW w:w="951" w:type="dxa"/>
            <w:shd w:val="clear" w:color="auto" w:fill="auto"/>
            <w:vAlign w:val="center"/>
          </w:tcPr>
          <w:p>
            <w:pPr>
              <w:pStyle w:val="27"/>
              <w:widowControl/>
              <w:spacing w:line="300" w:lineRule="exact"/>
              <w:jc w:val="center"/>
            </w:pPr>
            <w:r>
              <w:t>2.5</w:t>
            </w:r>
          </w:p>
        </w:tc>
        <w:tc>
          <w:tcPr>
            <w:tcW w:w="977" w:type="dxa"/>
            <w:shd w:val="clear" w:color="auto" w:fill="auto"/>
            <w:vAlign w:val="center"/>
          </w:tcPr>
          <w:p>
            <w:pPr>
              <w:pStyle w:val="27"/>
              <w:widowControl/>
              <w:spacing w:line="300" w:lineRule="exact"/>
              <w:jc w:val="center"/>
            </w:pPr>
            <w:r>
              <w:t>2.7</w:t>
            </w:r>
          </w:p>
        </w:tc>
        <w:tc>
          <w:tcPr>
            <w:tcW w:w="878" w:type="dxa"/>
            <w:shd w:val="clear" w:color="auto" w:fill="auto"/>
            <w:vAlign w:val="center"/>
          </w:tcPr>
          <w:p>
            <w:pPr>
              <w:pStyle w:val="27"/>
              <w:widowControl/>
              <w:spacing w:line="300" w:lineRule="exact"/>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电动环卫车</w:t>
            </w:r>
          </w:p>
        </w:tc>
        <w:tc>
          <w:tcPr>
            <w:tcW w:w="977" w:type="dxa"/>
            <w:shd w:val="clear" w:color="auto" w:fill="auto"/>
            <w:vAlign w:val="center"/>
          </w:tcPr>
          <w:p>
            <w:pPr>
              <w:pStyle w:val="27"/>
              <w:widowControl/>
              <w:spacing w:line="300" w:lineRule="exact"/>
              <w:jc w:val="center"/>
            </w:pPr>
            <w:r>
              <w:t>0.07</w:t>
            </w:r>
          </w:p>
        </w:tc>
        <w:tc>
          <w:tcPr>
            <w:tcW w:w="977" w:type="dxa"/>
            <w:shd w:val="clear" w:color="auto" w:fill="auto"/>
            <w:vAlign w:val="center"/>
          </w:tcPr>
          <w:p>
            <w:pPr>
              <w:pStyle w:val="27"/>
              <w:widowControl/>
              <w:spacing w:line="300" w:lineRule="exact"/>
              <w:jc w:val="center"/>
            </w:pPr>
            <w:r>
              <w:t>0.09</w:t>
            </w:r>
          </w:p>
        </w:tc>
        <w:tc>
          <w:tcPr>
            <w:tcW w:w="951" w:type="dxa"/>
            <w:shd w:val="clear" w:color="auto" w:fill="auto"/>
            <w:vAlign w:val="center"/>
          </w:tcPr>
          <w:p>
            <w:pPr>
              <w:pStyle w:val="27"/>
              <w:widowControl/>
              <w:spacing w:line="300" w:lineRule="exact"/>
              <w:jc w:val="center"/>
            </w:pPr>
            <w:r>
              <w:t>0.12</w:t>
            </w:r>
          </w:p>
        </w:tc>
        <w:tc>
          <w:tcPr>
            <w:tcW w:w="977" w:type="dxa"/>
            <w:shd w:val="clear" w:color="auto" w:fill="auto"/>
            <w:vAlign w:val="center"/>
          </w:tcPr>
          <w:p>
            <w:pPr>
              <w:pStyle w:val="27"/>
              <w:widowControl/>
              <w:spacing w:line="300" w:lineRule="exact"/>
              <w:jc w:val="center"/>
            </w:pPr>
            <w:r>
              <w:t>0.15</w:t>
            </w:r>
          </w:p>
        </w:tc>
        <w:tc>
          <w:tcPr>
            <w:tcW w:w="878" w:type="dxa"/>
            <w:shd w:val="clear" w:color="auto" w:fill="auto"/>
            <w:vAlign w:val="center"/>
          </w:tcPr>
          <w:p>
            <w:pPr>
              <w:pStyle w:val="27"/>
              <w:widowControl/>
              <w:spacing w:line="300" w:lineRule="exact"/>
              <w:jc w:val="center"/>
            </w:pPr>
            <w: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电动客运班车、旅游客车</w:t>
            </w:r>
          </w:p>
        </w:tc>
        <w:tc>
          <w:tcPr>
            <w:tcW w:w="977" w:type="dxa"/>
            <w:shd w:val="clear" w:color="auto" w:fill="auto"/>
            <w:vAlign w:val="center"/>
          </w:tcPr>
          <w:p>
            <w:pPr>
              <w:pStyle w:val="27"/>
              <w:widowControl/>
              <w:spacing w:line="300" w:lineRule="exact"/>
              <w:jc w:val="center"/>
            </w:pPr>
            <w:r>
              <w:t>0.05</w:t>
            </w:r>
          </w:p>
        </w:tc>
        <w:tc>
          <w:tcPr>
            <w:tcW w:w="977" w:type="dxa"/>
            <w:shd w:val="clear" w:color="auto" w:fill="auto"/>
            <w:vAlign w:val="center"/>
          </w:tcPr>
          <w:p>
            <w:pPr>
              <w:pStyle w:val="27"/>
              <w:widowControl/>
              <w:spacing w:line="300" w:lineRule="exact"/>
              <w:jc w:val="center"/>
            </w:pPr>
            <w:r>
              <w:t>0.15</w:t>
            </w:r>
          </w:p>
        </w:tc>
        <w:tc>
          <w:tcPr>
            <w:tcW w:w="951" w:type="dxa"/>
            <w:shd w:val="clear" w:color="auto" w:fill="auto"/>
            <w:vAlign w:val="center"/>
          </w:tcPr>
          <w:p>
            <w:pPr>
              <w:pStyle w:val="27"/>
              <w:widowControl/>
              <w:spacing w:line="300" w:lineRule="exact"/>
              <w:jc w:val="center"/>
            </w:pPr>
            <w:r>
              <w:t>0.3</w:t>
            </w:r>
          </w:p>
        </w:tc>
        <w:tc>
          <w:tcPr>
            <w:tcW w:w="977" w:type="dxa"/>
            <w:shd w:val="clear" w:color="auto" w:fill="auto"/>
            <w:vAlign w:val="center"/>
          </w:tcPr>
          <w:p>
            <w:pPr>
              <w:pStyle w:val="27"/>
              <w:widowControl/>
              <w:spacing w:line="300" w:lineRule="exact"/>
              <w:jc w:val="center"/>
            </w:pPr>
            <w:r>
              <w:t>0.45</w:t>
            </w:r>
          </w:p>
        </w:tc>
        <w:tc>
          <w:tcPr>
            <w:tcW w:w="878" w:type="dxa"/>
            <w:shd w:val="clear" w:color="auto" w:fill="auto"/>
            <w:vAlign w:val="center"/>
          </w:tcPr>
          <w:p>
            <w:pPr>
              <w:pStyle w:val="27"/>
              <w:widowControl/>
              <w:spacing w:line="300" w:lineRule="exact"/>
              <w:jc w:val="center"/>
            </w:pPr>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其他（机场用车、工程车辆）</w:t>
            </w:r>
          </w:p>
        </w:tc>
        <w:tc>
          <w:tcPr>
            <w:tcW w:w="977" w:type="dxa"/>
            <w:shd w:val="clear" w:color="auto" w:fill="auto"/>
            <w:vAlign w:val="center"/>
          </w:tcPr>
          <w:p>
            <w:pPr>
              <w:pStyle w:val="27"/>
              <w:widowControl/>
              <w:spacing w:line="300" w:lineRule="exact"/>
              <w:jc w:val="center"/>
            </w:pPr>
            <w:r>
              <w:t>0.0</w:t>
            </w:r>
            <w:r>
              <w:rPr>
                <w:rFonts w:hint="eastAsia"/>
              </w:rPr>
              <w:t>3</w:t>
            </w:r>
          </w:p>
        </w:tc>
        <w:tc>
          <w:tcPr>
            <w:tcW w:w="977" w:type="dxa"/>
            <w:shd w:val="clear" w:color="auto" w:fill="auto"/>
            <w:vAlign w:val="center"/>
          </w:tcPr>
          <w:p>
            <w:pPr>
              <w:pStyle w:val="27"/>
              <w:widowControl/>
              <w:spacing w:line="300" w:lineRule="exact"/>
              <w:jc w:val="center"/>
            </w:pPr>
            <w:r>
              <w:t>0.0</w:t>
            </w:r>
            <w:r>
              <w:rPr>
                <w:rFonts w:hint="eastAsia"/>
              </w:rPr>
              <w:t>7</w:t>
            </w:r>
          </w:p>
        </w:tc>
        <w:tc>
          <w:tcPr>
            <w:tcW w:w="951" w:type="dxa"/>
            <w:shd w:val="clear" w:color="auto" w:fill="auto"/>
            <w:vAlign w:val="center"/>
          </w:tcPr>
          <w:p>
            <w:pPr>
              <w:pStyle w:val="27"/>
              <w:widowControl/>
              <w:spacing w:line="300" w:lineRule="exact"/>
              <w:jc w:val="center"/>
            </w:pPr>
            <w:r>
              <w:t>0.</w:t>
            </w:r>
            <w:r>
              <w:rPr>
                <w:rFonts w:hint="eastAsia"/>
              </w:rPr>
              <w:t>14</w:t>
            </w:r>
          </w:p>
        </w:tc>
        <w:tc>
          <w:tcPr>
            <w:tcW w:w="977" w:type="dxa"/>
            <w:shd w:val="clear" w:color="auto" w:fill="auto"/>
            <w:vAlign w:val="center"/>
          </w:tcPr>
          <w:p>
            <w:pPr>
              <w:pStyle w:val="27"/>
              <w:widowControl/>
              <w:spacing w:line="300" w:lineRule="exact"/>
              <w:jc w:val="center"/>
            </w:pPr>
            <w:r>
              <w:t>0.</w:t>
            </w:r>
            <w:r>
              <w:rPr>
                <w:rFonts w:hint="eastAsia"/>
              </w:rPr>
              <w:t>21</w:t>
            </w:r>
          </w:p>
        </w:tc>
        <w:tc>
          <w:tcPr>
            <w:tcW w:w="878" w:type="dxa"/>
            <w:shd w:val="clear" w:color="auto" w:fill="auto"/>
            <w:vAlign w:val="center"/>
          </w:tcPr>
          <w:p>
            <w:pPr>
              <w:pStyle w:val="27"/>
              <w:widowControl/>
              <w:spacing w:line="300" w:lineRule="exact"/>
              <w:jc w:val="center"/>
            </w:pPr>
            <w:r>
              <w:t>0.</w:t>
            </w:r>
            <w:r>
              <w:rPr>
                <w:rFonts w:hint="eastAsia"/>
              </w:rPr>
              <w:t>2</w:t>
            </w: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电动私人及公务乘用车</w:t>
            </w:r>
          </w:p>
        </w:tc>
        <w:tc>
          <w:tcPr>
            <w:tcW w:w="977" w:type="dxa"/>
            <w:shd w:val="clear" w:color="auto" w:fill="auto"/>
          </w:tcPr>
          <w:p>
            <w:pPr>
              <w:pStyle w:val="27"/>
              <w:widowControl/>
              <w:spacing w:line="300" w:lineRule="exact"/>
              <w:jc w:val="center"/>
            </w:pPr>
            <w:r>
              <w:t>10.05</w:t>
            </w:r>
          </w:p>
        </w:tc>
        <w:tc>
          <w:tcPr>
            <w:tcW w:w="977" w:type="dxa"/>
            <w:shd w:val="clear" w:color="auto" w:fill="auto"/>
          </w:tcPr>
          <w:p>
            <w:pPr>
              <w:pStyle w:val="27"/>
              <w:widowControl/>
              <w:spacing w:line="300" w:lineRule="exact"/>
              <w:jc w:val="center"/>
            </w:pPr>
            <w:r>
              <w:t>16.29</w:t>
            </w:r>
          </w:p>
        </w:tc>
        <w:tc>
          <w:tcPr>
            <w:tcW w:w="951" w:type="dxa"/>
            <w:shd w:val="clear" w:color="auto" w:fill="auto"/>
          </w:tcPr>
          <w:p>
            <w:pPr>
              <w:pStyle w:val="27"/>
              <w:widowControl/>
              <w:spacing w:line="300" w:lineRule="exact"/>
              <w:jc w:val="center"/>
            </w:pPr>
            <w:r>
              <w:t>24.74</w:t>
            </w:r>
          </w:p>
        </w:tc>
        <w:tc>
          <w:tcPr>
            <w:tcW w:w="977" w:type="dxa"/>
            <w:shd w:val="clear" w:color="auto" w:fill="auto"/>
          </w:tcPr>
          <w:p>
            <w:pPr>
              <w:pStyle w:val="27"/>
              <w:widowControl/>
              <w:spacing w:line="300" w:lineRule="exact"/>
              <w:jc w:val="center"/>
            </w:pPr>
            <w:r>
              <w:t>35.59</w:t>
            </w:r>
          </w:p>
        </w:tc>
        <w:tc>
          <w:tcPr>
            <w:tcW w:w="878" w:type="dxa"/>
            <w:shd w:val="clear" w:color="auto" w:fill="auto"/>
          </w:tcPr>
          <w:p>
            <w:pPr>
              <w:pStyle w:val="27"/>
              <w:widowControl/>
              <w:spacing w:line="300" w:lineRule="exact"/>
              <w:jc w:val="center"/>
            </w:pPr>
            <w:r>
              <w:t>47.94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62"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合计</w:t>
            </w:r>
          </w:p>
        </w:tc>
        <w:tc>
          <w:tcPr>
            <w:tcW w:w="977" w:type="dxa"/>
            <w:shd w:val="clear" w:color="auto" w:fill="auto"/>
          </w:tcPr>
          <w:p>
            <w:pPr>
              <w:pStyle w:val="27"/>
              <w:widowControl/>
              <w:spacing w:line="300" w:lineRule="exact"/>
              <w:jc w:val="center"/>
            </w:pPr>
            <w:r>
              <w:rPr>
                <w:rFonts w:hint="eastAsia"/>
              </w:rPr>
              <w:t>17</w:t>
            </w:r>
          </w:p>
        </w:tc>
        <w:tc>
          <w:tcPr>
            <w:tcW w:w="977" w:type="dxa"/>
            <w:shd w:val="clear" w:color="auto" w:fill="auto"/>
          </w:tcPr>
          <w:p>
            <w:pPr>
              <w:pStyle w:val="27"/>
              <w:widowControl/>
              <w:spacing w:line="300" w:lineRule="exact"/>
              <w:jc w:val="center"/>
            </w:pPr>
            <w:r>
              <w:rPr>
                <w:rFonts w:hint="eastAsia"/>
              </w:rPr>
              <w:t>24.2</w:t>
            </w:r>
          </w:p>
        </w:tc>
        <w:tc>
          <w:tcPr>
            <w:tcW w:w="951" w:type="dxa"/>
            <w:shd w:val="clear" w:color="auto" w:fill="auto"/>
          </w:tcPr>
          <w:p>
            <w:pPr>
              <w:pStyle w:val="27"/>
              <w:widowControl/>
              <w:spacing w:line="300" w:lineRule="exact"/>
              <w:jc w:val="center"/>
            </w:pPr>
            <w:r>
              <w:t>33.8</w:t>
            </w:r>
          </w:p>
        </w:tc>
        <w:tc>
          <w:tcPr>
            <w:tcW w:w="977" w:type="dxa"/>
            <w:shd w:val="clear" w:color="auto" w:fill="auto"/>
          </w:tcPr>
          <w:p>
            <w:pPr>
              <w:pStyle w:val="27"/>
              <w:widowControl/>
              <w:spacing w:line="300" w:lineRule="exact"/>
              <w:jc w:val="center"/>
            </w:pPr>
            <w:r>
              <w:t>46</w:t>
            </w:r>
          </w:p>
        </w:tc>
        <w:tc>
          <w:tcPr>
            <w:tcW w:w="878" w:type="dxa"/>
            <w:shd w:val="clear" w:color="auto" w:fill="auto"/>
          </w:tcPr>
          <w:p>
            <w:pPr>
              <w:pStyle w:val="27"/>
              <w:widowControl/>
              <w:spacing w:line="300" w:lineRule="exact"/>
              <w:jc w:val="center"/>
            </w:pPr>
            <w:r>
              <w:t>60</w:t>
            </w:r>
          </w:p>
        </w:tc>
      </w:tr>
    </w:tbl>
    <w:p>
      <w:pPr>
        <w:pStyle w:val="5"/>
        <w:spacing w:line="580" w:lineRule="exact"/>
        <w:ind w:firstLine="643"/>
      </w:pPr>
      <w:r>
        <w:rPr>
          <w:rFonts w:hint="eastAsia"/>
        </w:rPr>
        <w:t>3.分区域预测</w:t>
      </w:r>
    </w:p>
    <w:p>
      <w:pPr>
        <w:adjustRightInd w:val="0"/>
        <w:snapToGrid w:val="0"/>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基于陕西省电动汽车保有量预测结果，综合考虑各市区域生产总值、汽车保有量、购车优惠等政策支持、自然环境条件等因素，对陕西省各地市电动汽车保有量进行预测分析。</w:t>
      </w:r>
    </w:p>
    <w:p>
      <w:pPr>
        <w:adjustRightInd w:val="0"/>
        <w:snapToGrid w:val="0"/>
        <w:spacing w:line="580" w:lineRule="exact"/>
        <w:ind w:firstLine="640"/>
        <w:rPr>
          <w:rFonts w:ascii="Times New Roman" w:hAnsi="Times New Roman" w:eastAsia="仿宋_GB2312" w:cs="Times New Roman"/>
          <w:b/>
          <w:bCs/>
        </w:rPr>
      </w:pPr>
      <w:r>
        <w:rPr>
          <w:rFonts w:hint="eastAsia" w:ascii="Times New Roman" w:hAnsi="Times New Roman" w:eastAsia="仿宋_GB2312" w:cs="Times New Roman"/>
          <w:b/>
          <w:bCs/>
          <w:sz w:val="24"/>
        </w:rPr>
        <w:t>预测公式：</w:t>
      </w:r>
      <w:r>
        <w:rPr>
          <w:rFonts w:hint="eastAsia" w:ascii="Times New Roman" w:hAnsi="Times New Roman" w:eastAsia="仿宋_GB2312" w:cs="Times New Roman"/>
          <w:b/>
          <w:bCs/>
          <w:sz w:val="24"/>
          <w:szCs w:val="32"/>
        </w:rPr>
        <w:t>某市</w:t>
      </w:r>
      <w:r>
        <w:rPr>
          <w:rFonts w:hint="eastAsia" w:ascii="Times New Roman" w:hAnsi="Times New Roman" w:eastAsia="仿宋_GB2312" w:cs="Times New Roman"/>
          <w:b/>
          <w:bCs/>
          <w:sz w:val="24"/>
        </w:rPr>
        <w:t>电动汽车保有量</w:t>
      </w:r>
      <w:r>
        <w:rPr>
          <w:rFonts w:hint="eastAsia" w:ascii="Times New Roman" w:hAnsi="Times New Roman" w:eastAsia="仿宋_GB2312" w:cs="Times New Roman"/>
          <w:b/>
          <w:bCs/>
          <w:sz w:val="24"/>
          <w:szCs w:val="32"/>
        </w:rPr>
        <w:t>省内占比</w:t>
      </w:r>
      <w:r>
        <w:rPr>
          <w:rFonts w:ascii="Times New Roman" w:hAnsi="Times New Roman" w:eastAsia="仿宋_GB2312" w:cs="Times New Roman"/>
          <w:b/>
          <w:bCs/>
          <w:sz w:val="24"/>
        </w:rPr>
        <w:t>=</w:t>
      </w:r>
      <w:r>
        <w:rPr>
          <w:rFonts w:hint="eastAsia" w:ascii="Times New Roman" w:hAnsi="Times New Roman" w:eastAsia="仿宋_GB2312" w:cs="Times New Roman"/>
          <w:b/>
          <w:bCs/>
          <w:sz w:val="24"/>
        </w:rPr>
        <w:t>（</w:t>
      </w:r>
      <w:r>
        <w:rPr>
          <w:rFonts w:hint="eastAsia" w:ascii="Times New Roman" w:hAnsi="Times New Roman" w:eastAsia="仿宋_GB2312" w:cs="Times New Roman"/>
          <w:b/>
          <w:bCs/>
          <w:sz w:val="24"/>
          <w:szCs w:val="32"/>
        </w:rPr>
        <w:t>某市生产总值占比×</w:t>
      </w:r>
      <w:r>
        <w:rPr>
          <w:rFonts w:ascii="Times New Roman" w:hAnsi="Times New Roman" w:eastAsia="仿宋_GB2312" w:cs="Times New Roman"/>
          <w:b/>
          <w:bCs/>
          <w:sz w:val="24"/>
        </w:rPr>
        <w:t>0.</w:t>
      </w:r>
      <w:r>
        <w:rPr>
          <w:rFonts w:ascii="Times New Roman" w:hAnsi="Times New Roman" w:eastAsia="仿宋_GB2312" w:cs="Times New Roman"/>
          <w:b/>
          <w:bCs/>
          <w:sz w:val="24"/>
          <w:szCs w:val="32"/>
        </w:rPr>
        <w:t>5</w:t>
      </w:r>
      <w:r>
        <w:rPr>
          <w:rFonts w:ascii="Times New Roman" w:hAnsi="Times New Roman" w:eastAsia="仿宋_GB2312" w:cs="Times New Roman"/>
          <w:b/>
          <w:bCs/>
          <w:sz w:val="24"/>
        </w:rPr>
        <w:t>+</w:t>
      </w:r>
      <w:r>
        <w:rPr>
          <w:rFonts w:hint="eastAsia" w:ascii="Times New Roman" w:hAnsi="Times New Roman" w:eastAsia="仿宋_GB2312" w:cs="Times New Roman"/>
          <w:b/>
          <w:bCs/>
          <w:sz w:val="24"/>
          <w:szCs w:val="32"/>
        </w:rPr>
        <w:t>某</w:t>
      </w:r>
      <w:r>
        <w:rPr>
          <w:rFonts w:hint="eastAsia" w:ascii="Times New Roman" w:hAnsi="Times New Roman" w:eastAsia="仿宋_GB2312" w:cs="Times New Roman"/>
          <w:b/>
          <w:bCs/>
          <w:sz w:val="24"/>
        </w:rPr>
        <w:t>市汽车保有量</w:t>
      </w:r>
      <w:r>
        <w:rPr>
          <w:rFonts w:hint="eastAsia" w:ascii="Times New Roman" w:hAnsi="Times New Roman" w:eastAsia="仿宋_GB2312" w:cs="Times New Roman"/>
          <w:b/>
          <w:bCs/>
          <w:sz w:val="24"/>
          <w:szCs w:val="32"/>
        </w:rPr>
        <w:t>占比×</w:t>
      </w:r>
      <w:r>
        <w:rPr>
          <w:rFonts w:ascii="Times New Roman" w:hAnsi="Times New Roman" w:eastAsia="仿宋_GB2312" w:cs="Times New Roman"/>
          <w:b/>
          <w:bCs/>
          <w:sz w:val="24"/>
        </w:rPr>
        <w:t>0.5</w:t>
      </w:r>
      <w:r>
        <w:rPr>
          <w:rFonts w:hint="eastAsia" w:ascii="Times New Roman" w:hAnsi="Times New Roman" w:eastAsia="仿宋_GB2312" w:cs="Times New Roman"/>
          <w:b/>
          <w:bCs/>
          <w:sz w:val="24"/>
        </w:rPr>
        <w:t>）</w:t>
      </w:r>
      <w:r>
        <w:rPr>
          <w:rFonts w:hint="eastAsia" w:ascii="Times New Roman" w:hAnsi="Times New Roman" w:eastAsia="仿宋_GB2312" w:cs="Times New Roman"/>
          <w:b/>
          <w:bCs/>
          <w:sz w:val="24"/>
          <w:szCs w:val="32"/>
        </w:rPr>
        <w:t>×购车优惠等政策支持影响因子×自然环境条件影响因子</w:t>
      </w:r>
      <w:r>
        <w:rPr>
          <w:rFonts w:ascii="Times New Roman" w:hAnsi="Times New Roman" w:eastAsia="仿宋_GB2312" w:cs="Times New Roman"/>
          <w:b/>
          <w:bCs/>
          <w:sz w:val="24"/>
          <w:szCs w:val="32"/>
        </w:rPr>
        <w:t>/</w:t>
      </w:r>
      <w:r>
        <w:rPr>
          <w:rFonts w:hint="eastAsia" w:ascii="Times New Roman" w:hAnsi="Times New Roman" w:eastAsia="仿宋_GB2312" w:cs="Times New Roman"/>
          <w:b/>
          <w:bCs/>
          <w:sz w:val="24"/>
          <w:szCs w:val="32"/>
        </w:rPr>
        <w:t>各市分子计算值之和</w:t>
      </w:r>
    </w:p>
    <w:p>
      <w:pPr>
        <w:adjustRightInd w:val="0"/>
        <w:snapToGrid w:val="0"/>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由于西安市存在电动汽车购车地方补贴及充电桩建设补贴等诸多优惠政策，西安市政策支持影响因子取</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，其他地市为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。关中地区地形、气温等自然环境条件较适宜电动汽车使用，陕北、陕南在气温、地形等方面有一定制约，关中地区自然环境条件影响因子取为</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，其他地区为</w:t>
      </w:r>
      <w:r>
        <w:rPr>
          <w:rFonts w:ascii="Times New Roman" w:hAnsi="Times New Roman" w:eastAsia="仿宋_GB2312" w:cs="Times New Roman"/>
          <w:sz w:val="32"/>
          <w:szCs w:val="32"/>
        </w:rPr>
        <w:t>0.6</w:t>
      </w:r>
      <w:r>
        <w:rPr>
          <w:rFonts w:hint="eastAsia" w:ascii="Times New Roman" w:hAnsi="Times New Roman" w:eastAsia="仿宋_GB2312" w:cs="Times New Roman"/>
          <w:sz w:val="32"/>
          <w:szCs w:val="32"/>
        </w:rPr>
        <w:t>。</w:t>
      </w:r>
    </w:p>
    <w:p>
      <w:pPr>
        <w:pStyle w:val="2"/>
        <w:spacing w:line="580" w:lineRule="exact"/>
        <w:ind w:firstLine="442" w:firstLineChars="0"/>
        <w:jc w:val="center"/>
        <w:rPr>
          <w:rFonts w:eastAsia="仿宋_GB2312"/>
          <w:b/>
          <w:bCs/>
          <w:sz w:val="24"/>
        </w:rPr>
      </w:pPr>
      <w:r>
        <w:rPr>
          <w:rFonts w:hint="eastAsia" w:eastAsia="仿宋_GB2312"/>
          <w:b/>
          <w:bCs/>
          <w:sz w:val="24"/>
        </w:rPr>
        <w:t>表23  各地市“十四五”末电动汽车保有量预测</w:t>
      </w:r>
    </w:p>
    <w:tbl>
      <w:tblPr>
        <w:tblStyle w:val="17"/>
        <w:tblW w:w="83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98"/>
        <w:gridCol w:w="4046"/>
        <w:gridCol w:w="22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998"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各市（区）</w:t>
            </w:r>
          </w:p>
        </w:tc>
        <w:tc>
          <w:tcPr>
            <w:tcW w:w="4046"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Calibri"/>
                <w:kern w:val="0"/>
                <w:szCs w:val="21"/>
              </w:rPr>
            </w:pPr>
            <w:r>
              <w:rPr>
                <w:rFonts w:hint="eastAsia" w:ascii="仿宋" w:hAnsi="仿宋" w:eastAsia="仿宋" w:cs="Calibri"/>
                <w:kern w:val="0"/>
                <w:szCs w:val="21"/>
              </w:rPr>
              <w:t>“十四五”末保有量（万辆）</w:t>
            </w:r>
          </w:p>
        </w:tc>
        <w:tc>
          <w:tcPr>
            <w:tcW w:w="2292"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Calibri"/>
                <w:kern w:val="0"/>
                <w:szCs w:val="21"/>
              </w:rPr>
            </w:pPr>
            <w:r>
              <w:rPr>
                <w:rFonts w:hint="eastAsia" w:ascii="仿宋" w:hAnsi="仿宋" w:eastAsia="仿宋" w:cs="Calibri"/>
                <w:kern w:val="0"/>
                <w:szCs w:val="21"/>
              </w:rPr>
              <w:t>占比</w:t>
            </w:r>
            <w:r>
              <w:rPr>
                <w:rFonts w:ascii="仿宋" w:hAnsi="仿宋" w:eastAsia="仿宋" w:cs="Calibri"/>
                <w:kern w:val="0"/>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西安市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40.83</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铜川市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0.67</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宝鸡市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3.41</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咸阳市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渭南市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3.76</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杨凌示范区</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0.39</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998"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宋体"/>
                <w:szCs w:val="21"/>
              </w:rPr>
            </w:pPr>
            <w:r>
              <w:rPr>
                <w:rFonts w:hint="eastAsia" w:ascii="仿宋" w:hAnsi="仿宋" w:eastAsia="仿宋" w:cs="Calibri"/>
                <w:kern w:val="0"/>
                <w:szCs w:val="21"/>
              </w:rPr>
              <w:t>关中</w:t>
            </w:r>
          </w:p>
        </w:tc>
        <w:tc>
          <w:tcPr>
            <w:tcW w:w="4046"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52.66</w:t>
            </w:r>
          </w:p>
        </w:tc>
        <w:tc>
          <w:tcPr>
            <w:tcW w:w="2292"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汉中市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1.29</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安康市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0.89</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商洛市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998"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宋体"/>
                <w:szCs w:val="21"/>
              </w:rPr>
            </w:pPr>
            <w:r>
              <w:rPr>
                <w:rFonts w:hint="eastAsia" w:ascii="仿宋" w:hAnsi="仿宋" w:eastAsia="仿宋" w:cs="宋体"/>
                <w:kern w:val="0"/>
                <w:szCs w:val="21"/>
              </w:rPr>
              <w:t>陕南</w:t>
            </w:r>
          </w:p>
        </w:tc>
        <w:tc>
          <w:tcPr>
            <w:tcW w:w="4046"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2.75</w:t>
            </w:r>
          </w:p>
        </w:tc>
        <w:tc>
          <w:tcPr>
            <w:tcW w:w="2292"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延安市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1.42</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Calibri"/>
                <w:szCs w:val="21"/>
              </w:rPr>
            </w:pPr>
            <w:r>
              <w:rPr>
                <w:rFonts w:hint="eastAsia" w:ascii="仿宋" w:hAnsi="仿宋" w:eastAsia="仿宋" w:cs="Calibri"/>
                <w:kern w:val="0"/>
                <w:szCs w:val="21"/>
              </w:rPr>
              <w:t>榆林市</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3.17</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jc w:val="center"/>
        </w:trPr>
        <w:tc>
          <w:tcPr>
            <w:tcW w:w="1998"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仿宋" w:hAnsi="仿宋" w:eastAsia="仿宋" w:cs="宋体"/>
                <w:sz w:val="22"/>
                <w:szCs w:val="22"/>
              </w:rPr>
            </w:pPr>
            <w:r>
              <w:rPr>
                <w:rFonts w:hint="eastAsia" w:ascii="仿宋" w:hAnsi="仿宋" w:eastAsia="仿宋" w:cs="宋体"/>
                <w:kern w:val="0"/>
                <w:sz w:val="22"/>
                <w:szCs w:val="22"/>
              </w:rPr>
              <w:t>陕北</w:t>
            </w:r>
          </w:p>
        </w:tc>
        <w:tc>
          <w:tcPr>
            <w:tcW w:w="4046"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4.59</w:t>
            </w:r>
          </w:p>
        </w:tc>
        <w:tc>
          <w:tcPr>
            <w:tcW w:w="2292" w:type="dxa"/>
            <w:tcBorders>
              <w:tl2br w:val="nil"/>
              <w:tr2bl w:val="nil"/>
            </w:tcBorders>
            <w:shd w:val="clear" w:color="auto" w:fill="BDD6EE" w:themeFill="accent1" w:themeFillTint="66"/>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jc w:val="center"/>
        </w:trPr>
        <w:tc>
          <w:tcPr>
            <w:tcW w:w="199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eastAsia="仿宋" w:cs="宋体"/>
                <w:sz w:val="22"/>
                <w:szCs w:val="22"/>
              </w:rPr>
            </w:pPr>
            <w:r>
              <w:rPr>
                <w:rFonts w:hint="eastAsia" w:ascii="仿宋" w:hAnsi="仿宋" w:eastAsia="仿宋" w:cs="宋体"/>
                <w:kern w:val="0"/>
                <w:sz w:val="22"/>
                <w:szCs w:val="22"/>
              </w:rPr>
              <w:t>合计</w:t>
            </w:r>
          </w:p>
        </w:tc>
        <w:tc>
          <w:tcPr>
            <w:tcW w:w="404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60</w:t>
            </w:r>
          </w:p>
        </w:tc>
        <w:tc>
          <w:tcPr>
            <w:tcW w:w="2292"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kern w:val="0"/>
                <w:sz w:val="22"/>
                <w:szCs w:val="22"/>
              </w:rPr>
            </w:pPr>
          </w:p>
        </w:tc>
      </w:tr>
    </w:tbl>
    <w:p>
      <w:pPr>
        <w:pStyle w:val="26"/>
        <w:spacing w:line="240" w:lineRule="auto"/>
        <w:ind w:firstLine="0"/>
        <w:rPr>
          <w:bCs/>
          <w:sz w:val="22"/>
          <w:szCs w:val="22"/>
        </w:rPr>
      </w:pPr>
      <w:bookmarkStart w:id="33" w:name="_Toc21054"/>
      <w:bookmarkStart w:id="34" w:name="_Toc447114632"/>
      <w:bookmarkStart w:id="35" w:name="_Toc47622925"/>
      <w:bookmarkStart w:id="36" w:name="_Toc25645"/>
    </w:p>
    <w:p>
      <w:pPr>
        <w:pStyle w:val="26"/>
        <w:spacing w:line="240" w:lineRule="auto"/>
        <w:ind w:firstLine="0"/>
        <w:rPr>
          <w:bCs/>
          <w:sz w:val="22"/>
          <w:szCs w:val="22"/>
        </w:rPr>
      </w:pPr>
    </w:p>
    <w:p>
      <w:pPr>
        <w:pStyle w:val="26"/>
        <w:spacing w:line="240" w:lineRule="auto"/>
        <w:ind w:firstLine="0"/>
        <w:rPr>
          <w:bCs/>
          <w:sz w:val="22"/>
          <w:szCs w:val="22"/>
        </w:rPr>
      </w:pPr>
      <w:r>
        <w:rPr>
          <w:bCs/>
          <w:sz w:val="22"/>
          <w:szCs w:val="22"/>
        </w:rPr>
        <w:drawing>
          <wp:inline distT="0" distB="0" distL="0" distR="0">
            <wp:extent cx="4134485" cy="2440940"/>
            <wp:effectExtent l="0" t="0" r="0" b="0"/>
            <wp:docPr id="56"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26"/>
        <w:spacing w:line="240" w:lineRule="auto"/>
        <w:rPr>
          <w:rFonts w:eastAsia="仿宋_GB2312"/>
          <w:bCs/>
          <w:sz w:val="24"/>
          <w:szCs w:val="24"/>
        </w:rPr>
      </w:pPr>
      <w:r>
        <w:rPr>
          <w:rFonts w:eastAsia="仿宋_GB2312"/>
          <w:bCs/>
          <w:sz w:val="24"/>
          <w:szCs w:val="24"/>
        </w:rPr>
        <w:t>图</w:t>
      </w:r>
      <w:r>
        <w:rPr>
          <w:rFonts w:hint="eastAsia" w:eastAsia="仿宋_GB2312"/>
          <w:bCs/>
          <w:sz w:val="24"/>
          <w:szCs w:val="24"/>
        </w:rPr>
        <w:t xml:space="preserve">22  </w:t>
      </w:r>
      <w:r>
        <w:rPr>
          <w:rFonts w:eastAsia="仿宋_GB2312"/>
          <w:bCs/>
          <w:sz w:val="24"/>
          <w:szCs w:val="24"/>
        </w:rPr>
        <w:t>各区域“十四五”末电动汽车保有量预测总量占比</w:t>
      </w:r>
    </w:p>
    <w:p>
      <w:pPr>
        <w:pStyle w:val="26"/>
        <w:spacing w:line="240" w:lineRule="auto"/>
        <w:rPr>
          <w:bCs/>
          <w:sz w:val="22"/>
          <w:szCs w:val="22"/>
        </w:rPr>
      </w:pPr>
    </w:p>
    <w:p>
      <w:pPr>
        <w:pStyle w:val="26"/>
        <w:spacing w:line="240" w:lineRule="auto"/>
        <w:ind w:firstLine="0"/>
        <w:rPr>
          <w:bCs/>
          <w:sz w:val="22"/>
          <w:szCs w:val="22"/>
        </w:rPr>
      </w:pPr>
      <w:r>
        <w:rPr>
          <w:bCs/>
          <w:sz w:val="22"/>
          <w:szCs w:val="22"/>
        </w:rPr>
        <w:drawing>
          <wp:inline distT="0" distB="0" distL="0" distR="0">
            <wp:extent cx="5534025" cy="2321560"/>
            <wp:effectExtent l="0" t="0" r="0" b="0"/>
            <wp:docPr id="57"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26"/>
        <w:spacing w:afterLines="50" w:line="240" w:lineRule="auto"/>
        <w:rPr>
          <w:rFonts w:eastAsia="仿宋_GB2312"/>
          <w:bCs/>
          <w:sz w:val="24"/>
          <w:szCs w:val="24"/>
        </w:rPr>
      </w:pPr>
      <w:r>
        <w:rPr>
          <w:rFonts w:hint="eastAsia" w:eastAsia="仿宋_GB2312"/>
          <w:bCs/>
          <w:sz w:val="24"/>
          <w:szCs w:val="24"/>
        </w:rPr>
        <w:t>图23  各地市“十四五”末电动汽车保有量预测总量（万辆）</w:t>
      </w:r>
    </w:p>
    <w:p>
      <w:pPr>
        <w:pStyle w:val="4"/>
        <w:spacing w:line="580" w:lineRule="exact"/>
        <w:ind w:firstLine="643"/>
      </w:pPr>
      <w:r>
        <w:t>（二）充电设施配置原则</w:t>
      </w:r>
      <w:bookmarkEnd w:id="33"/>
      <w:bookmarkEnd w:id="34"/>
      <w:bookmarkEnd w:id="35"/>
      <w:bookmarkEnd w:id="36"/>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充电设施配置以满足电动汽车充电需求为中心，坚持便捷、经济、可行等要求协调统一，充分考虑各类车辆的用车习惯及充电设施的建设条件，专用充电设施与公用充电设施融合发展、互为补充，</w:t>
      </w:r>
      <w:r>
        <w:rPr>
          <w:rFonts w:ascii="Times New Roman" w:hAnsi="Times New Roman" w:eastAsia="仿宋_GB2312" w:cs="Times New Roman"/>
          <w:sz w:val="32"/>
          <w:szCs w:val="32"/>
        </w:rPr>
        <w:t>快充、慢充</w:t>
      </w:r>
      <w:r>
        <w:rPr>
          <w:rFonts w:hint="eastAsia" w:ascii="Times New Roman" w:hAnsi="Times New Roman" w:eastAsia="仿宋_GB2312" w:cs="Times New Roman"/>
          <w:sz w:val="32"/>
          <w:szCs w:val="32"/>
        </w:rPr>
        <w:t>有机</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，建成充分满足省内电动汽车发展需求的车桩相随、适度超前、高效智能的充电基础设施体系。</w:t>
      </w:r>
    </w:p>
    <w:p>
      <w:pPr>
        <w:pStyle w:val="5"/>
        <w:spacing w:line="580" w:lineRule="exact"/>
        <w:ind w:firstLine="643"/>
      </w:pPr>
      <w:r>
        <w:rPr>
          <w:rFonts w:hint="eastAsia"/>
        </w:rPr>
        <w:t>1.分区域配置原则</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考虑省内各地区经济社会发展水平和自然环境条件差异，“十四五”期间关中地区电动汽车将全面应用，陕北、陕南区域通过公共领域应用逐步带动全社会推广。</w:t>
      </w:r>
    </w:p>
    <w:p>
      <w:pPr>
        <w:adjustRightInd w:val="0"/>
        <w:snapToGrid w:val="0"/>
        <w:spacing w:line="580" w:lineRule="exact"/>
        <w:ind w:firstLine="640" w:firstLineChars="200"/>
        <w:rPr>
          <w:rFonts w:eastAsia="仿宋_GB2312"/>
          <w:sz w:val="32"/>
          <w:szCs w:val="32"/>
        </w:rPr>
      </w:pPr>
      <w:r>
        <w:rPr>
          <w:rFonts w:hint="eastAsia" w:ascii="Times New Roman" w:hAnsi="Times New Roman" w:eastAsia="仿宋_GB2312" w:cs="Times New Roman"/>
          <w:sz w:val="32"/>
          <w:szCs w:val="32"/>
        </w:rPr>
        <w:t>充电设施建设应紧密结合电动汽车发展情况，关中地区应继续加强专用充电设施建设，同时积极推进公用及自用充电设施建设，保障不断增加的私人电动汽车充电需求。陕北、陕南区域应重点加强专用充电设施建设，同时根据推广情况适度超前建设公用充电设施。</w:t>
      </w:r>
    </w:p>
    <w:p>
      <w:pPr>
        <w:adjustRightInd w:val="0"/>
        <w:snapToGrid w:val="0"/>
        <w:spacing w:line="580" w:lineRule="exact"/>
        <w:ind w:firstLine="640"/>
        <w:rPr>
          <w:rFonts w:eastAsia="仿宋_GB2312"/>
          <w:sz w:val="32"/>
          <w:szCs w:val="32"/>
        </w:rPr>
      </w:pPr>
      <w:r>
        <w:rPr>
          <w:rFonts w:hint="eastAsia" w:ascii="Times New Roman" w:hAnsi="Times New Roman" w:eastAsia="仿宋_GB2312" w:cs="Times New Roman"/>
          <w:sz w:val="32"/>
          <w:szCs w:val="32"/>
        </w:rPr>
        <w:t>关中地区城市建成区公共充电设施服务半径小于</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千米，其中西安市小于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千米。</w:t>
      </w:r>
    </w:p>
    <w:p>
      <w:pPr>
        <w:pStyle w:val="2"/>
        <w:spacing w:line="580" w:lineRule="exact"/>
        <w:ind w:firstLine="640"/>
        <w:rPr>
          <w:rFonts w:eastAsia="仿宋_GB2312"/>
          <w:sz w:val="32"/>
          <w:szCs w:val="32"/>
        </w:rPr>
      </w:pPr>
      <w:r>
        <w:rPr>
          <w:rFonts w:hint="eastAsia" w:eastAsia="仿宋_GB2312"/>
          <w:sz w:val="32"/>
          <w:szCs w:val="32"/>
        </w:rPr>
        <w:t>陕北、陕南地区城市建成区公共充电设施服务半径小于</w:t>
      </w:r>
      <w:r>
        <w:rPr>
          <w:rFonts w:eastAsia="仿宋_GB2312"/>
          <w:sz w:val="32"/>
          <w:szCs w:val="32"/>
        </w:rPr>
        <w:t>2</w:t>
      </w:r>
      <w:r>
        <w:rPr>
          <w:rFonts w:hint="eastAsia" w:eastAsia="仿宋_GB2312"/>
          <w:sz w:val="32"/>
          <w:szCs w:val="32"/>
        </w:rPr>
        <w:t>千米。</w:t>
      </w:r>
    </w:p>
    <w:p>
      <w:pPr>
        <w:pStyle w:val="5"/>
        <w:spacing w:line="580" w:lineRule="exact"/>
        <w:ind w:firstLine="643"/>
      </w:pPr>
      <w:r>
        <w:rPr>
          <w:rFonts w:hint="eastAsia"/>
        </w:rPr>
        <w:t>2.分车辆配置原则</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交车、客运车辆、环卫车、工程车辆一般具有固定的停车场站，同时受制于车辆体积，一般难以在公共充电站充电，以在停车场站配建的专用充电桩作为主要充电方式，根据充电时长、车辆空闲时间等因素，按照车桩比不低于3</w:t>
      </w:r>
      <w:r>
        <w:rPr>
          <w:rFonts w:ascii="Times New Roman" w:hAnsi="Times New Roman" w:eastAsia="仿宋_GB2312" w:cs="Times New Roman"/>
          <w:sz w:val="32"/>
          <w:szCs w:val="32"/>
        </w:rPr>
        <w:t>:1</w:t>
      </w:r>
      <w:r>
        <w:rPr>
          <w:rStyle w:val="24"/>
          <w:rFonts w:ascii="Times New Roman" w:hAnsi="Times New Roman" w:eastAsia="仿宋_GB2312" w:cs="Times New Roman"/>
          <w:sz w:val="32"/>
          <w:szCs w:val="32"/>
        </w:rPr>
        <w:footnoteReference w:id="12"/>
      </w:r>
      <w:r>
        <w:rPr>
          <w:rFonts w:hint="eastAsia" w:ascii="Times New Roman" w:hAnsi="Times New Roman" w:eastAsia="仿宋_GB2312" w:cs="Times New Roman"/>
          <w:sz w:val="32"/>
          <w:szCs w:val="32"/>
        </w:rPr>
        <w:t>建设，公共充电设施作为补充。鼓励根据实际情况采用换电等其他电能补充方式。</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私人乘用车以在自有停车位建设专用充电桩作为主要充电方式，通过采用有序慢充等新技术，争取按照车桩比</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建设，同时由于无法完全配建的实际情况，考虑</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私人乘用车在小区及周边等处设置的公共充电桩上充电。</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企事业单位乘用车以在单位内部停车位建设专用充电桩作为主要充电方式，按照车桩比</w:t>
      </w:r>
      <w:r>
        <w:rPr>
          <w:rFonts w:ascii="Times New Roman" w:hAnsi="Times New Roman" w:eastAsia="仿宋_GB2312" w:cs="Times New Roman"/>
          <w:sz w:val="32"/>
          <w:szCs w:val="32"/>
        </w:rPr>
        <w:t>2:1</w:t>
      </w:r>
      <w:r>
        <w:rPr>
          <w:rStyle w:val="24"/>
          <w:rFonts w:ascii="Times New Roman" w:hAnsi="Times New Roman" w:eastAsia="仿宋_GB2312" w:cs="Times New Roman"/>
          <w:sz w:val="32"/>
          <w:szCs w:val="32"/>
        </w:rPr>
        <w:footnoteReference w:id="13"/>
      </w:r>
      <w:r>
        <w:rPr>
          <w:rFonts w:hint="eastAsia" w:ascii="Times New Roman" w:hAnsi="Times New Roman" w:eastAsia="仿宋_GB2312" w:cs="Times New Roman"/>
          <w:sz w:val="32"/>
          <w:szCs w:val="32"/>
        </w:rPr>
        <w:t>建设，以公共充电设施为补充。</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出租车、网约车、物流车流动性大，采用公共充电设施作为主要充电方式，同时根据场地情况配建专用充电设施作为补充。</w:t>
      </w:r>
    </w:p>
    <w:p>
      <w:pPr>
        <w:pStyle w:val="5"/>
        <w:spacing w:line="580" w:lineRule="exact"/>
        <w:ind w:firstLine="643"/>
      </w:pPr>
      <w:r>
        <w:rPr>
          <w:rFonts w:hint="eastAsia"/>
        </w:rPr>
        <w:t>3.各类充电设施规格选择</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私人乘用车、企事业单位乘用车日行驶里程一般较短，专用充电设施采用慢充方式即能满足需求，鼓励采用</w:t>
      </w:r>
      <w:r>
        <w:rPr>
          <w:rFonts w:ascii="Times New Roman" w:hAnsi="Times New Roman" w:eastAsia="仿宋_GB2312" w:cs="Times New Roman"/>
          <w:sz w:val="32"/>
          <w:szCs w:val="32"/>
        </w:rPr>
        <w:t>智能有序慢充</w:t>
      </w:r>
      <w:r>
        <w:rPr>
          <w:rFonts w:hint="eastAsia" w:ascii="Times New Roman" w:hAnsi="Times New Roman" w:eastAsia="仿宋_GB2312" w:cs="Times New Roman"/>
          <w:sz w:val="32"/>
          <w:szCs w:val="32"/>
        </w:rPr>
        <w:t>等新技术，节约投资及电网资源。</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公交车、客运车辆、工程车辆耗电量大，对充电时长敏感度高，专用充电设施宜采用快充方式。</w:t>
      </w:r>
    </w:p>
    <w:p>
      <w:pPr>
        <w:adjustRightInd w:val="0"/>
        <w:snapToGrid w:val="0"/>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环卫车辆专用充电设施主要采用小功率直流充电方式。</w:t>
      </w:r>
    </w:p>
    <w:p>
      <w:pPr>
        <w:adjustRightInd w:val="0"/>
        <w:snapToGrid w:val="0"/>
        <w:spacing w:line="580" w:lineRule="exact"/>
        <w:ind w:firstLine="640"/>
        <w:rPr>
          <w:rFonts w:eastAsia="仿宋_GB2312"/>
          <w:sz w:val="32"/>
          <w:szCs w:val="32"/>
        </w:rPr>
      </w:pPr>
      <w:r>
        <w:rPr>
          <w:rFonts w:hint="eastAsia" w:ascii="Times New Roman" w:hAnsi="Times New Roman" w:eastAsia="仿宋_GB2312" w:cs="Times New Roman"/>
          <w:sz w:val="32"/>
          <w:szCs w:val="32"/>
        </w:rPr>
        <w:t>公共充电设施宜采用直流充电方式，主要为直流快充方式和小功率直流充电方式；集中式公共充电站宜采用直流快充方式，提升充电效率；主要面向私人乘用车的公共充电桩宜采用小功率直流充电方式。</w:t>
      </w:r>
    </w:p>
    <w:p>
      <w:pPr>
        <w:pStyle w:val="4"/>
        <w:spacing w:line="580" w:lineRule="exact"/>
        <w:ind w:firstLine="643"/>
      </w:pPr>
      <w:bookmarkStart w:id="37" w:name="_Toc447114633"/>
      <w:bookmarkStart w:id="38" w:name="_Toc17321"/>
      <w:bookmarkStart w:id="39" w:name="_Toc22741"/>
      <w:bookmarkStart w:id="40" w:name="_Toc47622929"/>
      <w:r>
        <w:rPr>
          <w:rFonts w:hint="eastAsia"/>
        </w:rPr>
        <w:t>（三）充电设施需求预测</w:t>
      </w:r>
      <w:bookmarkEnd w:id="37"/>
      <w:bookmarkEnd w:id="38"/>
      <w:bookmarkEnd w:id="39"/>
      <w:bookmarkEnd w:id="40"/>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根据省内电动汽车发展预测情况，结合充电设施配置原则，计算充电设施需求情况。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各型车典型使用场景。电动巡游出租车平均日行驶里程约</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，平均电耗17千瓦时/百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。电动网约</w:t>
      </w:r>
      <w:r>
        <w:rPr>
          <w:rFonts w:hint="eastAsia" w:ascii="Times New Roman" w:hAnsi="Times New Roman" w:eastAsia="仿宋_GB2312" w:cs="Times New Roman"/>
          <w:sz w:val="32"/>
          <w:szCs w:val="32"/>
        </w:rPr>
        <w:t>出租</w:t>
      </w:r>
      <w:r>
        <w:rPr>
          <w:rFonts w:ascii="Times New Roman" w:hAnsi="Times New Roman" w:eastAsia="仿宋_GB2312" w:cs="Times New Roman"/>
          <w:sz w:val="32"/>
          <w:szCs w:val="32"/>
        </w:rPr>
        <w:t>车平均日行驶里程约230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，平均电耗17千瓦时/百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。电动私人乘用车平均日行驶里程约50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，平均电耗17千瓦时/百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。电动物流车平均日行驶里程约180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，平均电耗30千瓦时/百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。电动公交车平均日行驶里程约220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，平均电耗60千瓦时/百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。电动客车平均日行驶里程约250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，平均电耗60千瓦时/百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电动环卫车</w:t>
      </w:r>
      <w:r>
        <w:rPr>
          <w:rFonts w:ascii="Times New Roman" w:hAnsi="Times New Roman" w:eastAsia="仿宋_GB2312" w:cs="Times New Roman"/>
          <w:sz w:val="32"/>
          <w:szCs w:val="32"/>
        </w:rPr>
        <w:t>日行驶里程约</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，平均电耗</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0千瓦时/百</w:t>
      </w:r>
      <w:r>
        <w:rPr>
          <w:rFonts w:hint="eastAsia" w:ascii="Times New Roman" w:hAnsi="Times New Roman" w:eastAsia="仿宋_GB2312" w:cs="Times New Roman"/>
          <w:sz w:val="32"/>
          <w:szCs w:val="32"/>
        </w:rPr>
        <w:t>千米</w:t>
      </w:r>
      <w:r>
        <w:rPr>
          <w:rFonts w:ascii="Times New Roman" w:hAnsi="Times New Roman" w:eastAsia="仿宋_GB2312" w:cs="Times New Roman"/>
          <w:sz w:val="32"/>
          <w:szCs w:val="32"/>
        </w:rPr>
        <w:t>。</w:t>
      </w:r>
    </w:p>
    <w:p>
      <w:pPr>
        <w:pStyle w:val="5"/>
        <w:spacing w:line="580" w:lineRule="exact"/>
        <w:ind w:firstLine="643"/>
      </w:pPr>
      <w:bookmarkStart w:id="41" w:name="_Toc47622930"/>
      <w:bookmarkStart w:id="42" w:name="_Toc8980"/>
      <w:r>
        <w:rPr>
          <w:rFonts w:hint="eastAsia"/>
        </w:rPr>
        <w:t>1.专用、自用充电设施</w:t>
      </w:r>
      <w:bookmarkEnd w:id="41"/>
      <w:bookmarkEnd w:id="42"/>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根据各类型电动汽车预测保有量及充电设施配置原则，计算2021至2025年省内逐年专用充电设施需求情况。公交车、电动客车、旅游客车、其他车辆采用充电功率为</w:t>
      </w:r>
      <w:r>
        <w:rPr>
          <w:rFonts w:ascii="Times New Roman" w:hAnsi="Times New Roman" w:eastAsia="仿宋_GB2312" w:cs="Times New Roman"/>
          <w:sz w:val="32"/>
          <w:szCs w:val="32"/>
        </w:rPr>
        <w:t>60kW</w:t>
      </w:r>
      <w:r>
        <w:rPr>
          <w:rFonts w:hint="eastAsia" w:ascii="Times New Roman" w:hAnsi="Times New Roman" w:eastAsia="仿宋_GB2312" w:cs="Times New Roman"/>
          <w:sz w:val="32"/>
          <w:szCs w:val="32"/>
        </w:rPr>
        <w:t>的直流快充桩</w:t>
      </w:r>
      <w:r>
        <w:rPr>
          <w:rStyle w:val="24"/>
          <w:rFonts w:ascii="Times New Roman" w:hAnsi="Times New Roman" w:eastAsia="仿宋_GB2312" w:cs="Times New Roman"/>
          <w:sz w:val="32"/>
          <w:szCs w:val="32"/>
        </w:rPr>
        <w:footnoteReference w:id="14"/>
      </w:r>
      <w:r>
        <w:rPr>
          <w:rFonts w:hint="eastAsia" w:ascii="Times New Roman" w:hAnsi="Times New Roman" w:eastAsia="仿宋_GB2312" w:cs="Times New Roman"/>
          <w:sz w:val="32"/>
          <w:szCs w:val="32"/>
        </w:rPr>
        <w:t>，环卫车采用充电功率为2</w:t>
      </w:r>
      <w:r>
        <w:rPr>
          <w:rFonts w:ascii="Times New Roman" w:hAnsi="Times New Roman" w:eastAsia="仿宋_GB2312" w:cs="Times New Roman"/>
          <w:sz w:val="32"/>
          <w:szCs w:val="32"/>
        </w:rPr>
        <w:t>0kW</w:t>
      </w:r>
      <w:r>
        <w:rPr>
          <w:rFonts w:hint="eastAsia" w:ascii="Times New Roman" w:hAnsi="Times New Roman" w:eastAsia="仿宋_GB2312" w:cs="Times New Roman"/>
          <w:sz w:val="32"/>
          <w:szCs w:val="32"/>
        </w:rPr>
        <w:t>的小功率直流充电桩</w:t>
      </w:r>
      <w:r>
        <w:rPr>
          <w:rStyle w:val="24"/>
          <w:rFonts w:ascii="Times New Roman" w:hAnsi="Times New Roman" w:eastAsia="仿宋_GB2312" w:cs="Times New Roman"/>
          <w:sz w:val="32"/>
          <w:szCs w:val="32"/>
        </w:rPr>
        <w:footnoteReference w:id="15"/>
      </w:r>
      <w:r>
        <w:rPr>
          <w:rFonts w:hint="eastAsia" w:ascii="Times New Roman" w:hAnsi="Times New Roman" w:eastAsia="仿宋_GB2312" w:cs="Times New Roman"/>
          <w:sz w:val="32"/>
          <w:szCs w:val="32"/>
        </w:rPr>
        <w:t>，电动私人及公务车采用充电功率为7</w:t>
      </w:r>
      <w:r>
        <w:rPr>
          <w:rFonts w:ascii="Times New Roman" w:hAnsi="Times New Roman" w:eastAsia="仿宋_GB2312" w:cs="Times New Roman"/>
          <w:sz w:val="32"/>
          <w:szCs w:val="32"/>
        </w:rPr>
        <w:t>kW</w:t>
      </w:r>
      <w:r>
        <w:rPr>
          <w:rFonts w:hint="eastAsia" w:ascii="Times New Roman" w:hAnsi="Times New Roman" w:eastAsia="仿宋_GB2312" w:cs="Times New Roman"/>
          <w:sz w:val="32"/>
          <w:szCs w:val="32"/>
        </w:rPr>
        <w:t>的交流充电桩。推进换电模式试点，每座换电站满足50辆车换电需求。</w:t>
      </w:r>
    </w:p>
    <w:p>
      <w:pPr>
        <w:pStyle w:val="26"/>
        <w:spacing w:beforeLines="50" w:line="580" w:lineRule="exact"/>
        <w:ind w:firstLine="0"/>
        <w:rPr>
          <w:rFonts w:eastAsia="仿宋_GB2312"/>
          <w:bCs/>
          <w:sz w:val="24"/>
          <w:szCs w:val="24"/>
        </w:rPr>
      </w:pPr>
      <w:r>
        <w:rPr>
          <w:rFonts w:hint="eastAsia" w:eastAsia="仿宋_GB2312"/>
          <w:bCs/>
          <w:sz w:val="24"/>
          <w:szCs w:val="24"/>
        </w:rPr>
        <w:t xml:space="preserve">表24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”专用</w:t>
      </w:r>
      <w:r>
        <w:rPr>
          <w:rFonts w:eastAsia="仿宋_GB2312"/>
          <w:bCs/>
          <w:sz w:val="24"/>
          <w:szCs w:val="24"/>
        </w:rPr>
        <w:t>充电设施建设需求预测</w:t>
      </w:r>
      <w:r>
        <w:rPr>
          <w:rFonts w:hint="eastAsia" w:eastAsia="仿宋_GB2312"/>
          <w:bCs/>
          <w:sz w:val="24"/>
          <w:szCs w:val="24"/>
        </w:rPr>
        <w:t>（单位：万根）</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8"/>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1924"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公交车充电桩</w:t>
            </w:r>
          </w:p>
        </w:tc>
        <w:tc>
          <w:tcPr>
            <w:tcW w:w="1924"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w:t>
            </w:r>
            <w:r>
              <w:rPr>
                <w:rFonts w:hint="eastAsia" w:ascii="Times New Roman" w:hAnsi="Times New Roman" w:eastAsia="宋体" w:cs="Times New Roman"/>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环卫车充电桩</w:t>
            </w:r>
          </w:p>
        </w:tc>
        <w:tc>
          <w:tcPr>
            <w:tcW w:w="1924"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w:t>
            </w:r>
            <w:r>
              <w:rPr>
                <w:rFonts w:hint="eastAsia" w:ascii="Times New Roman" w:hAnsi="Times New Roman" w:eastAsia="宋体" w:cs="Times New Roman"/>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电动客运班车、旅游客车充电桩</w:t>
            </w:r>
          </w:p>
        </w:tc>
        <w:tc>
          <w:tcPr>
            <w:tcW w:w="1924" w:type="dxa"/>
            <w:shd w:val="clear" w:color="auto" w:fill="auto"/>
            <w:vAlign w:val="center"/>
          </w:tcPr>
          <w:p>
            <w:pPr>
              <w:widowControl/>
              <w:spacing w:line="300" w:lineRule="exact"/>
              <w:jc w:val="center"/>
              <w:textAlignment w:val="center"/>
              <w:rPr>
                <w:rFonts w:eastAsia="宋体"/>
                <w:sz w:val="22"/>
                <w:szCs w:val="22"/>
              </w:rPr>
            </w:pPr>
            <w:r>
              <w:rPr>
                <w:rFonts w:ascii="Times New Roman" w:hAnsi="Times New Roman" w:eastAsia="宋体" w:cs="Times New Roman"/>
                <w:kern w:val="0"/>
                <w:sz w:val="22"/>
                <w:szCs w:val="22"/>
              </w:rPr>
              <w:t>0.</w:t>
            </w:r>
            <w:r>
              <w:rPr>
                <w:rFonts w:hint="eastAsia" w:ascii="Times New Roman" w:hAnsi="Times New Roman" w:eastAsia="宋体" w:cs="Times New Roman"/>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其他车辆（机场用车、工程车辆）</w:t>
            </w:r>
          </w:p>
        </w:tc>
        <w:tc>
          <w:tcPr>
            <w:tcW w:w="1924" w:type="dxa"/>
            <w:shd w:val="clear" w:color="auto" w:fill="auto"/>
            <w:vAlign w:val="center"/>
          </w:tcPr>
          <w:p>
            <w:pPr>
              <w:widowControl/>
              <w:spacing w:line="300" w:lineRule="exact"/>
              <w:jc w:val="center"/>
              <w:textAlignment w:val="center"/>
              <w:rPr>
                <w:rFonts w:eastAsia="宋体"/>
                <w:sz w:val="22"/>
                <w:szCs w:val="22"/>
              </w:rPr>
            </w:pPr>
            <w:r>
              <w:rPr>
                <w:rFonts w:ascii="Times New Roman" w:hAnsi="Times New Roman" w:eastAsia="宋体" w:cs="Times New Roman"/>
                <w:kern w:val="0"/>
                <w:sz w:val="22"/>
                <w:szCs w:val="22"/>
              </w:rPr>
              <w:t>0.0</w:t>
            </w:r>
            <w:r>
              <w:rPr>
                <w:rFonts w:hint="eastAsia" w:ascii="Times New Roman" w:hAnsi="Times New Roman" w:eastAsia="宋体" w:cs="Times New Roman"/>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私人机公务车充电桩</w:t>
            </w:r>
          </w:p>
        </w:tc>
        <w:tc>
          <w:tcPr>
            <w:tcW w:w="1924"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hint="eastAsia" w:ascii="Times New Roman" w:hAnsi="Times New Roman" w:eastAsia="宋体" w:cs="Times New Roman"/>
                <w:kern w:val="0"/>
                <w:sz w:val="22"/>
                <w:szCs w:val="22"/>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合计</w:t>
            </w:r>
          </w:p>
        </w:tc>
        <w:tc>
          <w:tcPr>
            <w:tcW w:w="1924" w:type="dxa"/>
            <w:shd w:val="clear" w:color="auto" w:fill="auto"/>
            <w:vAlign w:val="center"/>
          </w:tcPr>
          <w:p>
            <w:pPr>
              <w:widowControl/>
              <w:spacing w:line="300" w:lineRule="exact"/>
              <w:jc w:val="center"/>
              <w:textAlignment w:val="center"/>
              <w:rPr>
                <w:rFonts w:eastAsia="宋体"/>
                <w:sz w:val="22"/>
                <w:szCs w:val="22"/>
              </w:rPr>
            </w:pPr>
            <w:r>
              <w:rPr>
                <w:rFonts w:hint="eastAsia" w:ascii="Times New Roman" w:hAnsi="Times New Roman" w:eastAsia="宋体" w:cs="Times New Roman"/>
                <w:kern w:val="0"/>
                <w:sz w:val="22"/>
                <w:szCs w:val="22"/>
              </w:rPr>
              <w:t>30.11</w:t>
            </w:r>
          </w:p>
        </w:tc>
      </w:tr>
    </w:tbl>
    <w:p>
      <w:bookmarkStart w:id="43" w:name="_Toc47622932"/>
    </w:p>
    <w:p>
      <w:pPr>
        <w:pStyle w:val="26"/>
        <w:spacing w:beforeLines="50" w:line="580" w:lineRule="exact"/>
        <w:ind w:firstLine="0"/>
        <w:rPr>
          <w:rFonts w:eastAsia="仿宋_GB2312"/>
          <w:bCs/>
          <w:sz w:val="24"/>
          <w:szCs w:val="24"/>
        </w:rPr>
      </w:pPr>
      <w:r>
        <w:rPr>
          <w:rFonts w:hint="eastAsia" w:eastAsia="仿宋_GB2312"/>
          <w:bCs/>
          <w:sz w:val="24"/>
          <w:szCs w:val="24"/>
        </w:rPr>
        <w:t>表</w:t>
      </w:r>
      <w:r>
        <w:rPr>
          <w:rFonts w:eastAsia="仿宋_GB2312"/>
          <w:bCs/>
          <w:sz w:val="24"/>
          <w:szCs w:val="24"/>
        </w:rPr>
        <w:t xml:space="preserve">25 </w:t>
      </w:r>
      <w:r>
        <w:rPr>
          <w:rFonts w:hint="eastAsia" w:eastAsia="仿宋_GB2312"/>
          <w:bCs/>
          <w:sz w:val="24"/>
          <w:szCs w:val="24"/>
        </w:rPr>
        <w:t xml:space="preserve"> 陕西省“十四五”换电设施建设需求预测（单位：座）</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8"/>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1924"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98"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换电站</w:t>
            </w:r>
          </w:p>
        </w:tc>
        <w:tc>
          <w:tcPr>
            <w:tcW w:w="1924" w:type="dxa"/>
            <w:shd w:val="clear" w:color="auto" w:fill="auto"/>
            <w:vAlign w:val="center"/>
          </w:tcPr>
          <w:p>
            <w:pPr>
              <w:widowControl/>
              <w:spacing w:line="300" w:lineRule="exact"/>
              <w:jc w:val="center"/>
              <w:textAlignment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hint="eastAsia" w:ascii="Times New Roman" w:hAnsi="Times New Roman" w:eastAsia="宋体" w:cs="Times New Roman"/>
                <w:kern w:val="0"/>
                <w:sz w:val="22"/>
                <w:szCs w:val="22"/>
              </w:rPr>
              <w:t>0</w:t>
            </w:r>
          </w:p>
        </w:tc>
      </w:tr>
    </w:tbl>
    <w:p>
      <w:pPr>
        <w:pStyle w:val="5"/>
        <w:spacing w:beforeLines="50" w:line="580" w:lineRule="exact"/>
        <w:ind w:firstLine="643"/>
      </w:pPr>
      <w:bookmarkStart w:id="44" w:name="_Toc15199"/>
      <w:r>
        <w:rPr>
          <w:rFonts w:hint="eastAsia"/>
        </w:rPr>
        <w:t>2.城市公用充电设施</w:t>
      </w:r>
      <w:bookmarkEnd w:id="43"/>
      <w:bookmarkEnd w:id="44"/>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用充电设施主要满足巡游出租车、网约出租车、物流车的充电需求，同时为其他车辆提供充电补充（主要为私人乘用车充电量的30%），公共充电桩以60kW直流充电桩为主体，小区内公共充电桩主要采用20kW小功率直流充电桩，充电桩最大利用小时数占比设定为10%（此时公共充电站投资回收期约为4-5年左右）。</w:t>
      </w:r>
    </w:p>
    <w:p>
      <w:pPr>
        <w:pStyle w:val="26"/>
        <w:spacing w:beforeLines="50" w:line="580" w:lineRule="exact"/>
        <w:rPr>
          <w:rFonts w:eastAsia="仿宋_GB2312"/>
          <w:bCs/>
          <w:sz w:val="24"/>
          <w:szCs w:val="24"/>
        </w:rPr>
      </w:pPr>
      <w:r>
        <w:rPr>
          <w:rFonts w:hint="eastAsia" w:eastAsia="仿宋_GB2312"/>
          <w:bCs/>
          <w:sz w:val="24"/>
          <w:szCs w:val="24"/>
        </w:rPr>
        <w:t xml:space="preserve">表26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”城市公用</w:t>
      </w:r>
      <w:r>
        <w:rPr>
          <w:rFonts w:eastAsia="仿宋_GB2312"/>
          <w:bCs/>
          <w:sz w:val="24"/>
          <w:szCs w:val="24"/>
        </w:rPr>
        <w:t>充电设施</w:t>
      </w:r>
      <w:r>
        <w:rPr>
          <w:rFonts w:hint="eastAsia" w:eastAsia="仿宋_GB2312"/>
          <w:bCs/>
          <w:sz w:val="24"/>
          <w:szCs w:val="24"/>
        </w:rPr>
        <w:t>保有量</w:t>
      </w:r>
      <w:r>
        <w:rPr>
          <w:rFonts w:eastAsia="仿宋_GB2312"/>
          <w:bCs/>
          <w:sz w:val="24"/>
          <w:szCs w:val="24"/>
        </w:rPr>
        <w:t>需求预测</w:t>
      </w:r>
      <w:r>
        <w:rPr>
          <w:rFonts w:hint="eastAsia" w:eastAsia="仿宋_GB2312"/>
          <w:bCs/>
          <w:sz w:val="24"/>
          <w:szCs w:val="24"/>
        </w:rPr>
        <w:t>（单位：万根）</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1" w:type="dxa"/>
            <w:tcBorders>
              <w:tl2br w:val="nil"/>
              <w:tr2bl w:val="nil"/>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3421" w:type="dxa"/>
            <w:tcBorders>
              <w:tl2br w:val="nil"/>
              <w:tr2bl w:val="nil"/>
            </w:tcBorders>
            <w:shd w:val="clear" w:color="auto" w:fill="auto"/>
            <w:vAlign w:val="center"/>
          </w:tcPr>
          <w:p>
            <w:pPr>
              <w:pStyle w:val="27"/>
              <w:spacing w:line="300" w:lineRule="exact"/>
              <w:jc w:val="cente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1" w:type="dxa"/>
            <w:tcBorders>
              <w:tl2br w:val="nil"/>
              <w:tr2bl w:val="nil"/>
            </w:tcBorders>
            <w:shd w:val="clear" w:color="auto" w:fill="auto"/>
            <w:vAlign w:val="center"/>
          </w:tcPr>
          <w:p>
            <w:pPr>
              <w:pStyle w:val="27"/>
              <w:spacing w:line="300" w:lineRule="exact"/>
              <w:jc w:val="center"/>
              <w:rPr>
                <w:rFonts w:eastAsia="仿宋"/>
              </w:rPr>
            </w:pPr>
            <w:r>
              <w:rPr>
                <w:rFonts w:hint="eastAsia" w:eastAsia="仿宋"/>
              </w:rPr>
              <w:t>直流公共充电桩（</w:t>
            </w:r>
            <w:r>
              <w:rPr>
                <w:rFonts w:eastAsia="仿宋"/>
              </w:rPr>
              <w:t>60kW</w:t>
            </w:r>
            <w:r>
              <w:rPr>
                <w:rFonts w:hint="eastAsia" w:eastAsia="仿宋"/>
              </w:rPr>
              <w:t>）</w:t>
            </w:r>
          </w:p>
        </w:tc>
        <w:tc>
          <w:tcPr>
            <w:tcW w:w="3421" w:type="dxa"/>
            <w:tcBorders>
              <w:tl2br w:val="nil"/>
              <w:tr2bl w:val="nil"/>
            </w:tcBorders>
            <w:shd w:val="clear" w:color="auto" w:fill="auto"/>
            <w:vAlign w:val="center"/>
          </w:tcPr>
          <w:p>
            <w:pPr>
              <w:pStyle w:val="27"/>
              <w:widowControl/>
              <w:spacing w:line="300" w:lineRule="exact"/>
              <w:jc w:val="center"/>
              <w:textAlignment w:val="center"/>
            </w:pPr>
            <w:r>
              <w:rPr>
                <w:rFonts w:hint="eastAsia"/>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1" w:type="dxa"/>
            <w:tcBorders>
              <w:tl2br w:val="nil"/>
              <w:tr2bl w:val="nil"/>
            </w:tcBorders>
            <w:shd w:val="clear" w:color="auto" w:fill="auto"/>
            <w:vAlign w:val="center"/>
          </w:tcPr>
          <w:p>
            <w:pPr>
              <w:pStyle w:val="27"/>
              <w:spacing w:line="300" w:lineRule="exact"/>
              <w:jc w:val="center"/>
              <w:rPr>
                <w:rFonts w:eastAsia="仿宋"/>
              </w:rPr>
            </w:pPr>
            <w:r>
              <w:rPr>
                <w:rFonts w:hint="eastAsia" w:eastAsia="仿宋"/>
              </w:rPr>
              <w:t>小功率直流公共充电桩（</w:t>
            </w:r>
            <w:r>
              <w:rPr>
                <w:rFonts w:eastAsia="仿宋"/>
              </w:rPr>
              <w:t>20kW</w:t>
            </w:r>
            <w:r>
              <w:rPr>
                <w:rFonts w:hint="eastAsia" w:eastAsia="仿宋"/>
              </w:rPr>
              <w:t>）</w:t>
            </w:r>
          </w:p>
        </w:tc>
        <w:tc>
          <w:tcPr>
            <w:tcW w:w="3421" w:type="dxa"/>
            <w:tcBorders>
              <w:tl2br w:val="nil"/>
              <w:tr2bl w:val="nil"/>
            </w:tcBorders>
            <w:shd w:val="clear" w:color="auto" w:fill="auto"/>
            <w:vAlign w:val="center"/>
          </w:tcPr>
          <w:p>
            <w:pPr>
              <w:pStyle w:val="27"/>
              <w:spacing w:line="300" w:lineRule="exact"/>
              <w:jc w:val="center"/>
            </w:pPr>
            <w:r>
              <w:rPr>
                <w:rFonts w:hint="eastAsia"/>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1" w:type="dxa"/>
            <w:tcBorders>
              <w:tl2br w:val="nil"/>
              <w:tr2bl w:val="nil"/>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合计</w:t>
            </w:r>
          </w:p>
        </w:tc>
        <w:tc>
          <w:tcPr>
            <w:tcW w:w="3421" w:type="dxa"/>
            <w:tcBorders>
              <w:tl2br w:val="nil"/>
              <w:tr2bl w:val="nil"/>
            </w:tcBorders>
            <w:shd w:val="clear" w:color="auto" w:fill="auto"/>
            <w:vAlign w:val="center"/>
          </w:tcPr>
          <w:p>
            <w:pPr>
              <w:pStyle w:val="27"/>
              <w:spacing w:line="300" w:lineRule="exact"/>
              <w:jc w:val="center"/>
            </w:pPr>
            <w:r>
              <w:rPr>
                <w:rFonts w:hint="eastAsia"/>
              </w:rPr>
              <w:t>3.99</w:t>
            </w:r>
          </w:p>
        </w:tc>
      </w:tr>
    </w:tbl>
    <w:p>
      <w:pPr>
        <w:pStyle w:val="5"/>
        <w:spacing w:beforeLines="50" w:line="580" w:lineRule="exact"/>
        <w:ind w:firstLine="643"/>
      </w:pPr>
      <w:bookmarkStart w:id="45" w:name="_Toc32343"/>
      <w:r>
        <w:rPr>
          <w:rFonts w:hint="eastAsia"/>
        </w:rPr>
        <w:t>3.城际公用充电设施</w:t>
      </w:r>
      <w:bookmarkEnd w:id="45"/>
    </w:p>
    <w:p>
      <w:pPr>
        <w:pStyle w:val="2"/>
        <w:spacing w:line="580" w:lineRule="exact"/>
        <w:ind w:firstLine="640"/>
        <w:rPr>
          <w:rFonts w:eastAsia="仿宋_GB2312"/>
          <w:sz w:val="32"/>
          <w:szCs w:val="40"/>
        </w:rPr>
      </w:pPr>
      <w:r>
        <w:rPr>
          <w:rFonts w:eastAsia="仿宋_GB2312"/>
          <w:sz w:val="32"/>
          <w:szCs w:val="40"/>
        </w:rPr>
        <w:t>省内</w:t>
      </w:r>
      <w:r>
        <w:rPr>
          <w:rFonts w:hint="eastAsia" w:eastAsia="仿宋_GB2312"/>
          <w:sz w:val="32"/>
          <w:szCs w:val="40"/>
        </w:rPr>
        <w:t>“</w:t>
      </w:r>
      <w:r>
        <w:rPr>
          <w:rFonts w:eastAsia="仿宋_GB2312"/>
          <w:sz w:val="32"/>
          <w:szCs w:val="40"/>
        </w:rPr>
        <w:t>十四五</w:t>
      </w:r>
      <w:r>
        <w:rPr>
          <w:rFonts w:hint="eastAsia" w:eastAsia="仿宋_GB2312"/>
          <w:sz w:val="32"/>
          <w:szCs w:val="40"/>
        </w:rPr>
        <w:t>”</w:t>
      </w:r>
      <w:r>
        <w:rPr>
          <w:rFonts w:eastAsia="仿宋_GB2312"/>
          <w:sz w:val="32"/>
          <w:szCs w:val="40"/>
        </w:rPr>
        <w:t>规划新建高速公路约</w:t>
      </w:r>
      <w:r>
        <w:rPr>
          <w:rFonts w:hint="eastAsia" w:eastAsia="仿宋_GB2312"/>
          <w:sz w:val="32"/>
          <w:szCs w:val="40"/>
        </w:rPr>
        <w:t>3</w:t>
      </w:r>
      <w:r>
        <w:rPr>
          <w:rFonts w:eastAsia="仿宋_GB2312"/>
          <w:sz w:val="32"/>
          <w:szCs w:val="40"/>
        </w:rPr>
        <w:t>00km，约50km设置一对服务区，考虑在每个服务区设置1座充电站，含10根60kW直流充电桩</w:t>
      </w:r>
      <w:r>
        <w:rPr>
          <w:rFonts w:hint="eastAsia" w:eastAsia="仿宋_GB2312"/>
          <w:sz w:val="32"/>
          <w:szCs w:val="40"/>
        </w:rPr>
        <w:t>，</w:t>
      </w:r>
      <w:r>
        <w:rPr>
          <w:rFonts w:eastAsia="仿宋_GB2312"/>
          <w:sz w:val="32"/>
          <w:szCs w:val="40"/>
        </w:rPr>
        <w:t>可在流量大的服务区适当考虑超大功率直流快充桩</w:t>
      </w:r>
      <w:r>
        <w:rPr>
          <w:rFonts w:hint="eastAsia" w:eastAsia="仿宋_GB2312"/>
          <w:sz w:val="32"/>
          <w:szCs w:val="40"/>
        </w:rPr>
        <w:t>。国省道城际充电设施布局应与沿线乡村充电设施建设相结合，既保障跨区域出行，又能满足本地区公用充电需求。</w:t>
      </w:r>
    </w:p>
    <w:p>
      <w:pPr>
        <w:pStyle w:val="26"/>
        <w:spacing w:beforeLines="50" w:line="580" w:lineRule="exact"/>
        <w:rPr>
          <w:rFonts w:eastAsia="仿宋_GB2312"/>
          <w:bCs/>
          <w:sz w:val="24"/>
          <w:szCs w:val="24"/>
        </w:rPr>
      </w:pPr>
      <w:r>
        <w:rPr>
          <w:rFonts w:hint="eastAsia" w:eastAsia="仿宋_GB2312"/>
          <w:bCs/>
          <w:sz w:val="24"/>
          <w:szCs w:val="24"/>
        </w:rPr>
        <w:t xml:space="preserve">表27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”城际公用</w:t>
      </w:r>
      <w:r>
        <w:rPr>
          <w:rFonts w:eastAsia="仿宋_GB2312"/>
          <w:bCs/>
          <w:sz w:val="24"/>
          <w:szCs w:val="24"/>
        </w:rPr>
        <w:t>充电设施</w:t>
      </w:r>
      <w:r>
        <w:rPr>
          <w:rFonts w:hint="eastAsia" w:eastAsia="仿宋_GB2312"/>
          <w:bCs/>
          <w:sz w:val="24"/>
          <w:szCs w:val="24"/>
        </w:rPr>
        <w:t>规划逐年新增情况</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709"/>
        <w:gridCol w:w="708"/>
        <w:gridCol w:w="709"/>
        <w:gridCol w:w="709"/>
        <w:gridCol w:w="8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709" w:type="dxa"/>
            <w:shd w:val="clear" w:color="auto" w:fill="auto"/>
            <w:vAlign w:val="center"/>
          </w:tcPr>
          <w:p>
            <w:pPr>
              <w:pStyle w:val="27"/>
              <w:spacing w:line="300" w:lineRule="exact"/>
              <w:jc w:val="center"/>
              <w:rPr>
                <w:sz w:val="18"/>
              </w:rPr>
            </w:pPr>
            <w:r>
              <w:t>2021</w:t>
            </w:r>
          </w:p>
        </w:tc>
        <w:tc>
          <w:tcPr>
            <w:tcW w:w="708" w:type="dxa"/>
            <w:shd w:val="clear" w:color="auto" w:fill="auto"/>
            <w:vAlign w:val="center"/>
          </w:tcPr>
          <w:p>
            <w:pPr>
              <w:pStyle w:val="27"/>
              <w:spacing w:line="300" w:lineRule="exact"/>
              <w:jc w:val="center"/>
              <w:rPr>
                <w:sz w:val="18"/>
              </w:rPr>
            </w:pPr>
            <w:r>
              <w:t>2022</w:t>
            </w:r>
          </w:p>
        </w:tc>
        <w:tc>
          <w:tcPr>
            <w:tcW w:w="709" w:type="dxa"/>
            <w:shd w:val="clear" w:color="auto" w:fill="auto"/>
            <w:vAlign w:val="center"/>
          </w:tcPr>
          <w:p>
            <w:pPr>
              <w:pStyle w:val="27"/>
              <w:spacing w:line="300" w:lineRule="exact"/>
              <w:jc w:val="center"/>
              <w:rPr>
                <w:sz w:val="18"/>
              </w:rPr>
            </w:pPr>
            <w:r>
              <w:t>2023</w:t>
            </w:r>
          </w:p>
        </w:tc>
        <w:tc>
          <w:tcPr>
            <w:tcW w:w="709" w:type="dxa"/>
            <w:shd w:val="clear" w:color="auto" w:fill="auto"/>
            <w:vAlign w:val="center"/>
          </w:tcPr>
          <w:p>
            <w:pPr>
              <w:pStyle w:val="27"/>
              <w:spacing w:line="300" w:lineRule="exact"/>
              <w:jc w:val="center"/>
              <w:rPr>
                <w:sz w:val="18"/>
              </w:rPr>
            </w:pPr>
            <w:r>
              <w:t>2024</w:t>
            </w:r>
          </w:p>
        </w:tc>
        <w:tc>
          <w:tcPr>
            <w:tcW w:w="850" w:type="dxa"/>
            <w:shd w:val="clear" w:color="auto" w:fill="auto"/>
            <w:vAlign w:val="center"/>
          </w:tcPr>
          <w:p>
            <w:pPr>
              <w:pStyle w:val="27"/>
              <w:spacing w:line="300" w:lineRule="exact"/>
              <w:jc w:val="center"/>
              <w:rPr>
                <w:sz w:val="18"/>
              </w:rPr>
            </w:pPr>
            <w:r>
              <w:t>2025</w:t>
            </w:r>
          </w:p>
        </w:tc>
        <w:tc>
          <w:tcPr>
            <w:tcW w:w="1610"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高速公路公共充电站（座）</w:t>
            </w:r>
          </w:p>
        </w:tc>
        <w:tc>
          <w:tcPr>
            <w:tcW w:w="709" w:type="dxa"/>
            <w:shd w:val="clear" w:color="auto" w:fill="auto"/>
            <w:vAlign w:val="center"/>
          </w:tcPr>
          <w:p>
            <w:pPr>
              <w:pStyle w:val="27"/>
              <w:spacing w:line="300" w:lineRule="exact"/>
              <w:jc w:val="center"/>
            </w:pPr>
            <w:r>
              <w:rPr>
                <w:rFonts w:hint="eastAsia"/>
              </w:rPr>
              <w:t>2</w:t>
            </w:r>
          </w:p>
        </w:tc>
        <w:tc>
          <w:tcPr>
            <w:tcW w:w="708" w:type="dxa"/>
            <w:shd w:val="clear" w:color="auto" w:fill="auto"/>
            <w:vAlign w:val="center"/>
          </w:tcPr>
          <w:p>
            <w:pPr>
              <w:pStyle w:val="27"/>
              <w:spacing w:line="300" w:lineRule="exact"/>
              <w:jc w:val="center"/>
            </w:pPr>
            <w:r>
              <w:rPr>
                <w:rFonts w:hint="eastAsia"/>
              </w:rPr>
              <w:t>2</w:t>
            </w:r>
          </w:p>
        </w:tc>
        <w:tc>
          <w:tcPr>
            <w:tcW w:w="709" w:type="dxa"/>
            <w:shd w:val="clear" w:color="auto" w:fill="auto"/>
            <w:vAlign w:val="center"/>
          </w:tcPr>
          <w:p>
            <w:pPr>
              <w:pStyle w:val="27"/>
              <w:spacing w:line="300" w:lineRule="exact"/>
              <w:jc w:val="center"/>
            </w:pPr>
            <w:r>
              <w:rPr>
                <w:rFonts w:hint="eastAsia"/>
              </w:rPr>
              <w:t>2</w:t>
            </w:r>
          </w:p>
        </w:tc>
        <w:tc>
          <w:tcPr>
            <w:tcW w:w="709" w:type="dxa"/>
            <w:shd w:val="clear" w:color="auto" w:fill="auto"/>
            <w:vAlign w:val="center"/>
          </w:tcPr>
          <w:p>
            <w:pPr>
              <w:pStyle w:val="27"/>
              <w:spacing w:line="300" w:lineRule="exact"/>
              <w:jc w:val="center"/>
            </w:pPr>
            <w:r>
              <w:rPr>
                <w:rFonts w:hint="eastAsia"/>
              </w:rPr>
              <w:t>2</w:t>
            </w:r>
          </w:p>
        </w:tc>
        <w:tc>
          <w:tcPr>
            <w:tcW w:w="850" w:type="dxa"/>
            <w:shd w:val="clear" w:color="auto" w:fill="auto"/>
            <w:vAlign w:val="center"/>
          </w:tcPr>
          <w:p>
            <w:pPr>
              <w:pStyle w:val="27"/>
              <w:spacing w:line="300" w:lineRule="exact"/>
              <w:jc w:val="center"/>
            </w:pPr>
            <w:r>
              <w:rPr>
                <w:rFonts w:hint="eastAsia"/>
              </w:rPr>
              <w:t>4</w:t>
            </w:r>
          </w:p>
        </w:tc>
        <w:tc>
          <w:tcPr>
            <w:tcW w:w="1610" w:type="dxa"/>
            <w:shd w:val="clear" w:color="auto" w:fill="auto"/>
            <w:vAlign w:val="center"/>
          </w:tcPr>
          <w:p>
            <w:pPr>
              <w:pStyle w:val="27"/>
              <w:spacing w:line="300" w:lineRule="exact"/>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站中充电桩（</w:t>
            </w:r>
            <w:r>
              <w:rPr>
                <w:rFonts w:ascii="仿宋" w:hAnsi="仿宋" w:eastAsia="仿宋"/>
              </w:rPr>
              <w:t>60kW</w:t>
            </w:r>
            <w:r>
              <w:rPr>
                <w:rFonts w:hint="eastAsia" w:ascii="仿宋" w:hAnsi="仿宋" w:eastAsia="仿宋"/>
              </w:rPr>
              <w:t>）总数（根）</w:t>
            </w:r>
          </w:p>
        </w:tc>
        <w:tc>
          <w:tcPr>
            <w:tcW w:w="709" w:type="dxa"/>
            <w:shd w:val="clear" w:color="auto" w:fill="auto"/>
            <w:vAlign w:val="center"/>
          </w:tcPr>
          <w:p>
            <w:pPr>
              <w:pStyle w:val="27"/>
              <w:spacing w:line="300" w:lineRule="exact"/>
              <w:jc w:val="center"/>
            </w:pPr>
            <w:r>
              <w:rPr>
                <w:rFonts w:hint="eastAsia"/>
              </w:rPr>
              <w:t>20</w:t>
            </w:r>
          </w:p>
        </w:tc>
        <w:tc>
          <w:tcPr>
            <w:tcW w:w="708" w:type="dxa"/>
            <w:shd w:val="clear" w:color="auto" w:fill="auto"/>
            <w:vAlign w:val="center"/>
          </w:tcPr>
          <w:p>
            <w:pPr>
              <w:pStyle w:val="27"/>
              <w:spacing w:line="300" w:lineRule="exact"/>
              <w:jc w:val="center"/>
            </w:pPr>
            <w:r>
              <w:rPr>
                <w:rFonts w:hint="eastAsia"/>
              </w:rPr>
              <w:t>20</w:t>
            </w:r>
          </w:p>
        </w:tc>
        <w:tc>
          <w:tcPr>
            <w:tcW w:w="709" w:type="dxa"/>
            <w:shd w:val="clear" w:color="auto" w:fill="auto"/>
            <w:vAlign w:val="center"/>
          </w:tcPr>
          <w:p>
            <w:pPr>
              <w:pStyle w:val="27"/>
              <w:spacing w:line="300" w:lineRule="exact"/>
              <w:jc w:val="center"/>
              <w:rPr>
                <w:sz w:val="18"/>
              </w:rPr>
            </w:pPr>
            <w:r>
              <w:rPr>
                <w:rFonts w:hint="eastAsia"/>
              </w:rPr>
              <w:t>20</w:t>
            </w:r>
          </w:p>
        </w:tc>
        <w:tc>
          <w:tcPr>
            <w:tcW w:w="709" w:type="dxa"/>
            <w:shd w:val="clear" w:color="auto" w:fill="auto"/>
            <w:vAlign w:val="center"/>
          </w:tcPr>
          <w:p>
            <w:pPr>
              <w:pStyle w:val="27"/>
              <w:spacing w:line="300" w:lineRule="exact"/>
              <w:jc w:val="center"/>
              <w:rPr>
                <w:sz w:val="18"/>
              </w:rPr>
            </w:pPr>
            <w:r>
              <w:rPr>
                <w:rFonts w:hint="eastAsia"/>
              </w:rPr>
              <w:t>20</w:t>
            </w:r>
          </w:p>
        </w:tc>
        <w:tc>
          <w:tcPr>
            <w:tcW w:w="850" w:type="dxa"/>
            <w:shd w:val="clear" w:color="auto" w:fill="auto"/>
            <w:vAlign w:val="center"/>
          </w:tcPr>
          <w:p>
            <w:pPr>
              <w:pStyle w:val="27"/>
              <w:spacing w:line="300" w:lineRule="exact"/>
              <w:jc w:val="center"/>
              <w:rPr>
                <w:sz w:val="18"/>
              </w:rPr>
            </w:pPr>
            <w:r>
              <w:rPr>
                <w:rFonts w:hint="eastAsia"/>
              </w:rPr>
              <w:t>40</w:t>
            </w:r>
          </w:p>
        </w:tc>
        <w:tc>
          <w:tcPr>
            <w:tcW w:w="1610" w:type="dxa"/>
            <w:shd w:val="clear" w:color="auto" w:fill="auto"/>
            <w:vAlign w:val="center"/>
          </w:tcPr>
          <w:p>
            <w:pPr>
              <w:pStyle w:val="27"/>
              <w:spacing w:line="300" w:lineRule="exact"/>
              <w:jc w:val="center"/>
              <w:rPr>
                <w:sz w:val="18"/>
              </w:rPr>
            </w:pPr>
            <w:r>
              <w:rPr>
                <w:rFonts w:hint="eastAsia"/>
              </w:rPr>
              <w:t>120</w:t>
            </w:r>
          </w:p>
        </w:tc>
      </w:tr>
    </w:tbl>
    <w:p>
      <w:pPr>
        <w:pStyle w:val="5"/>
        <w:spacing w:line="580" w:lineRule="exact"/>
        <w:ind w:firstLine="643"/>
      </w:pPr>
      <w:bookmarkStart w:id="46" w:name="_Toc32531"/>
      <w:bookmarkStart w:id="47" w:name="_Toc47622935"/>
      <w:r>
        <w:rPr>
          <w:rFonts w:hint="eastAsia"/>
        </w:rPr>
        <w:t>4.乡村公用充电设施</w:t>
      </w:r>
      <w:bookmarkEnd w:id="46"/>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为满足省内乡村电动汽车充电需求，按照从西安到关中、从关中到全省、从乡镇到农村的原则，推进公用充电设施下沉至乡村区域，力争“十四五”末全省每个乡镇建设1座公共充电站（每座充电站含</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根</w:t>
      </w:r>
      <w:r>
        <w:rPr>
          <w:rFonts w:ascii="Times New Roman" w:hAnsi="Times New Roman" w:eastAsia="仿宋_GB2312" w:cs="Times New Roman"/>
          <w:sz w:val="32"/>
          <w:szCs w:val="32"/>
        </w:rPr>
        <w:t>60kW</w:t>
      </w:r>
      <w:r>
        <w:rPr>
          <w:rFonts w:hint="eastAsia" w:ascii="Times New Roman" w:hAnsi="Times New Roman" w:eastAsia="仿宋_GB2312" w:cs="Times New Roman"/>
          <w:sz w:val="32"/>
          <w:szCs w:val="32"/>
        </w:rPr>
        <w:t>直流充电桩），关中区域百分之十五的村组建设公共充电桩（</w:t>
      </w:r>
      <w:r>
        <w:rPr>
          <w:rFonts w:ascii="Times New Roman" w:hAnsi="Times New Roman" w:eastAsia="仿宋_GB2312" w:cs="Times New Roman"/>
          <w:sz w:val="32"/>
          <w:szCs w:val="32"/>
        </w:rPr>
        <w:t>每</w:t>
      </w:r>
      <w:r>
        <w:rPr>
          <w:rFonts w:hint="eastAsia" w:ascii="Times New Roman" w:hAnsi="Times New Roman" w:eastAsia="仿宋_GB2312" w:cs="Times New Roman"/>
          <w:sz w:val="32"/>
          <w:szCs w:val="32"/>
        </w:rPr>
        <w:t>村建设2根</w:t>
      </w:r>
      <w:r>
        <w:rPr>
          <w:rFonts w:ascii="Times New Roman" w:hAnsi="Times New Roman" w:eastAsia="仿宋_GB2312" w:cs="Times New Roman"/>
          <w:sz w:val="32"/>
          <w:szCs w:val="32"/>
        </w:rPr>
        <w:t>60kW直流充电桩</w:t>
      </w:r>
      <w:r>
        <w:rPr>
          <w:rFonts w:hint="eastAsia" w:ascii="Times New Roman" w:hAnsi="Times New Roman" w:eastAsia="仿宋_GB2312" w:cs="Times New Roman"/>
          <w:sz w:val="32"/>
          <w:szCs w:val="32"/>
        </w:rPr>
        <w:t>），建成后关中乡村区域公共充电设施平均服务半径小于</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千米，陕南、陕北乡村区域公共充电设施平均服务半径小于8千米，乡村充电设施建设应结合场地情况尽量沿周边国省道等公路布置，在满足区域内电动汽车充电需求的同时为跨区域出行提供保障。</w:t>
      </w:r>
    </w:p>
    <w:p>
      <w:pPr>
        <w:pStyle w:val="26"/>
        <w:spacing w:beforeLines="50" w:line="580" w:lineRule="exact"/>
        <w:rPr>
          <w:rFonts w:eastAsia="仿宋_GB2312"/>
          <w:bCs/>
          <w:sz w:val="24"/>
          <w:szCs w:val="24"/>
        </w:rPr>
      </w:pPr>
      <w:bookmarkStart w:id="48" w:name="_Toc6246"/>
      <w:r>
        <w:rPr>
          <w:rFonts w:hint="eastAsia" w:eastAsia="仿宋_GB2312"/>
          <w:bCs/>
          <w:sz w:val="24"/>
          <w:szCs w:val="24"/>
        </w:rPr>
        <w:t xml:space="preserve">表28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”乡村公用</w:t>
      </w:r>
      <w:r>
        <w:rPr>
          <w:rFonts w:eastAsia="仿宋_GB2312"/>
          <w:bCs/>
          <w:sz w:val="24"/>
          <w:szCs w:val="24"/>
        </w:rPr>
        <w:t>充电设施</w:t>
      </w:r>
      <w:r>
        <w:rPr>
          <w:rFonts w:hint="eastAsia" w:eastAsia="仿宋_GB2312"/>
          <w:bCs/>
          <w:sz w:val="24"/>
          <w:szCs w:val="24"/>
        </w:rPr>
        <w:t>规划逐年新增情况</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709"/>
        <w:gridCol w:w="708"/>
        <w:gridCol w:w="709"/>
        <w:gridCol w:w="709"/>
        <w:gridCol w:w="8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709" w:type="dxa"/>
            <w:shd w:val="clear" w:color="auto" w:fill="auto"/>
            <w:vAlign w:val="center"/>
          </w:tcPr>
          <w:p>
            <w:pPr>
              <w:pStyle w:val="27"/>
              <w:spacing w:line="300" w:lineRule="exact"/>
              <w:jc w:val="center"/>
              <w:rPr>
                <w:sz w:val="18"/>
              </w:rPr>
            </w:pPr>
            <w:r>
              <w:t>2021</w:t>
            </w:r>
          </w:p>
        </w:tc>
        <w:tc>
          <w:tcPr>
            <w:tcW w:w="708" w:type="dxa"/>
            <w:shd w:val="clear" w:color="auto" w:fill="auto"/>
            <w:vAlign w:val="center"/>
          </w:tcPr>
          <w:p>
            <w:pPr>
              <w:pStyle w:val="27"/>
              <w:spacing w:line="300" w:lineRule="exact"/>
              <w:jc w:val="center"/>
              <w:rPr>
                <w:sz w:val="18"/>
              </w:rPr>
            </w:pPr>
            <w:r>
              <w:t>2022</w:t>
            </w:r>
          </w:p>
        </w:tc>
        <w:tc>
          <w:tcPr>
            <w:tcW w:w="709" w:type="dxa"/>
            <w:shd w:val="clear" w:color="auto" w:fill="auto"/>
            <w:vAlign w:val="center"/>
          </w:tcPr>
          <w:p>
            <w:pPr>
              <w:pStyle w:val="27"/>
              <w:spacing w:line="300" w:lineRule="exact"/>
              <w:jc w:val="center"/>
              <w:rPr>
                <w:sz w:val="18"/>
              </w:rPr>
            </w:pPr>
            <w:r>
              <w:t>2023</w:t>
            </w:r>
          </w:p>
        </w:tc>
        <w:tc>
          <w:tcPr>
            <w:tcW w:w="709" w:type="dxa"/>
            <w:shd w:val="clear" w:color="auto" w:fill="auto"/>
            <w:vAlign w:val="center"/>
          </w:tcPr>
          <w:p>
            <w:pPr>
              <w:pStyle w:val="27"/>
              <w:spacing w:line="300" w:lineRule="exact"/>
              <w:jc w:val="center"/>
              <w:rPr>
                <w:sz w:val="18"/>
              </w:rPr>
            </w:pPr>
            <w:r>
              <w:t>2024</w:t>
            </w:r>
          </w:p>
        </w:tc>
        <w:tc>
          <w:tcPr>
            <w:tcW w:w="850" w:type="dxa"/>
            <w:shd w:val="clear" w:color="auto" w:fill="auto"/>
            <w:vAlign w:val="center"/>
          </w:tcPr>
          <w:p>
            <w:pPr>
              <w:pStyle w:val="27"/>
              <w:spacing w:line="300" w:lineRule="exact"/>
              <w:jc w:val="center"/>
              <w:rPr>
                <w:sz w:val="18"/>
              </w:rPr>
            </w:pPr>
            <w:r>
              <w:t>2025</w:t>
            </w:r>
          </w:p>
        </w:tc>
        <w:tc>
          <w:tcPr>
            <w:tcW w:w="1610"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乡镇公用充电站（座）</w:t>
            </w:r>
          </w:p>
        </w:tc>
        <w:tc>
          <w:tcPr>
            <w:tcW w:w="709" w:type="dxa"/>
            <w:shd w:val="clear" w:color="auto" w:fill="auto"/>
            <w:vAlign w:val="center"/>
          </w:tcPr>
          <w:p>
            <w:pPr>
              <w:pStyle w:val="27"/>
              <w:spacing w:line="300" w:lineRule="exact"/>
              <w:jc w:val="center"/>
            </w:pPr>
            <w:r>
              <w:t>200</w:t>
            </w:r>
          </w:p>
        </w:tc>
        <w:tc>
          <w:tcPr>
            <w:tcW w:w="708" w:type="dxa"/>
            <w:shd w:val="clear" w:color="auto" w:fill="auto"/>
          </w:tcPr>
          <w:p>
            <w:pPr>
              <w:pStyle w:val="27"/>
              <w:spacing w:line="300" w:lineRule="exact"/>
              <w:jc w:val="center"/>
            </w:pPr>
            <w:r>
              <w:t>200</w:t>
            </w:r>
          </w:p>
        </w:tc>
        <w:tc>
          <w:tcPr>
            <w:tcW w:w="709" w:type="dxa"/>
            <w:shd w:val="clear" w:color="auto" w:fill="auto"/>
          </w:tcPr>
          <w:p>
            <w:pPr>
              <w:pStyle w:val="27"/>
              <w:spacing w:line="300" w:lineRule="exact"/>
              <w:jc w:val="center"/>
            </w:pPr>
            <w:r>
              <w:t>200</w:t>
            </w:r>
          </w:p>
        </w:tc>
        <w:tc>
          <w:tcPr>
            <w:tcW w:w="709" w:type="dxa"/>
            <w:shd w:val="clear" w:color="auto" w:fill="auto"/>
          </w:tcPr>
          <w:p>
            <w:pPr>
              <w:pStyle w:val="27"/>
              <w:spacing w:line="300" w:lineRule="exact"/>
              <w:jc w:val="center"/>
            </w:pPr>
            <w:r>
              <w:t>200</w:t>
            </w:r>
          </w:p>
        </w:tc>
        <w:tc>
          <w:tcPr>
            <w:tcW w:w="850" w:type="dxa"/>
            <w:shd w:val="clear" w:color="auto" w:fill="auto"/>
          </w:tcPr>
          <w:p>
            <w:pPr>
              <w:pStyle w:val="27"/>
              <w:spacing w:line="300" w:lineRule="exact"/>
              <w:jc w:val="center"/>
            </w:pPr>
            <w:r>
              <w:t>196</w:t>
            </w:r>
          </w:p>
        </w:tc>
        <w:tc>
          <w:tcPr>
            <w:tcW w:w="1610" w:type="dxa"/>
            <w:shd w:val="clear" w:color="auto" w:fill="auto"/>
            <w:vAlign w:val="center"/>
          </w:tcPr>
          <w:p>
            <w:pPr>
              <w:pStyle w:val="27"/>
              <w:spacing w:line="300" w:lineRule="exact"/>
              <w:jc w:val="center"/>
            </w:pPr>
            <w: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村组公用充电桩（根）</w:t>
            </w:r>
          </w:p>
        </w:tc>
        <w:tc>
          <w:tcPr>
            <w:tcW w:w="709" w:type="dxa"/>
            <w:shd w:val="clear" w:color="auto" w:fill="auto"/>
            <w:vAlign w:val="center"/>
          </w:tcPr>
          <w:p>
            <w:pPr>
              <w:pStyle w:val="27"/>
              <w:spacing w:line="300" w:lineRule="exact"/>
              <w:jc w:val="center"/>
            </w:pPr>
            <w:r>
              <w:t>440</w:t>
            </w:r>
          </w:p>
        </w:tc>
        <w:tc>
          <w:tcPr>
            <w:tcW w:w="708" w:type="dxa"/>
            <w:shd w:val="clear" w:color="auto" w:fill="auto"/>
          </w:tcPr>
          <w:p>
            <w:pPr>
              <w:pStyle w:val="27"/>
              <w:spacing w:line="300" w:lineRule="exact"/>
              <w:jc w:val="center"/>
            </w:pPr>
            <w:r>
              <w:t>440</w:t>
            </w:r>
          </w:p>
        </w:tc>
        <w:tc>
          <w:tcPr>
            <w:tcW w:w="709" w:type="dxa"/>
            <w:shd w:val="clear" w:color="auto" w:fill="auto"/>
          </w:tcPr>
          <w:p>
            <w:pPr>
              <w:pStyle w:val="27"/>
              <w:spacing w:line="300" w:lineRule="exact"/>
              <w:jc w:val="center"/>
            </w:pPr>
            <w:r>
              <w:t>440</w:t>
            </w:r>
          </w:p>
        </w:tc>
        <w:tc>
          <w:tcPr>
            <w:tcW w:w="709" w:type="dxa"/>
            <w:shd w:val="clear" w:color="auto" w:fill="auto"/>
          </w:tcPr>
          <w:p>
            <w:pPr>
              <w:pStyle w:val="27"/>
              <w:spacing w:line="300" w:lineRule="exact"/>
              <w:jc w:val="center"/>
            </w:pPr>
            <w:r>
              <w:t>440</w:t>
            </w:r>
          </w:p>
        </w:tc>
        <w:tc>
          <w:tcPr>
            <w:tcW w:w="850" w:type="dxa"/>
            <w:shd w:val="clear" w:color="auto" w:fill="auto"/>
          </w:tcPr>
          <w:p>
            <w:pPr>
              <w:pStyle w:val="27"/>
              <w:spacing w:line="300" w:lineRule="exact"/>
              <w:jc w:val="center"/>
            </w:pPr>
            <w:r>
              <w:t>440</w:t>
            </w:r>
          </w:p>
        </w:tc>
        <w:tc>
          <w:tcPr>
            <w:tcW w:w="1610" w:type="dxa"/>
            <w:shd w:val="clear" w:color="auto" w:fill="auto"/>
            <w:vAlign w:val="center"/>
          </w:tcPr>
          <w:p>
            <w:pPr>
              <w:pStyle w:val="27"/>
              <w:spacing w:line="300" w:lineRule="exact"/>
              <w:jc w:val="center"/>
            </w:pPr>
            <w: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highlight w:val="yellow"/>
              </w:rPr>
            </w:pPr>
            <w:r>
              <w:rPr>
                <w:rFonts w:hint="eastAsia" w:ascii="仿宋" w:hAnsi="仿宋" w:eastAsia="仿宋"/>
              </w:rPr>
              <w:t>以上所含充电桩（</w:t>
            </w:r>
            <w:r>
              <w:rPr>
                <w:rFonts w:ascii="仿宋" w:hAnsi="仿宋" w:eastAsia="仿宋"/>
              </w:rPr>
              <w:t>60kW</w:t>
            </w:r>
            <w:r>
              <w:rPr>
                <w:rFonts w:hint="eastAsia" w:ascii="仿宋" w:hAnsi="仿宋" w:eastAsia="仿宋"/>
              </w:rPr>
              <w:t>）总数（根）</w:t>
            </w:r>
          </w:p>
        </w:tc>
        <w:tc>
          <w:tcPr>
            <w:tcW w:w="709" w:type="dxa"/>
            <w:shd w:val="clear" w:color="auto" w:fill="auto"/>
            <w:vAlign w:val="center"/>
          </w:tcPr>
          <w:p>
            <w:pPr>
              <w:pStyle w:val="27"/>
              <w:spacing w:line="300" w:lineRule="exact"/>
              <w:jc w:val="center"/>
              <w:rPr>
                <w:highlight w:val="yellow"/>
              </w:rPr>
            </w:pPr>
            <w:r>
              <w:t>2440</w:t>
            </w:r>
          </w:p>
        </w:tc>
        <w:tc>
          <w:tcPr>
            <w:tcW w:w="708" w:type="dxa"/>
            <w:shd w:val="clear" w:color="auto" w:fill="auto"/>
            <w:vAlign w:val="center"/>
          </w:tcPr>
          <w:p>
            <w:pPr>
              <w:pStyle w:val="27"/>
              <w:spacing w:line="300" w:lineRule="exact"/>
              <w:jc w:val="center"/>
              <w:rPr>
                <w:highlight w:val="yellow"/>
              </w:rPr>
            </w:pPr>
            <w:r>
              <w:t>2440</w:t>
            </w:r>
          </w:p>
        </w:tc>
        <w:tc>
          <w:tcPr>
            <w:tcW w:w="709" w:type="dxa"/>
            <w:shd w:val="clear" w:color="auto" w:fill="auto"/>
            <w:vAlign w:val="center"/>
          </w:tcPr>
          <w:p>
            <w:pPr>
              <w:pStyle w:val="27"/>
              <w:spacing w:line="300" w:lineRule="exact"/>
              <w:jc w:val="center"/>
              <w:rPr>
                <w:highlight w:val="yellow"/>
              </w:rPr>
            </w:pPr>
            <w:r>
              <w:t>2440</w:t>
            </w:r>
          </w:p>
        </w:tc>
        <w:tc>
          <w:tcPr>
            <w:tcW w:w="709" w:type="dxa"/>
            <w:shd w:val="clear" w:color="auto" w:fill="auto"/>
            <w:vAlign w:val="center"/>
          </w:tcPr>
          <w:p>
            <w:pPr>
              <w:pStyle w:val="27"/>
              <w:spacing w:line="300" w:lineRule="exact"/>
              <w:jc w:val="center"/>
              <w:rPr>
                <w:highlight w:val="yellow"/>
              </w:rPr>
            </w:pPr>
            <w:r>
              <w:t>2440</w:t>
            </w:r>
          </w:p>
        </w:tc>
        <w:tc>
          <w:tcPr>
            <w:tcW w:w="850" w:type="dxa"/>
            <w:shd w:val="clear" w:color="auto" w:fill="auto"/>
            <w:vAlign w:val="center"/>
          </w:tcPr>
          <w:p>
            <w:pPr>
              <w:pStyle w:val="27"/>
              <w:spacing w:line="300" w:lineRule="exact"/>
              <w:jc w:val="center"/>
              <w:rPr>
                <w:highlight w:val="yellow"/>
              </w:rPr>
            </w:pPr>
            <w:r>
              <w:t>2400</w:t>
            </w:r>
          </w:p>
        </w:tc>
        <w:tc>
          <w:tcPr>
            <w:tcW w:w="1610" w:type="dxa"/>
            <w:shd w:val="clear" w:color="auto" w:fill="auto"/>
            <w:vAlign w:val="center"/>
          </w:tcPr>
          <w:p>
            <w:pPr>
              <w:pStyle w:val="27"/>
              <w:spacing w:line="300" w:lineRule="exact"/>
              <w:jc w:val="center"/>
            </w:pPr>
            <w:r>
              <w:t>12160</w:t>
            </w:r>
          </w:p>
        </w:tc>
      </w:tr>
    </w:tbl>
    <w:p>
      <w:pPr>
        <w:pStyle w:val="26"/>
        <w:spacing w:line="240" w:lineRule="auto"/>
        <w:ind w:firstLine="0"/>
        <w:rPr>
          <w:bCs/>
          <w:sz w:val="22"/>
          <w:szCs w:val="22"/>
        </w:rPr>
      </w:pPr>
    </w:p>
    <w:p>
      <w:pPr>
        <w:pStyle w:val="26"/>
        <w:spacing w:afterLines="50" w:line="240" w:lineRule="auto"/>
        <w:ind w:firstLine="0"/>
        <w:rPr>
          <w:rFonts w:eastAsia="仿宋_GB2312"/>
          <w:bCs/>
          <w:sz w:val="24"/>
          <w:szCs w:val="24"/>
        </w:rPr>
      </w:pPr>
      <w:r>
        <w:rPr>
          <w:bCs/>
          <w:sz w:val="22"/>
          <w:szCs w:val="22"/>
        </w:rPr>
        <w:drawing>
          <wp:inline distT="0" distB="0" distL="0" distR="0">
            <wp:extent cx="5321935" cy="2889250"/>
            <wp:effectExtent l="0" t="0" r="0" b="0"/>
            <wp:docPr id="59"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eastAsia="仿宋_GB2312"/>
          <w:bCs/>
          <w:sz w:val="24"/>
          <w:szCs w:val="24"/>
        </w:rPr>
        <w:t>图</w:t>
      </w:r>
      <w:r>
        <w:rPr>
          <w:rFonts w:hint="eastAsia" w:eastAsia="仿宋_GB2312"/>
          <w:bCs/>
          <w:sz w:val="24"/>
          <w:szCs w:val="24"/>
        </w:rPr>
        <w:t xml:space="preserve">24  </w:t>
      </w:r>
      <w:r>
        <w:rPr>
          <w:rFonts w:eastAsia="仿宋_GB2312"/>
          <w:bCs/>
          <w:sz w:val="24"/>
          <w:szCs w:val="24"/>
        </w:rPr>
        <w:t>陕西省“十四五”乡村公用充电设施规划逐年新增情况</w:t>
      </w:r>
    </w:p>
    <w:p>
      <w:pPr>
        <w:pStyle w:val="5"/>
        <w:spacing w:line="580" w:lineRule="exact"/>
        <w:ind w:firstLine="643"/>
        <w:rPr>
          <w:rFonts w:eastAsia="仿宋_GB2312" w:cs="Times New Roman"/>
        </w:rPr>
      </w:pPr>
      <w:r>
        <w:rPr>
          <w:rFonts w:hint="eastAsia"/>
        </w:rPr>
        <w:t>5.景区公用充电设施</w:t>
      </w:r>
      <w:bookmarkEnd w:id="48"/>
    </w:p>
    <w:p>
      <w:pPr>
        <w:pStyle w:val="2"/>
        <w:ind w:firstLine="640"/>
        <w:rPr>
          <w:rFonts w:eastAsia="仿宋_GB2312"/>
          <w:sz w:val="32"/>
          <w:szCs w:val="32"/>
        </w:rPr>
      </w:pPr>
      <w:r>
        <w:rPr>
          <w:rFonts w:hint="eastAsia" w:eastAsia="仿宋_GB2312"/>
          <w:sz w:val="32"/>
          <w:szCs w:val="32"/>
        </w:rPr>
        <w:t>建设覆盖省内</w:t>
      </w:r>
      <w:r>
        <w:rPr>
          <w:rFonts w:eastAsia="仿宋_GB2312"/>
          <w:sz w:val="32"/>
          <w:szCs w:val="32"/>
        </w:rPr>
        <w:t>4A</w:t>
      </w:r>
      <w:r>
        <w:rPr>
          <w:rFonts w:hint="eastAsia" w:eastAsia="仿宋_GB2312"/>
          <w:sz w:val="32"/>
          <w:szCs w:val="32"/>
        </w:rPr>
        <w:t>级及以上重点旅游景区的公用充电网络，位于市区内的景区充电设施纳入城市公用充电设施统一考虑，市区范围以外的</w:t>
      </w:r>
      <w:r>
        <w:rPr>
          <w:rFonts w:eastAsia="仿宋_GB2312"/>
          <w:sz w:val="32"/>
          <w:szCs w:val="32"/>
        </w:rPr>
        <w:t>4A</w:t>
      </w:r>
      <w:r>
        <w:rPr>
          <w:rFonts w:hint="eastAsia" w:eastAsia="仿宋_GB2312"/>
          <w:sz w:val="32"/>
          <w:szCs w:val="32"/>
        </w:rPr>
        <w:t>级及以上景区建设1座公用充电站；</w:t>
      </w:r>
      <w:r>
        <w:rPr>
          <w:rFonts w:eastAsia="仿宋_GB2312"/>
          <w:sz w:val="32"/>
          <w:szCs w:val="32"/>
        </w:rPr>
        <w:t>4A</w:t>
      </w:r>
      <w:r>
        <w:rPr>
          <w:rFonts w:hint="eastAsia" w:eastAsia="仿宋_GB2312"/>
          <w:sz w:val="32"/>
          <w:szCs w:val="32"/>
        </w:rPr>
        <w:t>级景区公用充电站含20根</w:t>
      </w:r>
      <w:r>
        <w:rPr>
          <w:rFonts w:eastAsia="仿宋_GB2312"/>
          <w:sz w:val="32"/>
          <w:szCs w:val="32"/>
        </w:rPr>
        <w:t>60kW</w:t>
      </w:r>
      <w:r>
        <w:rPr>
          <w:rFonts w:hint="eastAsia" w:eastAsia="仿宋_GB2312"/>
          <w:sz w:val="32"/>
          <w:szCs w:val="32"/>
        </w:rPr>
        <w:t>直流充电桩，5</w:t>
      </w:r>
      <w:r>
        <w:rPr>
          <w:rFonts w:eastAsia="仿宋_GB2312"/>
          <w:sz w:val="32"/>
          <w:szCs w:val="32"/>
        </w:rPr>
        <w:t>A</w:t>
      </w:r>
      <w:r>
        <w:rPr>
          <w:rFonts w:hint="eastAsia" w:eastAsia="仿宋_GB2312"/>
          <w:sz w:val="32"/>
          <w:szCs w:val="32"/>
        </w:rPr>
        <w:t>级景区公用充电站含40根</w:t>
      </w:r>
      <w:r>
        <w:rPr>
          <w:rFonts w:eastAsia="仿宋_GB2312"/>
          <w:sz w:val="32"/>
          <w:szCs w:val="32"/>
        </w:rPr>
        <w:t>60kW</w:t>
      </w:r>
      <w:r>
        <w:rPr>
          <w:rFonts w:hint="eastAsia" w:eastAsia="仿宋_GB2312"/>
          <w:sz w:val="32"/>
          <w:szCs w:val="32"/>
        </w:rPr>
        <w:t>直流充电桩，可根据具体需求确定充电桩根数。</w:t>
      </w:r>
    </w:p>
    <w:p>
      <w:pPr>
        <w:pStyle w:val="26"/>
        <w:spacing w:line="580" w:lineRule="exact"/>
        <w:rPr>
          <w:rFonts w:eastAsia="仿宋_GB2312"/>
          <w:bCs/>
          <w:sz w:val="24"/>
          <w:szCs w:val="24"/>
        </w:rPr>
      </w:pPr>
      <w:r>
        <w:rPr>
          <w:rFonts w:hint="eastAsia" w:eastAsia="仿宋_GB2312"/>
          <w:bCs/>
          <w:sz w:val="24"/>
          <w:szCs w:val="24"/>
        </w:rPr>
        <w:t>表</w:t>
      </w:r>
      <w:r>
        <w:rPr>
          <w:rFonts w:eastAsia="仿宋_GB2312"/>
          <w:bCs/>
          <w:sz w:val="24"/>
          <w:szCs w:val="24"/>
        </w:rPr>
        <w:t>2</w:t>
      </w:r>
      <w:r>
        <w:rPr>
          <w:rFonts w:hint="eastAsia" w:eastAsia="仿宋_GB2312"/>
          <w:bCs/>
          <w:sz w:val="24"/>
          <w:szCs w:val="24"/>
        </w:rPr>
        <w:t xml:space="preserve">9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”景区公用</w:t>
      </w:r>
      <w:r>
        <w:rPr>
          <w:rFonts w:eastAsia="仿宋_GB2312"/>
          <w:bCs/>
          <w:sz w:val="24"/>
          <w:szCs w:val="24"/>
        </w:rPr>
        <w:t>充电设施</w:t>
      </w:r>
      <w:r>
        <w:rPr>
          <w:rFonts w:hint="eastAsia" w:eastAsia="仿宋_GB2312"/>
          <w:bCs/>
          <w:sz w:val="24"/>
          <w:szCs w:val="24"/>
        </w:rPr>
        <w:t>规划逐年新增情况</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709"/>
        <w:gridCol w:w="708"/>
        <w:gridCol w:w="709"/>
        <w:gridCol w:w="709"/>
        <w:gridCol w:w="85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709" w:type="dxa"/>
            <w:shd w:val="clear" w:color="auto" w:fill="auto"/>
            <w:vAlign w:val="center"/>
          </w:tcPr>
          <w:p>
            <w:pPr>
              <w:pStyle w:val="27"/>
              <w:spacing w:line="300" w:lineRule="exact"/>
              <w:jc w:val="center"/>
              <w:rPr>
                <w:sz w:val="18"/>
              </w:rPr>
            </w:pPr>
            <w:r>
              <w:t>2021</w:t>
            </w:r>
          </w:p>
        </w:tc>
        <w:tc>
          <w:tcPr>
            <w:tcW w:w="708" w:type="dxa"/>
            <w:shd w:val="clear" w:color="auto" w:fill="auto"/>
            <w:vAlign w:val="center"/>
          </w:tcPr>
          <w:p>
            <w:pPr>
              <w:pStyle w:val="27"/>
              <w:spacing w:line="300" w:lineRule="exact"/>
              <w:jc w:val="center"/>
              <w:rPr>
                <w:sz w:val="18"/>
              </w:rPr>
            </w:pPr>
            <w:r>
              <w:t>2022</w:t>
            </w:r>
          </w:p>
        </w:tc>
        <w:tc>
          <w:tcPr>
            <w:tcW w:w="709" w:type="dxa"/>
            <w:shd w:val="clear" w:color="auto" w:fill="auto"/>
            <w:vAlign w:val="center"/>
          </w:tcPr>
          <w:p>
            <w:pPr>
              <w:pStyle w:val="27"/>
              <w:spacing w:line="300" w:lineRule="exact"/>
              <w:jc w:val="center"/>
              <w:rPr>
                <w:sz w:val="18"/>
              </w:rPr>
            </w:pPr>
            <w:r>
              <w:t>2023</w:t>
            </w:r>
          </w:p>
        </w:tc>
        <w:tc>
          <w:tcPr>
            <w:tcW w:w="709" w:type="dxa"/>
            <w:shd w:val="clear" w:color="auto" w:fill="auto"/>
            <w:vAlign w:val="center"/>
          </w:tcPr>
          <w:p>
            <w:pPr>
              <w:pStyle w:val="27"/>
              <w:spacing w:line="300" w:lineRule="exact"/>
              <w:jc w:val="center"/>
              <w:rPr>
                <w:sz w:val="18"/>
              </w:rPr>
            </w:pPr>
            <w:r>
              <w:t>2024</w:t>
            </w:r>
          </w:p>
        </w:tc>
        <w:tc>
          <w:tcPr>
            <w:tcW w:w="850" w:type="dxa"/>
            <w:shd w:val="clear" w:color="auto" w:fill="auto"/>
            <w:vAlign w:val="center"/>
          </w:tcPr>
          <w:p>
            <w:pPr>
              <w:pStyle w:val="27"/>
              <w:spacing w:line="300" w:lineRule="exact"/>
              <w:jc w:val="center"/>
              <w:rPr>
                <w:sz w:val="18"/>
              </w:rPr>
            </w:pPr>
            <w:r>
              <w:t>2025</w:t>
            </w:r>
          </w:p>
        </w:tc>
        <w:tc>
          <w:tcPr>
            <w:tcW w:w="1610"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“十四五”新增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景区公用充电站（座）</w:t>
            </w:r>
          </w:p>
        </w:tc>
        <w:tc>
          <w:tcPr>
            <w:tcW w:w="709" w:type="dxa"/>
            <w:shd w:val="clear" w:color="auto" w:fill="auto"/>
            <w:vAlign w:val="center"/>
          </w:tcPr>
          <w:p>
            <w:pPr>
              <w:pStyle w:val="27"/>
              <w:spacing w:line="300" w:lineRule="exact"/>
              <w:jc w:val="center"/>
            </w:pPr>
            <w:r>
              <w:rPr>
                <w:rFonts w:hint="eastAsia"/>
              </w:rPr>
              <w:t>20</w:t>
            </w:r>
          </w:p>
        </w:tc>
        <w:tc>
          <w:tcPr>
            <w:tcW w:w="708" w:type="dxa"/>
            <w:shd w:val="clear" w:color="auto" w:fill="auto"/>
          </w:tcPr>
          <w:p>
            <w:pPr>
              <w:pStyle w:val="27"/>
              <w:spacing w:line="300" w:lineRule="exact"/>
              <w:jc w:val="center"/>
            </w:pPr>
            <w:r>
              <w:t>20</w:t>
            </w:r>
          </w:p>
        </w:tc>
        <w:tc>
          <w:tcPr>
            <w:tcW w:w="709" w:type="dxa"/>
            <w:shd w:val="clear" w:color="auto" w:fill="auto"/>
          </w:tcPr>
          <w:p>
            <w:pPr>
              <w:pStyle w:val="27"/>
              <w:spacing w:line="300" w:lineRule="exact"/>
              <w:jc w:val="center"/>
            </w:pPr>
            <w:r>
              <w:t>20</w:t>
            </w:r>
          </w:p>
        </w:tc>
        <w:tc>
          <w:tcPr>
            <w:tcW w:w="709" w:type="dxa"/>
            <w:shd w:val="clear" w:color="auto" w:fill="auto"/>
          </w:tcPr>
          <w:p>
            <w:pPr>
              <w:pStyle w:val="27"/>
              <w:spacing w:line="300" w:lineRule="exact"/>
              <w:jc w:val="center"/>
            </w:pPr>
            <w:r>
              <w:t>20</w:t>
            </w:r>
          </w:p>
        </w:tc>
        <w:tc>
          <w:tcPr>
            <w:tcW w:w="850" w:type="dxa"/>
            <w:shd w:val="clear" w:color="auto" w:fill="auto"/>
          </w:tcPr>
          <w:p>
            <w:pPr>
              <w:pStyle w:val="27"/>
              <w:spacing w:line="300" w:lineRule="exact"/>
              <w:jc w:val="center"/>
            </w:pPr>
            <w:r>
              <w:rPr>
                <w:rFonts w:hint="eastAsia"/>
              </w:rPr>
              <w:t>20</w:t>
            </w:r>
          </w:p>
        </w:tc>
        <w:tc>
          <w:tcPr>
            <w:tcW w:w="1610" w:type="dxa"/>
            <w:shd w:val="clear" w:color="auto" w:fill="auto"/>
            <w:vAlign w:val="center"/>
          </w:tcPr>
          <w:p>
            <w:pPr>
              <w:pStyle w:val="27"/>
              <w:spacing w:line="300" w:lineRule="exact"/>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7"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以上所含充电桩（</w:t>
            </w:r>
            <w:r>
              <w:rPr>
                <w:rFonts w:ascii="仿宋" w:hAnsi="仿宋" w:eastAsia="仿宋"/>
              </w:rPr>
              <w:t>60kW</w:t>
            </w:r>
            <w:r>
              <w:rPr>
                <w:rFonts w:hint="eastAsia" w:ascii="仿宋" w:hAnsi="仿宋" w:eastAsia="仿宋"/>
              </w:rPr>
              <w:t>）总数（根）</w:t>
            </w:r>
          </w:p>
        </w:tc>
        <w:tc>
          <w:tcPr>
            <w:tcW w:w="709" w:type="dxa"/>
            <w:shd w:val="clear" w:color="auto" w:fill="auto"/>
            <w:vAlign w:val="center"/>
          </w:tcPr>
          <w:p>
            <w:pPr>
              <w:pStyle w:val="27"/>
              <w:spacing w:line="300" w:lineRule="exact"/>
              <w:jc w:val="center"/>
            </w:pPr>
            <w:r>
              <w:rPr>
                <w:rFonts w:hint="eastAsia"/>
              </w:rPr>
              <w:t>520</w:t>
            </w:r>
          </w:p>
        </w:tc>
        <w:tc>
          <w:tcPr>
            <w:tcW w:w="708" w:type="dxa"/>
            <w:shd w:val="clear" w:color="auto" w:fill="auto"/>
          </w:tcPr>
          <w:p>
            <w:pPr>
              <w:pStyle w:val="27"/>
              <w:spacing w:line="300" w:lineRule="exact"/>
              <w:jc w:val="center"/>
            </w:pPr>
            <w:r>
              <w:rPr>
                <w:rFonts w:hint="eastAsia"/>
              </w:rPr>
              <w:t>400</w:t>
            </w:r>
          </w:p>
        </w:tc>
        <w:tc>
          <w:tcPr>
            <w:tcW w:w="709" w:type="dxa"/>
            <w:shd w:val="clear" w:color="auto" w:fill="auto"/>
          </w:tcPr>
          <w:p>
            <w:pPr>
              <w:pStyle w:val="27"/>
              <w:spacing w:line="300" w:lineRule="exact"/>
              <w:jc w:val="center"/>
            </w:pPr>
            <w:r>
              <w:rPr>
                <w:rFonts w:hint="eastAsia"/>
              </w:rPr>
              <w:t>400</w:t>
            </w:r>
          </w:p>
        </w:tc>
        <w:tc>
          <w:tcPr>
            <w:tcW w:w="709" w:type="dxa"/>
            <w:shd w:val="clear" w:color="auto" w:fill="auto"/>
          </w:tcPr>
          <w:p>
            <w:pPr>
              <w:pStyle w:val="27"/>
              <w:spacing w:line="300" w:lineRule="exact"/>
              <w:jc w:val="center"/>
            </w:pPr>
            <w:r>
              <w:rPr>
                <w:rFonts w:hint="eastAsia"/>
              </w:rPr>
              <w:t>400</w:t>
            </w:r>
          </w:p>
        </w:tc>
        <w:tc>
          <w:tcPr>
            <w:tcW w:w="850" w:type="dxa"/>
            <w:shd w:val="clear" w:color="auto" w:fill="auto"/>
          </w:tcPr>
          <w:p>
            <w:pPr>
              <w:pStyle w:val="27"/>
              <w:spacing w:line="300" w:lineRule="exact"/>
              <w:jc w:val="center"/>
            </w:pPr>
            <w:r>
              <w:rPr>
                <w:rFonts w:hint="eastAsia"/>
              </w:rPr>
              <w:t>400</w:t>
            </w:r>
          </w:p>
        </w:tc>
        <w:tc>
          <w:tcPr>
            <w:tcW w:w="1610" w:type="dxa"/>
            <w:shd w:val="clear" w:color="auto" w:fill="auto"/>
            <w:vAlign w:val="center"/>
          </w:tcPr>
          <w:p>
            <w:pPr>
              <w:pStyle w:val="27"/>
              <w:spacing w:line="300" w:lineRule="exact"/>
              <w:jc w:val="center"/>
            </w:pPr>
            <w:r>
              <w:rPr>
                <w:rFonts w:hint="eastAsia"/>
              </w:rPr>
              <w:t>2120</w:t>
            </w:r>
          </w:p>
        </w:tc>
      </w:tr>
    </w:tbl>
    <w:p>
      <w:pPr>
        <w:pStyle w:val="4"/>
        <w:spacing w:beforeLines="50" w:line="580" w:lineRule="exact"/>
        <w:ind w:firstLine="643"/>
      </w:pPr>
      <w:bookmarkStart w:id="49" w:name="_Toc20618"/>
      <w:bookmarkStart w:id="50" w:name="_Toc10755"/>
      <w:r>
        <w:rPr>
          <w:rFonts w:hint="eastAsia"/>
        </w:rPr>
        <w:t>（四）用电需求预测</w:t>
      </w:r>
      <w:bookmarkEnd w:id="49"/>
      <w:bookmarkEnd w:id="50"/>
    </w:p>
    <w:p>
      <w:pPr>
        <w:ind w:firstLine="640" w:firstLineChars="200"/>
        <w:rPr>
          <w:rFonts w:eastAsia="仿宋_GB2312"/>
          <w:sz w:val="32"/>
          <w:szCs w:val="32"/>
        </w:rPr>
      </w:pPr>
      <w:r>
        <w:rPr>
          <w:rFonts w:hint="eastAsia" w:eastAsia="仿宋_GB2312"/>
          <w:sz w:val="32"/>
          <w:szCs w:val="32"/>
        </w:rPr>
        <w:t>根据充电设施现状及充电</w:t>
      </w:r>
      <w:r>
        <w:rPr>
          <w:rFonts w:ascii="Times New Roman" w:hAnsi="Times New Roman" w:eastAsia="仿宋_GB2312" w:cs="Times New Roman"/>
          <w:sz w:val="32"/>
          <w:szCs w:val="32"/>
        </w:rPr>
        <w:t>设施需求预测结果，至2025年省内充电基础设施总功率将达到674</w:t>
      </w:r>
      <w:r>
        <w:rPr>
          <w:rFonts w:hint="eastAsia" w:eastAsia="仿宋_GB2312"/>
          <w:sz w:val="32"/>
          <w:szCs w:val="32"/>
        </w:rPr>
        <w:t>万千瓦。</w:t>
      </w:r>
    </w:p>
    <w:p>
      <w:pPr>
        <w:pStyle w:val="26"/>
        <w:spacing w:line="580" w:lineRule="exact"/>
        <w:rPr>
          <w:rFonts w:eastAsia="仿宋_GB2312"/>
          <w:bCs/>
          <w:sz w:val="24"/>
          <w:szCs w:val="24"/>
        </w:rPr>
      </w:pPr>
      <w:r>
        <w:rPr>
          <w:rFonts w:hint="eastAsia" w:eastAsia="仿宋_GB2312"/>
          <w:bCs/>
          <w:sz w:val="24"/>
          <w:szCs w:val="24"/>
        </w:rPr>
        <w:t>表</w:t>
      </w:r>
      <w:r>
        <w:rPr>
          <w:rFonts w:eastAsia="仿宋_GB2312"/>
          <w:bCs/>
          <w:sz w:val="24"/>
          <w:szCs w:val="24"/>
        </w:rPr>
        <w:t>30</w:t>
      </w:r>
      <w:r>
        <w:rPr>
          <w:rFonts w:hint="eastAsia" w:eastAsia="仿宋_GB2312"/>
          <w:bCs/>
          <w:sz w:val="24"/>
          <w:szCs w:val="24"/>
        </w:rPr>
        <w:t xml:space="preserve">  </w:t>
      </w:r>
      <w:r>
        <w:rPr>
          <w:rFonts w:eastAsia="仿宋_GB2312"/>
          <w:bCs/>
          <w:sz w:val="24"/>
          <w:szCs w:val="24"/>
        </w:rPr>
        <w:t>陕西省</w:t>
      </w:r>
      <w:r>
        <w:rPr>
          <w:rFonts w:hint="eastAsia" w:eastAsia="仿宋_GB2312"/>
          <w:bCs/>
          <w:sz w:val="24"/>
          <w:szCs w:val="24"/>
        </w:rPr>
        <w:t>“十四</w:t>
      </w:r>
      <w:r>
        <w:rPr>
          <w:rFonts w:eastAsia="仿宋_GB2312"/>
          <w:bCs/>
          <w:sz w:val="24"/>
          <w:szCs w:val="24"/>
        </w:rPr>
        <w:t>五</w:t>
      </w:r>
      <w:r>
        <w:rPr>
          <w:rFonts w:hint="eastAsia" w:eastAsia="仿宋_GB2312"/>
          <w:bCs/>
          <w:sz w:val="24"/>
          <w:szCs w:val="24"/>
        </w:rPr>
        <w:t>”末</w:t>
      </w:r>
      <w:r>
        <w:rPr>
          <w:rFonts w:eastAsia="仿宋_GB2312"/>
          <w:bCs/>
          <w:sz w:val="24"/>
          <w:szCs w:val="24"/>
        </w:rPr>
        <w:t>充电设施</w:t>
      </w:r>
      <w:r>
        <w:rPr>
          <w:rFonts w:hint="eastAsia" w:eastAsia="仿宋_GB2312"/>
          <w:bCs/>
          <w:sz w:val="24"/>
          <w:szCs w:val="24"/>
        </w:rPr>
        <w:t>总功率</w:t>
      </w:r>
    </w:p>
    <w:tbl>
      <w:tblPr>
        <w:tblStyle w:val="17"/>
        <w:tblW w:w="7567" w:type="dxa"/>
        <w:jc w:val="center"/>
        <w:tblLayout w:type="fixed"/>
        <w:tblCellMar>
          <w:top w:w="0" w:type="dxa"/>
          <w:left w:w="108" w:type="dxa"/>
          <w:bottom w:w="0" w:type="dxa"/>
          <w:right w:w="108" w:type="dxa"/>
        </w:tblCellMar>
      </w:tblPr>
      <w:tblGrid>
        <w:gridCol w:w="3459"/>
        <w:gridCol w:w="2126"/>
        <w:gridCol w:w="1982"/>
      </w:tblGrid>
      <w:tr>
        <w:tblPrEx>
          <w:tblCellMar>
            <w:top w:w="0" w:type="dxa"/>
            <w:left w:w="108" w:type="dxa"/>
            <w:bottom w:w="0" w:type="dxa"/>
            <w:right w:w="108" w:type="dxa"/>
          </w:tblCellMar>
        </w:tblPrEx>
        <w:trPr>
          <w:trHeight w:val="270" w:hRule="atLeast"/>
          <w:jc w:val="center"/>
        </w:trPr>
        <w:tc>
          <w:tcPr>
            <w:tcW w:w="34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充电设施类型</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累计充电桩数量（根）</w:t>
            </w:r>
          </w:p>
        </w:tc>
        <w:tc>
          <w:tcPr>
            <w:tcW w:w="1982" w:type="dxa"/>
            <w:tcBorders>
              <w:top w:val="single" w:color="auto" w:sz="4" w:space="0"/>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单台充电功率（kW）</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公交车充电桩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6670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环卫车充电桩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20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电动客运班车、旅游客车充电桩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2000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其他车辆（机场用车、工程车辆）</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私人及公务车充电桩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335000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7</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直流公共充电桩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39500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小功率直流公共充电桩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25500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20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高速公路公共充电站充电桩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1620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乡村公用充电桩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12160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nil"/>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景区公用充电站充电桩</w:t>
            </w:r>
          </w:p>
        </w:tc>
        <w:tc>
          <w:tcPr>
            <w:tcW w:w="2126"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2120</w:t>
            </w:r>
          </w:p>
        </w:tc>
        <w:tc>
          <w:tcPr>
            <w:tcW w:w="1982" w:type="dxa"/>
            <w:tcBorders>
              <w:top w:val="nil"/>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60</w:t>
            </w:r>
          </w:p>
        </w:tc>
      </w:tr>
      <w:tr>
        <w:tblPrEx>
          <w:tblCellMar>
            <w:top w:w="0" w:type="dxa"/>
            <w:left w:w="108" w:type="dxa"/>
            <w:bottom w:w="0" w:type="dxa"/>
            <w:right w:w="108" w:type="dxa"/>
          </w:tblCellMar>
        </w:tblPrEx>
        <w:trPr>
          <w:trHeight w:val="270" w:hRule="atLeast"/>
          <w:jc w:val="center"/>
        </w:trPr>
        <w:tc>
          <w:tcPr>
            <w:tcW w:w="34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00" w:lineRule="exact"/>
              <w:jc w:val="center"/>
              <w:rPr>
                <w:rFonts w:ascii="仿宋" w:hAnsi="仿宋" w:eastAsia="仿宋"/>
              </w:rPr>
            </w:pPr>
            <w:r>
              <w:rPr>
                <w:rFonts w:hint="eastAsia" w:ascii="仿宋" w:hAnsi="仿宋" w:eastAsia="仿宋"/>
              </w:rPr>
              <w:t>合计</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425770</w:t>
            </w:r>
          </w:p>
        </w:tc>
        <w:tc>
          <w:tcPr>
            <w:tcW w:w="1982" w:type="dxa"/>
            <w:tcBorders>
              <w:top w:val="single" w:color="auto" w:sz="4" w:space="0"/>
              <w:left w:val="nil"/>
              <w:bottom w:val="single" w:color="auto" w:sz="4" w:space="0"/>
              <w:right w:val="single" w:color="auto" w:sz="4" w:space="0"/>
            </w:tcBorders>
            <w:shd w:val="clear" w:color="auto" w:fill="auto"/>
            <w:vAlign w:val="center"/>
          </w:tcPr>
          <w:p>
            <w:pPr>
              <w:pStyle w:val="27"/>
              <w:spacing w:line="300" w:lineRule="exact"/>
              <w:jc w:val="center"/>
              <w:rPr>
                <w:rFonts w:eastAsia="仿宋"/>
              </w:rPr>
            </w:pPr>
            <w:r>
              <w:rPr>
                <w:rFonts w:eastAsia="仿宋"/>
              </w:rPr>
              <w:t>6747200</w:t>
            </w:r>
          </w:p>
        </w:tc>
      </w:tr>
    </w:tbl>
    <w:p>
      <w:pPr>
        <w:spacing w:beforeLines="50"/>
        <w:ind w:firstLine="640" w:firstLineChars="200"/>
        <w:rPr>
          <w:rFonts w:ascii="Times New Roman" w:hAnsi="Times New Roman" w:eastAsia="仿宋_GB2312" w:cs="Times New Roman"/>
          <w:sz w:val="32"/>
          <w:szCs w:val="32"/>
        </w:rPr>
      </w:pPr>
      <w:r>
        <w:rPr>
          <w:rFonts w:hint="eastAsia" w:eastAsia="仿宋_GB2312"/>
          <w:sz w:val="32"/>
          <w:szCs w:val="32"/>
        </w:rPr>
        <w:t>为明确电动汽车实际充电负荷与总功率之间的关系，需综合考虑不同类型车辆的行驶规律及充电特性，基于各类车型充电规律将电动汽车充电负荷特性划分为三类：一是公交车、环卫车等采用固定行驶路线</w:t>
      </w:r>
      <w:r>
        <w:rPr>
          <w:rFonts w:ascii="Times New Roman" w:hAnsi="Times New Roman" w:eastAsia="仿宋_GB2312" w:cs="Times New Roman"/>
          <w:sz w:val="32"/>
          <w:szCs w:val="32"/>
        </w:rPr>
        <w:t>和运营时间的车辆，一般选在低谷时段集中充电，具有较高的充电同时率，接近0.7。二是私家车受驾驶者出行规律影响较大，充电时间及充电地点与公共营运车辆相比更为灵活、分散，具有较低的充电同时率，接近0.1。三是利用城市直流公用充电桩进行充电的出租车、网约出租车等盈利性运营车辆的充电频率远高于私家车，充电时间比公共营运车辆分散，所以其充电同时率应介于两者之间，接近0.25。</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经测算，在充分考虑各类型车辆不同充电特性的情况下，“十四五”电动汽车分时充电功率最大为13</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万千瓦。</w:t>
      </w:r>
    </w:p>
    <w:p>
      <w:pPr>
        <w:pStyle w:val="3"/>
        <w:spacing w:line="580" w:lineRule="exact"/>
        <w:ind w:firstLine="643"/>
      </w:pPr>
      <w:bookmarkStart w:id="51" w:name="_Toc7384"/>
      <w:bookmarkStart w:id="52" w:name="_Toc22453"/>
      <w:r>
        <w:rPr>
          <w:rFonts w:hint="eastAsia"/>
        </w:rPr>
        <w:t>四、充电设施发展目标</w:t>
      </w:r>
      <w:bookmarkEnd w:id="47"/>
      <w:bookmarkEnd w:id="51"/>
      <w:bookmarkEnd w:id="52"/>
      <w:bookmarkStart w:id="53" w:name="_Toc47622936"/>
    </w:p>
    <w:p>
      <w:pPr>
        <w:pStyle w:val="4"/>
        <w:spacing w:line="580" w:lineRule="exact"/>
        <w:ind w:firstLine="643"/>
      </w:pPr>
      <w:bookmarkStart w:id="54" w:name="_Toc16292"/>
      <w:bookmarkStart w:id="55" w:name="_Toc4510"/>
      <w:r>
        <w:rPr>
          <w:rFonts w:hint="eastAsia"/>
        </w:rPr>
        <w:t>（一）发展思路</w:t>
      </w:r>
      <w:bookmarkEnd w:id="54"/>
      <w:bookmarkEnd w:id="55"/>
    </w:p>
    <w:p>
      <w:pPr>
        <w:adjustRightInd w:val="0"/>
        <w:snapToGrid w:val="0"/>
        <w:spacing w:line="580" w:lineRule="exact"/>
        <w:ind w:firstLine="640" w:firstLineChars="200"/>
        <w:rPr>
          <w:rFonts w:eastAsia="仿宋_GB2312"/>
        </w:rPr>
      </w:pPr>
      <w:r>
        <w:rPr>
          <w:rFonts w:hint="eastAsia" w:ascii="Times New Roman" w:hAnsi="Times New Roman" w:eastAsia="仿宋_GB2312" w:cs="Times New Roman"/>
          <w:sz w:val="32"/>
          <w:szCs w:val="32"/>
        </w:rPr>
        <w:t>深入贯彻习近平新时代中国特色社会主义思想，落实国家关于加快新能源汽车发展的决策部署，深入践行“创新、协调、绿色、开放、共享”新发展理念，加强税收、土地、金融等方面政策支持力度，按照车桩相随、适度超前的原则，加快充换电基础设施建设，不断提升充电设施安全性、智能化、互联化技术水平，满足省内电动汽车便捷充电需求，推动电动汽车产业发展和消费升级，拓展充电产业上中下游产业链，带动新兴产业发展和产业结构转型升级，推动高质量发展。</w:t>
      </w:r>
    </w:p>
    <w:p>
      <w:pPr>
        <w:pStyle w:val="4"/>
        <w:spacing w:line="580" w:lineRule="exact"/>
        <w:ind w:firstLine="643"/>
      </w:pPr>
      <w:bookmarkStart w:id="56" w:name="_Toc20135"/>
      <w:bookmarkStart w:id="57" w:name="_Toc10998"/>
      <w:r>
        <w:rPr>
          <w:rFonts w:hint="eastAsia"/>
        </w:rPr>
        <w:t>（二）总体发展目标</w:t>
      </w:r>
      <w:bookmarkEnd w:id="53"/>
      <w:bookmarkEnd w:id="56"/>
      <w:bookmarkEnd w:id="57"/>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以促进新能源汽车推广应用为出发点，以提升电动汽车充电保障能力为目标，建设覆盖全省的布局合理、管理规范、智能高效的充电基础设施体系；“十四五”期间共建设各类充电桩</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54万根，其中共建设充换电站</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691座（含充电桩5.87万根、换电站20座）、个人及单位自用充电桩</w:t>
      </w:r>
      <w:r>
        <w:rPr>
          <w:rFonts w:ascii="Times New Roman" w:hAnsi="Times New Roman" w:eastAsia="仿宋_GB2312" w:cs="Times New Roman"/>
          <w:sz w:val="32"/>
          <w:szCs w:val="32"/>
        </w:rPr>
        <w:t>29.45</w:t>
      </w:r>
      <w:r>
        <w:rPr>
          <w:rFonts w:hint="eastAsia" w:ascii="Times New Roman" w:hAnsi="Times New Roman" w:eastAsia="仿宋_GB2312" w:cs="Times New Roman"/>
          <w:sz w:val="32"/>
          <w:szCs w:val="32"/>
        </w:rPr>
        <w:t>万根、乡村公用充电桩</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万根，满足省内至“十四五”末</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万辆电动汽车充电需求。</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1.打造贯通乡村的城际出行充电网络。</w:t>
      </w:r>
      <w:r>
        <w:rPr>
          <w:rFonts w:hint="eastAsia" w:ascii="Times New Roman" w:hAnsi="Times New Roman" w:eastAsia="仿宋_GB2312" w:cs="Times New Roman"/>
          <w:sz w:val="32"/>
          <w:szCs w:val="32"/>
        </w:rPr>
        <w:t>结合国省道等公路沿线乡镇开展充电设施布局，逐步推进乡村地区公用充电设施建设，“十四五”期间建设</w:t>
      </w:r>
      <w:r>
        <w:rPr>
          <w:rFonts w:ascii="Times New Roman" w:hAnsi="Times New Roman" w:eastAsia="仿宋_GB2312" w:cs="Times New Roman"/>
          <w:sz w:val="32"/>
          <w:szCs w:val="32"/>
        </w:rPr>
        <w:t>996</w:t>
      </w:r>
      <w:r>
        <w:rPr>
          <w:rFonts w:hint="eastAsia" w:ascii="Times New Roman" w:hAnsi="Times New Roman" w:eastAsia="仿宋_GB2312" w:cs="Times New Roman"/>
          <w:sz w:val="32"/>
          <w:szCs w:val="32"/>
        </w:rPr>
        <w:t>座充电站（含充电桩约</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万根），力争覆盖省内全部乡镇；在关中地区村组建设公共充电桩</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万根，满足农村地区日益增加的充电需求，尤其是乡村旅游重点村组，助力实现乡村振兴。结合“十四五”省内公路建设情况，在高速新增服务区建设充电站</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座（含充电桩120根），保障电动汽车城际充电需求。</w:t>
      </w:r>
    </w:p>
    <w:p>
      <w:pPr>
        <w:pStyle w:val="2"/>
        <w:ind w:firstLine="643"/>
        <w:rPr>
          <w:rFonts w:eastAsia="仿宋_GB2312"/>
          <w:sz w:val="32"/>
          <w:szCs w:val="32"/>
        </w:rPr>
      </w:pPr>
      <w:r>
        <w:rPr>
          <w:rFonts w:hint="eastAsia" w:eastAsia="仿宋_GB2312"/>
          <w:b/>
          <w:sz w:val="32"/>
          <w:szCs w:val="32"/>
        </w:rPr>
        <w:t>2.打造方便快捷的城市公共充电网络。</w:t>
      </w:r>
      <w:r>
        <w:rPr>
          <w:rFonts w:hint="eastAsia" w:eastAsia="仿宋_GB2312"/>
          <w:sz w:val="32"/>
          <w:szCs w:val="32"/>
        </w:rPr>
        <w:t>在交通枢纽、大型文体设施、大型商场、医院、学校、公园、大型建筑物配建停车场、路内停车位等城市公共停车场所，建设城市公共充电站585座（按照每座充电站30根充电桩考虑，含充电桩1.75万根），主要满足市区出租、网约、物流等流动车辆充电需求，同时为其他车辆提供充电保障。</w:t>
      </w:r>
    </w:p>
    <w:p>
      <w:pPr>
        <w:pStyle w:val="2"/>
        <w:ind w:firstLine="643"/>
      </w:pPr>
      <w:r>
        <w:rPr>
          <w:rFonts w:hint="eastAsia" w:eastAsia="仿宋_GB2312"/>
          <w:b/>
          <w:sz w:val="32"/>
          <w:szCs w:val="32"/>
        </w:rPr>
        <w:t>3.打造绿色旅游充电网络。</w:t>
      </w:r>
      <w:r>
        <w:rPr>
          <w:rFonts w:hint="eastAsia" w:eastAsia="仿宋_GB2312"/>
          <w:sz w:val="32"/>
          <w:szCs w:val="32"/>
        </w:rPr>
        <w:t>建设覆盖省内4A级以上景点的公用充电网络，在城市公用充电网络建设的基础上，“十四五”期间建设100座绿色旅游充电站，含充电桩0.21万根，满足旅游出行需要。</w:t>
      </w:r>
    </w:p>
    <w:p>
      <w:pPr>
        <w:adjustRightInd w:val="0"/>
        <w:snapToGrid w:val="0"/>
        <w:spacing w:line="580" w:lineRule="exact"/>
        <w:ind w:firstLine="643" w:firstLineChars="200"/>
      </w:pPr>
      <w:r>
        <w:rPr>
          <w:rFonts w:hint="eastAsia" w:ascii="Times New Roman" w:hAnsi="Times New Roman" w:eastAsia="仿宋_GB2312" w:cs="Times New Roman"/>
          <w:b/>
          <w:sz w:val="32"/>
          <w:szCs w:val="32"/>
        </w:rPr>
        <w:t>4.打造覆盖广泛的居民充电网络。</w:t>
      </w:r>
      <w:r>
        <w:rPr>
          <w:rFonts w:hint="eastAsia" w:ascii="Times New Roman" w:hAnsi="Times New Roman" w:eastAsia="仿宋_GB2312" w:cs="Times New Roman"/>
          <w:sz w:val="32"/>
          <w:szCs w:val="32"/>
        </w:rPr>
        <w:t>推进用车个人在私人停车位建设自用充电桩，在公共机构、企事业单位等单位内部停车场建设公务车专用充电桩，并鼓励有条件的设施积极对外开放；“十四五”期间共建设个人及公务车充电桩</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45万根，在小区及周边等处建设公共充电站</w:t>
      </w:r>
      <w:r>
        <w:rPr>
          <w:rFonts w:ascii="Times New Roman" w:hAnsi="Times New Roman" w:eastAsia="仿宋_GB2312" w:cs="Times New Roman"/>
          <w:sz w:val="32"/>
          <w:szCs w:val="32"/>
        </w:rPr>
        <w:t>747</w:t>
      </w:r>
      <w:r>
        <w:rPr>
          <w:rFonts w:hint="eastAsia" w:ascii="Times New Roman" w:hAnsi="Times New Roman" w:eastAsia="仿宋_GB2312" w:cs="Times New Roman"/>
          <w:sz w:val="32"/>
          <w:szCs w:val="32"/>
        </w:rPr>
        <w:t>座（按照每座充电站</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根充电桩考虑，含充电桩</w:t>
      </w:r>
      <w:r>
        <w:rPr>
          <w:rFonts w:ascii="Times New Roman" w:hAnsi="Times New Roman" w:eastAsia="仿宋_GB2312" w:cs="Times New Roman"/>
          <w:sz w:val="32"/>
          <w:szCs w:val="32"/>
        </w:rPr>
        <w:t>2.24</w:t>
      </w:r>
      <w:r>
        <w:rPr>
          <w:rFonts w:hint="eastAsia" w:ascii="Times New Roman" w:hAnsi="Times New Roman" w:eastAsia="仿宋_GB2312" w:cs="Times New Roman"/>
          <w:sz w:val="32"/>
          <w:szCs w:val="32"/>
        </w:rPr>
        <w:t>万根），主要满足无法安装自用充电桩的私人乘用车充电需求。</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5.打造保障有力的专用充电网络。</w:t>
      </w:r>
      <w:r>
        <w:rPr>
          <w:rFonts w:hint="eastAsia" w:ascii="Times New Roman" w:hAnsi="Times New Roman" w:eastAsia="仿宋_GB2312" w:cs="Times New Roman"/>
          <w:sz w:val="32"/>
          <w:szCs w:val="32"/>
        </w:rPr>
        <w:t>结合公交、环卫、客运、机场、工程等专用车停车场所，建设公交专用充电站100座</w:t>
      </w:r>
      <w:r>
        <w:rPr>
          <w:rStyle w:val="24"/>
          <w:rFonts w:ascii="Times New Roman" w:hAnsi="Times New Roman" w:eastAsia="仿宋_GB2312" w:cs="Times New Roman"/>
          <w:sz w:val="32"/>
          <w:szCs w:val="32"/>
        </w:rPr>
        <w:footnoteReference w:id="16"/>
      </w:r>
      <w:r>
        <w:rPr>
          <w:rFonts w:hint="eastAsia" w:ascii="Times New Roman" w:hAnsi="Times New Roman" w:eastAsia="仿宋_GB2312" w:cs="Times New Roman"/>
          <w:sz w:val="32"/>
          <w:szCs w:val="32"/>
        </w:rPr>
        <w:t>（含充电桩0.35万根）、环卫专用充电站34座（含充电桩0.05万根）、客运车辆专用充电站57座（含充电桩0.2万根）、其他车辆专用充电站40座（含充电桩0.06万根）；建设换电站20座。</w:t>
      </w:r>
    </w:p>
    <w:p>
      <w:pPr>
        <w:pStyle w:val="4"/>
        <w:spacing w:line="580" w:lineRule="exact"/>
        <w:ind w:firstLine="643"/>
      </w:pPr>
      <w:bookmarkStart w:id="58" w:name="_Toc47622939"/>
      <w:bookmarkStart w:id="59" w:name="_Toc27984"/>
      <w:bookmarkStart w:id="60" w:name="_Toc31724"/>
      <w:r>
        <w:rPr>
          <w:rFonts w:hint="eastAsia"/>
        </w:rPr>
        <w:t>（三）分阶段发展目标</w:t>
      </w:r>
      <w:bookmarkEnd w:id="58"/>
      <w:bookmarkEnd w:id="59"/>
      <w:bookmarkEnd w:id="60"/>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根据电动汽车推广预期，按照充电设施配置原则，制定分阶段发展目标。</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持续推广阶段（2021-2022年)：新建各类充电桩约9.16万根，与已有充电设施共同满足约24.2万辆新能源汽车的充电需求。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加速发展阶段（2023-2024年)：新建各类充电桩约16.10万根，与已有充电设施共同满足约46万辆新能源汽车的充电需求。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普遍应用阶段（2025年）：新建各类充电桩约10.28万根，与已有充电设施共同满足约60万辆新能源汽车的充电需求。</w:t>
      </w:r>
    </w:p>
    <w:p>
      <w:pPr>
        <w:pStyle w:val="26"/>
        <w:spacing w:beforeLines="50" w:line="580" w:lineRule="exact"/>
        <w:rPr>
          <w:rFonts w:eastAsia="仿宋_GB2312"/>
          <w:bCs/>
          <w:sz w:val="24"/>
          <w:szCs w:val="24"/>
        </w:rPr>
      </w:pPr>
      <w:bookmarkStart w:id="61" w:name="_Toc4161"/>
      <w:bookmarkStart w:id="62" w:name="_Toc25519"/>
      <w:r>
        <w:rPr>
          <w:rFonts w:hint="eastAsia" w:eastAsia="仿宋_GB2312"/>
          <w:bCs/>
          <w:sz w:val="24"/>
          <w:szCs w:val="24"/>
        </w:rPr>
        <w:t>表31  陕西省“十四五”充电设施规划逐年新增情况（单位：万根）</w:t>
      </w:r>
    </w:p>
    <w:tbl>
      <w:tblPr>
        <w:tblStyle w:val="17"/>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636"/>
        <w:gridCol w:w="636"/>
        <w:gridCol w:w="636"/>
        <w:gridCol w:w="636"/>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86"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类型</w:t>
            </w:r>
          </w:p>
        </w:tc>
        <w:tc>
          <w:tcPr>
            <w:tcW w:w="636" w:type="dxa"/>
            <w:shd w:val="clear" w:color="auto" w:fill="auto"/>
            <w:vAlign w:val="center"/>
          </w:tcPr>
          <w:p>
            <w:pPr>
              <w:pStyle w:val="27"/>
              <w:spacing w:line="300" w:lineRule="exact"/>
              <w:jc w:val="center"/>
              <w:rPr>
                <w:sz w:val="18"/>
              </w:rPr>
            </w:pPr>
            <w:r>
              <w:t>2021</w:t>
            </w:r>
          </w:p>
        </w:tc>
        <w:tc>
          <w:tcPr>
            <w:tcW w:w="636" w:type="dxa"/>
            <w:shd w:val="clear" w:color="auto" w:fill="auto"/>
            <w:vAlign w:val="center"/>
          </w:tcPr>
          <w:p>
            <w:pPr>
              <w:pStyle w:val="27"/>
              <w:spacing w:line="300" w:lineRule="exact"/>
              <w:jc w:val="center"/>
              <w:rPr>
                <w:sz w:val="18"/>
              </w:rPr>
            </w:pPr>
            <w:r>
              <w:t>2022</w:t>
            </w:r>
          </w:p>
        </w:tc>
        <w:tc>
          <w:tcPr>
            <w:tcW w:w="636" w:type="dxa"/>
            <w:shd w:val="clear" w:color="auto" w:fill="auto"/>
            <w:vAlign w:val="center"/>
          </w:tcPr>
          <w:p>
            <w:pPr>
              <w:pStyle w:val="27"/>
              <w:spacing w:line="300" w:lineRule="exact"/>
              <w:jc w:val="center"/>
              <w:rPr>
                <w:sz w:val="18"/>
              </w:rPr>
            </w:pPr>
            <w:r>
              <w:t>2023</w:t>
            </w:r>
          </w:p>
        </w:tc>
        <w:tc>
          <w:tcPr>
            <w:tcW w:w="636" w:type="dxa"/>
            <w:shd w:val="clear" w:color="auto" w:fill="auto"/>
            <w:vAlign w:val="center"/>
          </w:tcPr>
          <w:p>
            <w:pPr>
              <w:pStyle w:val="27"/>
              <w:spacing w:line="300" w:lineRule="exact"/>
              <w:jc w:val="center"/>
              <w:rPr>
                <w:sz w:val="18"/>
              </w:rPr>
            </w:pPr>
            <w:r>
              <w:t>2024</w:t>
            </w:r>
          </w:p>
        </w:tc>
        <w:tc>
          <w:tcPr>
            <w:tcW w:w="689" w:type="dxa"/>
            <w:shd w:val="clear" w:color="auto" w:fill="auto"/>
            <w:vAlign w:val="center"/>
          </w:tcPr>
          <w:p>
            <w:pPr>
              <w:pStyle w:val="27"/>
              <w:spacing w:line="300" w:lineRule="exact"/>
              <w:jc w:val="center"/>
              <w:rPr>
                <w:sz w:val="18"/>
              </w:rPr>
            </w:pPr>
            <w:r>
              <w:t>2025</w:t>
            </w:r>
          </w:p>
        </w:tc>
        <w:tc>
          <w:tcPr>
            <w:tcW w:w="689"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86" w:type="dxa"/>
            <w:shd w:val="clear" w:color="auto" w:fill="auto"/>
            <w:vAlign w:val="center"/>
          </w:tcPr>
          <w:p>
            <w:pPr>
              <w:pStyle w:val="27"/>
              <w:spacing w:line="300" w:lineRule="exact"/>
              <w:jc w:val="center"/>
              <w:rPr>
                <w:rFonts w:ascii="仿宋" w:hAnsi="仿宋" w:eastAsia="仿宋"/>
              </w:rPr>
            </w:pPr>
            <w:r>
              <w:rPr>
                <w:rFonts w:hint="eastAsia" w:ascii="仿宋" w:hAnsi="仿宋" w:eastAsia="仿宋"/>
              </w:rPr>
              <w:t>各年新建充电桩数量（均为单充电枪）</w:t>
            </w:r>
          </w:p>
        </w:tc>
        <w:tc>
          <w:tcPr>
            <w:tcW w:w="636" w:type="dxa"/>
            <w:shd w:val="clear" w:color="auto" w:fill="auto"/>
            <w:vAlign w:val="center"/>
          </w:tcPr>
          <w:p>
            <w:pPr>
              <w:pStyle w:val="27"/>
              <w:spacing w:line="300" w:lineRule="exact"/>
              <w:jc w:val="center"/>
            </w:pPr>
            <w:r>
              <w:t>3.</w:t>
            </w:r>
            <w:r>
              <w:rPr>
                <w:rFonts w:hint="eastAsia"/>
              </w:rPr>
              <w:t>79</w:t>
            </w:r>
          </w:p>
        </w:tc>
        <w:tc>
          <w:tcPr>
            <w:tcW w:w="636" w:type="dxa"/>
            <w:shd w:val="clear" w:color="auto" w:fill="auto"/>
            <w:vAlign w:val="center"/>
          </w:tcPr>
          <w:p>
            <w:pPr>
              <w:pStyle w:val="27"/>
              <w:spacing w:line="300" w:lineRule="exact"/>
              <w:jc w:val="center"/>
            </w:pPr>
            <w:r>
              <w:t>5.</w:t>
            </w:r>
            <w:r>
              <w:rPr>
                <w:rFonts w:hint="eastAsia"/>
              </w:rPr>
              <w:t>37</w:t>
            </w:r>
          </w:p>
        </w:tc>
        <w:tc>
          <w:tcPr>
            <w:tcW w:w="636" w:type="dxa"/>
            <w:shd w:val="clear" w:color="auto" w:fill="auto"/>
            <w:vAlign w:val="center"/>
          </w:tcPr>
          <w:p>
            <w:pPr>
              <w:pStyle w:val="27"/>
              <w:spacing w:line="300" w:lineRule="exact"/>
              <w:jc w:val="center"/>
            </w:pPr>
            <w:r>
              <w:t>7.1</w:t>
            </w:r>
            <w:r>
              <w:rPr>
                <w:rFonts w:hint="eastAsia"/>
              </w:rPr>
              <w:t>0</w:t>
            </w:r>
          </w:p>
        </w:tc>
        <w:tc>
          <w:tcPr>
            <w:tcW w:w="636" w:type="dxa"/>
            <w:shd w:val="clear" w:color="auto" w:fill="auto"/>
            <w:vAlign w:val="center"/>
          </w:tcPr>
          <w:p>
            <w:pPr>
              <w:pStyle w:val="27"/>
              <w:spacing w:line="300" w:lineRule="exact"/>
              <w:jc w:val="center"/>
            </w:pPr>
            <w:r>
              <w:t>9.0</w:t>
            </w:r>
            <w:r>
              <w:rPr>
                <w:rFonts w:hint="eastAsia"/>
              </w:rPr>
              <w:t>0</w:t>
            </w:r>
          </w:p>
        </w:tc>
        <w:tc>
          <w:tcPr>
            <w:tcW w:w="689" w:type="dxa"/>
            <w:shd w:val="clear" w:color="auto" w:fill="auto"/>
            <w:vAlign w:val="center"/>
          </w:tcPr>
          <w:p>
            <w:pPr>
              <w:pStyle w:val="27"/>
              <w:spacing w:line="300" w:lineRule="exact"/>
              <w:jc w:val="center"/>
            </w:pPr>
            <w:r>
              <w:t>10.</w:t>
            </w:r>
            <w:r>
              <w:rPr>
                <w:rFonts w:hint="eastAsia"/>
              </w:rPr>
              <w:t>28</w:t>
            </w:r>
          </w:p>
        </w:tc>
        <w:tc>
          <w:tcPr>
            <w:tcW w:w="689" w:type="dxa"/>
            <w:shd w:val="clear" w:color="auto" w:fill="auto"/>
            <w:vAlign w:val="center"/>
          </w:tcPr>
          <w:p>
            <w:pPr>
              <w:pStyle w:val="27"/>
              <w:spacing w:line="300" w:lineRule="exact"/>
              <w:jc w:val="center"/>
            </w:pPr>
            <w:r>
              <w:t>35.</w:t>
            </w:r>
            <w:r>
              <w:rPr>
                <w:rFonts w:hint="eastAsia"/>
              </w:rPr>
              <w:t>54</w:t>
            </w:r>
          </w:p>
        </w:tc>
      </w:tr>
    </w:tbl>
    <w:p>
      <w:pPr>
        <w:pStyle w:val="26"/>
        <w:spacing w:line="240" w:lineRule="auto"/>
        <w:ind w:firstLine="0"/>
        <w:rPr>
          <w:bCs/>
          <w:sz w:val="22"/>
          <w:szCs w:val="22"/>
        </w:rPr>
      </w:pPr>
    </w:p>
    <w:p>
      <w:pPr>
        <w:pStyle w:val="26"/>
        <w:spacing w:line="240" w:lineRule="auto"/>
        <w:ind w:firstLine="0"/>
        <w:rPr>
          <w:bCs/>
          <w:sz w:val="22"/>
          <w:szCs w:val="22"/>
        </w:rPr>
      </w:pPr>
      <w:r>
        <w:rPr>
          <w:bCs/>
          <w:sz w:val="22"/>
          <w:szCs w:val="22"/>
        </w:rPr>
        <w:drawing>
          <wp:inline distT="0" distB="0" distL="0" distR="0">
            <wp:extent cx="5040630" cy="2066925"/>
            <wp:effectExtent l="0" t="0" r="0" b="0"/>
            <wp:docPr id="60"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26"/>
        <w:spacing w:afterLines="50" w:line="580" w:lineRule="exact"/>
        <w:rPr>
          <w:rFonts w:eastAsia="仿宋_GB2312"/>
          <w:bCs/>
          <w:sz w:val="24"/>
          <w:szCs w:val="24"/>
        </w:rPr>
      </w:pPr>
      <w:r>
        <w:rPr>
          <w:rFonts w:eastAsia="仿宋_GB2312"/>
          <w:bCs/>
          <w:sz w:val="24"/>
          <w:szCs w:val="24"/>
        </w:rPr>
        <w:t>图</w:t>
      </w:r>
      <w:r>
        <w:rPr>
          <w:rFonts w:hint="eastAsia" w:eastAsia="仿宋_GB2312"/>
          <w:bCs/>
          <w:sz w:val="24"/>
          <w:szCs w:val="24"/>
        </w:rPr>
        <w:t xml:space="preserve">25  </w:t>
      </w:r>
      <w:r>
        <w:rPr>
          <w:rFonts w:eastAsia="仿宋_GB2312"/>
          <w:bCs/>
          <w:sz w:val="24"/>
          <w:szCs w:val="24"/>
        </w:rPr>
        <w:t xml:space="preserve">陕西省“十四五”充电设施规划逐年新增情况（单位：万根） </w:t>
      </w:r>
    </w:p>
    <w:p>
      <w:pPr>
        <w:pStyle w:val="4"/>
        <w:spacing w:line="580" w:lineRule="exact"/>
        <w:ind w:firstLine="643"/>
      </w:pPr>
      <w:r>
        <w:rPr>
          <w:rFonts w:hint="eastAsia"/>
        </w:rPr>
        <w:t>（四）分区域发展目标</w:t>
      </w:r>
      <w:bookmarkEnd w:id="61"/>
      <w:bookmarkEnd w:id="62"/>
    </w:p>
    <w:p>
      <w:pPr>
        <w:pStyle w:val="5"/>
        <w:spacing w:line="580" w:lineRule="exact"/>
        <w:ind w:firstLine="643"/>
      </w:pPr>
      <w:r>
        <w:rPr>
          <w:rFonts w:hint="eastAsia"/>
        </w:rPr>
        <w:t>1.关中地区</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中地区包括西安、咸阳、宝鸡、渭南、铜川及杨凌示范区，是省内电动汽车重点推广使用区域，“十四五”期间共建设各类充电桩30.65万根，其中建设充换电站1829座（含充电桩4.58万根，其中乡镇公用充电站372座、景区公用充电站57座、换电站20座）、个人及单位自用充电桩25.85万根、村组公用充电桩0.22万根，满足区域内</w:t>
      </w:r>
      <w:r>
        <w:rPr>
          <w:rFonts w:ascii="Times New Roman" w:hAnsi="Times New Roman" w:eastAsia="仿宋_GB2312" w:cs="Times New Roman"/>
          <w:sz w:val="32"/>
          <w:szCs w:val="32"/>
        </w:rPr>
        <w:t>52.66</w:t>
      </w:r>
      <w:r>
        <w:rPr>
          <w:rFonts w:hint="eastAsia" w:ascii="Times New Roman" w:hAnsi="Times New Roman" w:eastAsia="仿宋_GB2312" w:cs="Times New Roman"/>
          <w:sz w:val="32"/>
          <w:szCs w:val="32"/>
        </w:rPr>
        <w:t>万辆电动汽车充电需求，推动区域内电动汽车迈向普遍应用阶段。</w:t>
      </w:r>
    </w:p>
    <w:p>
      <w:pPr>
        <w:pStyle w:val="5"/>
        <w:spacing w:line="580" w:lineRule="exact"/>
        <w:ind w:firstLine="643"/>
      </w:pPr>
      <w:r>
        <w:rPr>
          <w:rFonts w:hint="eastAsia"/>
        </w:rPr>
        <w:t>2.陕北地区</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陕北地区包括榆林、延安两市</w:t>
      </w:r>
      <w:r>
        <w:rPr>
          <w:rFonts w:hint="eastAsia" w:ascii="Times New Roman" w:hAnsi="Times New Roman" w:eastAsia="仿宋_GB2312" w:cs="Times New Roman"/>
          <w:sz w:val="32"/>
          <w:szCs w:val="32"/>
        </w:rPr>
        <w:t>，是省内电动汽车示范推广使用区域，“十四五”期间共建设各类充电桩2.88万根，其中建设充电站381座（含充电桩0.62万根，其中乡镇公用充电站251座、景区公用充电站8座）、个人及单位自用充电桩2.26万根，满足区域内</w:t>
      </w:r>
      <w:r>
        <w:rPr>
          <w:rFonts w:ascii="Times New Roman" w:hAnsi="Times New Roman" w:eastAsia="仿宋_GB2312" w:cs="Times New Roman"/>
          <w:sz w:val="32"/>
          <w:szCs w:val="32"/>
        </w:rPr>
        <w:t>4.59</w:t>
      </w:r>
      <w:r>
        <w:rPr>
          <w:rFonts w:hint="eastAsia" w:ascii="Times New Roman" w:hAnsi="Times New Roman" w:eastAsia="仿宋_GB2312" w:cs="Times New Roman"/>
          <w:sz w:val="32"/>
          <w:szCs w:val="32"/>
        </w:rPr>
        <w:t>万辆电动汽车充电需求，促进区域内电动汽车推广应用。</w:t>
      </w:r>
    </w:p>
    <w:p>
      <w:pPr>
        <w:pStyle w:val="5"/>
        <w:spacing w:line="580" w:lineRule="exact"/>
        <w:ind w:firstLine="643"/>
      </w:pPr>
      <w:r>
        <w:rPr>
          <w:rFonts w:hint="eastAsia"/>
        </w:rPr>
        <w:t>3.陕南地区</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陕南地区包括汉中、安康及商洛市</w:t>
      </w:r>
      <w:r>
        <w:rPr>
          <w:rFonts w:hint="eastAsia" w:ascii="Times New Roman" w:hAnsi="Times New Roman" w:eastAsia="仿宋_GB2312" w:cs="Times New Roman"/>
          <w:sz w:val="32"/>
          <w:szCs w:val="32"/>
        </w:rPr>
        <w:t>，是省内电动汽车示范推广使用区域，“十四五”期间共建设各类充电桩2.01万根，其中建设充电站481座（含充电桩0.67万根，其中乡镇公用充电站373座、景区公用充电站35座）、个人及单位自用充电桩1.34万根，满足区域内</w:t>
      </w:r>
      <w:r>
        <w:rPr>
          <w:rFonts w:ascii="Times New Roman" w:hAnsi="Times New Roman" w:eastAsia="仿宋_GB2312" w:cs="Times New Roman"/>
          <w:sz w:val="32"/>
          <w:szCs w:val="32"/>
        </w:rPr>
        <w:t>2.75</w:t>
      </w:r>
      <w:r>
        <w:rPr>
          <w:rFonts w:hint="eastAsia" w:ascii="Times New Roman" w:hAnsi="Times New Roman" w:eastAsia="仿宋_GB2312" w:cs="Times New Roman"/>
          <w:sz w:val="32"/>
          <w:szCs w:val="32"/>
        </w:rPr>
        <w:t>万辆电动汽车充电需求，促进区域内电动汽车推广应用。</w:t>
      </w:r>
    </w:p>
    <w:p>
      <w:pPr>
        <w:pStyle w:val="2"/>
      </w:pPr>
    </w:p>
    <w:p>
      <w:pPr>
        <w:pStyle w:val="26"/>
        <w:spacing w:line="240" w:lineRule="auto"/>
        <w:ind w:firstLine="0"/>
        <w:rPr>
          <w:bCs/>
          <w:sz w:val="22"/>
          <w:szCs w:val="22"/>
        </w:rPr>
      </w:pPr>
      <w:r>
        <w:rPr>
          <w:bCs/>
          <w:sz w:val="22"/>
          <w:szCs w:val="22"/>
        </w:rPr>
        <w:drawing>
          <wp:inline distT="0" distB="0" distL="0" distR="0">
            <wp:extent cx="4572000" cy="2743200"/>
            <wp:effectExtent l="0" t="0" r="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26"/>
        <w:spacing w:line="240" w:lineRule="auto"/>
        <w:rPr>
          <w:rFonts w:eastAsia="仿宋_GB2312"/>
          <w:bCs/>
          <w:sz w:val="24"/>
          <w:szCs w:val="24"/>
        </w:rPr>
      </w:pPr>
      <w:r>
        <w:rPr>
          <w:rFonts w:hint="eastAsia" w:eastAsia="仿宋_GB2312"/>
          <w:bCs/>
          <w:sz w:val="24"/>
          <w:szCs w:val="24"/>
        </w:rPr>
        <w:t xml:space="preserve">图26  </w:t>
      </w:r>
      <w:r>
        <w:rPr>
          <w:rFonts w:hint="eastAsia" w:eastAsia="仿宋_GB2312"/>
          <w:bCs/>
          <w:sz w:val="24"/>
          <w:szCs w:val="24"/>
          <w:lang w:eastAsia="zh-CN"/>
        </w:rPr>
        <w:t>“</w:t>
      </w:r>
      <w:r>
        <w:rPr>
          <w:rFonts w:hint="eastAsia" w:eastAsia="仿宋_GB2312"/>
          <w:bCs/>
          <w:sz w:val="24"/>
          <w:szCs w:val="24"/>
        </w:rPr>
        <w:t>十四五</w:t>
      </w:r>
      <w:r>
        <w:rPr>
          <w:rFonts w:hint="eastAsia" w:eastAsia="仿宋_GB2312"/>
          <w:bCs/>
          <w:sz w:val="24"/>
          <w:szCs w:val="24"/>
          <w:lang w:eastAsia="zh-CN"/>
        </w:rPr>
        <w:t>”</w:t>
      </w:r>
      <w:r>
        <w:rPr>
          <w:rFonts w:hint="eastAsia" w:eastAsia="仿宋_GB2312"/>
          <w:bCs/>
          <w:sz w:val="24"/>
          <w:szCs w:val="24"/>
        </w:rPr>
        <w:t>期间建设充电桩数量（万根）</w:t>
      </w:r>
    </w:p>
    <w:p>
      <w:pPr>
        <w:pStyle w:val="26"/>
        <w:spacing w:line="240" w:lineRule="auto"/>
        <w:ind w:firstLine="0"/>
        <w:rPr>
          <w:bCs/>
          <w:sz w:val="22"/>
          <w:szCs w:val="22"/>
        </w:rPr>
      </w:pPr>
      <w:r>
        <w:rPr>
          <w:bCs/>
          <w:sz w:val="22"/>
          <w:szCs w:val="22"/>
        </w:rPr>
        <w:drawing>
          <wp:inline distT="0" distB="0" distL="0" distR="0">
            <wp:extent cx="4030980" cy="1924050"/>
            <wp:effectExtent l="0" t="0" r="0" b="0"/>
            <wp:docPr id="62"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6"/>
        <w:spacing w:afterLines="50" w:line="580" w:lineRule="exact"/>
        <w:rPr>
          <w:bCs/>
          <w:sz w:val="22"/>
          <w:szCs w:val="22"/>
        </w:rPr>
      </w:pPr>
      <w:r>
        <w:rPr>
          <w:rFonts w:eastAsia="仿宋_GB2312"/>
          <w:bCs/>
          <w:sz w:val="24"/>
          <w:szCs w:val="24"/>
        </w:rPr>
        <w:t>图</w:t>
      </w:r>
      <w:r>
        <w:rPr>
          <w:rFonts w:hint="eastAsia" w:eastAsia="仿宋_GB2312"/>
          <w:bCs/>
          <w:sz w:val="24"/>
          <w:szCs w:val="24"/>
        </w:rPr>
        <w:t xml:space="preserve">27  </w:t>
      </w:r>
      <w:r>
        <w:rPr>
          <w:rFonts w:hint="eastAsia" w:eastAsia="仿宋_GB2312"/>
          <w:bCs/>
          <w:sz w:val="24"/>
          <w:szCs w:val="24"/>
          <w:lang w:eastAsia="zh-CN"/>
        </w:rPr>
        <w:t>“</w:t>
      </w:r>
      <w:r>
        <w:rPr>
          <w:rFonts w:hint="eastAsia" w:eastAsia="仿宋_GB2312"/>
          <w:bCs/>
          <w:sz w:val="24"/>
          <w:szCs w:val="24"/>
        </w:rPr>
        <w:t>十四五</w:t>
      </w:r>
      <w:r>
        <w:rPr>
          <w:rFonts w:hint="eastAsia" w:eastAsia="仿宋_GB2312"/>
          <w:bCs/>
          <w:sz w:val="24"/>
          <w:szCs w:val="24"/>
          <w:lang w:eastAsia="zh-CN"/>
        </w:rPr>
        <w:t>”</w:t>
      </w:r>
      <w:bookmarkStart w:id="101" w:name="_GoBack"/>
      <w:bookmarkEnd w:id="101"/>
      <w:r>
        <w:rPr>
          <w:rFonts w:eastAsia="仿宋_GB2312"/>
          <w:bCs/>
          <w:sz w:val="24"/>
          <w:szCs w:val="24"/>
        </w:rPr>
        <w:t>期间建设充电站数量（座）</w:t>
      </w:r>
      <w:r>
        <w:rPr>
          <w:bCs/>
          <w:sz w:val="22"/>
          <w:szCs w:val="22"/>
        </w:rPr>
        <w:t xml:space="preserve"> </w:t>
      </w:r>
    </w:p>
    <w:p>
      <w:pPr>
        <w:pStyle w:val="2"/>
      </w:pPr>
    </w:p>
    <w:p>
      <w:pPr>
        <w:pStyle w:val="4"/>
        <w:spacing w:line="580" w:lineRule="exact"/>
        <w:ind w:firstLine="643"/>
      </w:pPr>
      <w:bookmarkStart w:id="63" w:name="_Toc18337"/>
      <w:bookmarkStart w:id="64" w:name="_Toc17575"/>
      <w:r>
        <w:rPr>
          <w:rFonts w:hint="eastAsia"/>
        </w:rPr>
        <w:t>（五）分类型发展目标</w:t>
      </w:r>
      <w:bookmarkEnd w:id="63"/>
      <w:bookmarkEnd w:id="64"/>
    </w:p>
    <w:p>
      <w:pPr>
        <w:pStyle w:val="2"/>
        <w:spacing w:line="580" w:lineRule="exact"/>
        <w:ind w:firstLine="640"/>
        <w:rPr>
          <w:rFonts w:eastAsia="仿宋_GB2312"/>
          <w:sz w:val="32"/>
          <w:szCs w:val="32"/>
        </w:rPr>
      </w:pPr>
      <w:r>
        <w:rPr>
          <w:rFonts w:hint="eastAsia" w:eastAsia="仿宋_GB2312"/>
          <w:sz w:val="32"/>
          <w:szCs w:val="32"/>
        </w:rPr>
        <w:t>“十四五”期间共规划建设直流快充桩（单枪充电功率</w:t>
      </w:r>
      <w:r>
        <w:rPr>
          <w:rFonts w:eastAsia="仿宋_GB2312"/>
          <w:sz w:val="32"/>
          <w:szCs w:val="32"/>
        </w:rPr>
        <w:t>60kW</w:t>
      </w:r>
      <w:r>
        <w:rPr>
          <w:rFonts w:hint="eastAsia" w:eastAsia="仿宋_GB2312"/>
          <w:sz w:val="32"/>
          <w:szCs w:val="32"/>
        </w:rPr>
        <w:t>）3.80万根，小功率直流充电桩</w:t>
      </w:r>
      <w:r>
        <w:rPr>
          <w:rFonts w:eastAsia="仿宋_GB2312"/>
          <w:sz w:val="32"/>
          <w:szCs w:val="32"/>
        </w:rPr>
        <w:t>2.</w:t>
      </w:r>
      <w:r>
        <w:rPr>
          <w:rFonts w:hint="eastAsia" w:eastAsia="仿宋_GB2312"/>
          <w:sz w:val="32"/>
          <w:szCs w:val="32"/>
        </w:rPr>
        <w:t>29万根（单枪充电功率</w:t>
      </w:r>
      <w:r>
        <w:rPr>
          <w:rFonts w:eastAsia="仿宋_GB2312"/>
          <w:sz w:val="32"/>
          <w:szCs w:val="32"/>
        </w:rPr>
        <w:t>20kW</w:t>
      </w:r>
      <w:r>
        <w:rPr>
          <w:rFonts w:hint="eastAsia" w:eastAsia="仿宋_GB2312"/>
          <w:sz w:val="32"/>
          <w:szCs w:val="32"/>
        </w:rPr>
        <w:t>），交流充电桩</w:t>
      </w:r>
      <w:r>
        <w:rPr>
          <w:rFonts w:eastAsia="仿宋_GB2312"/>
          <w:sz w:val="32"/>
          <w:szCs w:val="32"/>
        </w:rPr>
        <w:t>29.</w:t>
      </w:r>
      <w:r>
        <w:rPr>
          <w:rFonts w:hint="eastAsia" w:eastAsia="仿宋_GB2312"/>
          <w:sz w:val="32"/>
          <w:szCs w:val="32"/>
        </w:rPr>
        <w:t>45万根（单枪充电功率</w:t>
      </w:r>
      <w:r>
        <w:rPr>
          <w:rFonts w:eastAsia="仿宋_GB2312"/>
          <w:sz w:val="32"/>
          <w:szCs w:val="32"/>
        </w:rPr>
        <w:t>7kW</w:t>
      </w:r>
      <w:r>
        <w:rPr>
          <w:rFonts w:hint="eastAsia" w:eastAsia="仿宋_GB2312"/>
          <w:sz w:val="32"/>
          <w:szCs w:val="32"/>
        </w:rPr>
        <w:t>）。</w:t>
      </w:r>
    </w:p>
    <w:p>
      <w:pPr>
        <w:pStyle w:val="4"/>
        <w:spacing w:line="580" w:lineRule="exact"/>
        <w:ind w:firstLine="643"/>
      </w:pPr>
      <w:bookmarkStart w:id="65" w:name="_Toc19532"/>
      <w:bookmarkStart w:id="66" w:name="_Toc32314"/>
      <w:r>
        <w:rPr>
          <w:rFonts w:hint="eastAsia"/>
        </w:rPr>
        <w:t>（六）配套电网发展目标</w:t>
      </w:r>
      <w:bookmarkEnd w:id="65"/>
      <w:bookmarkEnd w:id="66"/>
    </w:p>
    <w:p>
      <w:pPr>
        <w:pStyle w:val="2"/>
        <w:spacing w:line="580" w:lineRule="exact"/>
        <w:ind w:firstLine="640"/>
        <w:rPr>
          <w:rFonts w:eastAsia="仿宋_GB2312"/>
          <w:sz w:val="32"/>
          <w:szCs w:val="32"/>
        </w:rPr>
      </w:pPr>
      <w:r>
        <w:rPr>
          <w:rFonts w:hint="eastAsia" w:eastAsia="仿宋_GB2312"/>
          <w:sz w:val="32"/>
          <w:szCs w:val="32"/>
        </w:rPr>
        <w:t>根据电动汽车用电需求预测，</w:t>
      </w:r>
      <w:r>
        <w:rPr>
          <w:rFonts w:eastAsia="仿宋_GB2312"/>
          <w:sz w:val="32"/>
          <w:szCs w:val="32"/>
        </w:rPr>
        <w:t>“十四五”期间陕西</w:t>
      </w:r>
      <w:r>
        <w:rPr>
          <w:rFonts w:hint="eastAsia" w:eastAsia="仿宋_GB2312"/>
          <w:sz w:val="32"/>
          <w:szCs w:val="32"/>
        </w:rPr>
        <w:t>省</w:t>
      </w:r>
      <w:r>
        <w:rPr>
          <w:rFonts w:eastAsia="仿宋_GB2312"/>
          <w:sz w:val="32"/>
          <w:szCs w:val="32"/>
        </w:rPr>
        <w:t>预计新增</w:t>
      </w:r>
      <w:r>
        <w:rPr>
          <w:rFonts w:hint="eastAsia" w:eastAsia="仿宋_GB2312"/>
          <w:sz w:val="32"/>
          <w:szCs w:val="32"/>
        </w:rPr>
        <w:t>电动汽车充电功率130万千瓦</w:t>
      </w:r>
      <w:r>
        <w:rPr>
          <w:rFonts w:eastAsia="仿宋_GB2312"/>
          <w:sz w:val="32"/>
          <w:szCs w:val="32"/>
        </w:rPr>
        <w:t>，</w:t>
      </w:r>
      <w:r>
        <w:rPr>
          <w:rFonts w:hint="eastAsia" w:eastAsia="仿宋_GB2312"/>
          <w:sz w:val="32"/>
          <w:szCs w:val="32"/>
        </w:rPr>
        <w:t>全省110kV容载比将由2.02降低为1.93，西安市110kV容载比将由1.76降低为1.64，</w:t>
      </w:r>
      <w:r>
        <w:rPr>
          <w:rFonts w:eastAsia="仿宋_GB2312"/>
          <w:sz w:val="32"/>
          <w:szCs w:val="32"/>
        </w:rPr>
        <w:t>遵循新修订的《配电网规划设计技术导则》，结合地区经济增长和社会发展阶段，110千伏容载比宜控制在1.7-1.9之间。</w:t>
      </w:r>
      <w:r>
        <w:rPr>
          <w:rFonts w:hint="eastAsia" w:eastAsia="仿宋_GB2312"/>
          <w:sz w:val="32"/>
          <w:szCs w:val="32"/>
        </w:rPr>
        <w:t>为控制西安市110kV容载比满足最低要求1.7，西安市“十四五”需针对电动汽车新增变电容量706.8MVA，按目前110kV变电站通用设计规模，应建设 5座110kV变电站。同时，根据目前配变容量规格及全省新增电动汽车充电负荷，陕西省需新增1250kVA的配变549台和630kVA的配变1089台。</w:t>
      </w:r>
    </w:p>
    <w:p>
      <w:pPr>
        <w:pStyle w:val="3"/>
        <w:spacing w:line="580" w:lineRule="exact"/>
        <w:ind w:firstLine="643"/>
      </w:pPr>
      <w:bookmarkStart w:id="67" w:name="_Toc47622940"/>
      <w:bookmarkStart w:id="68" w:name="_Toc26172"/>
      <w:bookmarkStart w:id="69" w:name="_Toc481"/>
      <w:r>
        <w:rPr>
          <w:rFonts w:hint="eastAsia"/>
        </w:rPr>
        <w:t>五、重点任务</w:t>
      </w:r>
      <w:bookmarkEnd w:id="67"/>
      <w:bookmarkEnd w:id="68"/>
      <w:bookmarkEnd w:id="69"/>
    </w:p>
    <w:p>
      <w:pPr>
        <w:pStyle w:val="2"/>
        <w:spacing w:line="580" w:lineRule="exact"/>
        <w:ind w:firstLine="640"/>
        <w:rPr>
          <w:rFonts w:eastAsia="仿宋_GB2312"/>
          <w:sz w:val="32"/>
          <w:szCs w:val="32"/>
        </w:rPr>
      </w:pPr>
      <w:r>
        <w:rPr>
          <w:rFonts w:hint="eastAsia" w:eastAsia="仿宋_GB2312"/>
          <w:sz w:val="32"/>
          <w:szCs w:val="32"/>
        </w:rPr>
        <w:t>“十四五”期间陕西省着力构建完善的充电设施网络体系，建设</w:t>
      </w:r>
      <w:r>
        <w:rPr>
          <w:rFonts w:hint="eastAsia" w:eastAsia="仿宋_GB2312"/>
          <w:b/>
          <w:sz w:val="32"/>
          <w:szCs w:val="32"/>
        </w:rPr>
        <w:t>贯通乡村的城际出行充电网络、方便快捷的城市公共充电网络、绿色旅游充电网络、覆盖广泛的居民充电网络、保障有力的专用充电网络</w:t>
      </w:r>
      <w:r>
        <w:rPr>
          <w:rFonts w:hint="eastAsia" w:eastAsia="仿宋_GB2312"/>
          <w:sz w:val="32"/>
          <w:szCs w:val="32"/>
        </w:rPr>
        <w:t>五大充电网络，基于省级智慧车联网平台</w:t>
      </w:r>
      <w:r>
        <w:rPr>
          <w:rFonts w:hint="eastAsia" w:ascii="仿宋" w:hAnsi="仿宋" w:eastAsia="仿宋" w:cs="仿宋"/>
          <w:b/>
          <w:sz w:val="32"/>
          <w:szCs w:val="32"/>
        </w:rPr>
        <w:t>打造全省充电设施</w:t>
      </w:r>
      <w:r>
        <w:rPr>
          <w:rFonts w:hint="eastAsia" w:ascii="仿宋_GB2312" w:hAnsi="仿宋_GB2312" w:eastAsia="仿宋_GB2312" w:cs="仿宋_GB2312"/>
          <w:b/>
          <w:sz w:val="32"/>
          <w:szCs w:val="32"/>
        </w:rPr>
        <w:t>“一张网”</w:t>
      </w:r>
      <w:r>
        <w:rPr>
          <w:rFonts w:hint="eastAsia" w:eastAsia="仿宋_GB2312"/>
          <w:sz w:val="32"/>
          <w:szCs w:val="32"/>
        </w:rPr>
        <w:t>，形成线上与线下深度有机融合的“5+1”立体充电网络体系，强化充电设施全链条安全管理，不断推动技术创新，全面提升我省充电设施发展水平，保障人民绿色出行需求，实现绿色低碳发展。</w:t>
      </w:r>
    </w:p>
    <w:p>
      <w:pPr>
        <w:pStyle w:val="4"/>
        <w:spacing w:line="580" w:lineRule="exact"/>
        <w:ind w:firstLine="643"/>
      </w:pPr>
      <w:bookmarkStart w:id="70" w:name="_Toc1979"/>
      <w:bookmarkStart w:id="71" w:name="_Toc13384"/>
      <w:r>
        <w:rPr>
          <w:rFonts w:hint="eastAsia"/>
        </w:rPr>
        <w:t>（一）构建完善的充电设施体系</w:t>
      </w:r>
      <w:bookmarkEnd w:id="70"/>
      <w:bookmarkEnd w:id="71"/>
    </w:p>
    <w:p>
      <w:pPr>
        <w:pStyle w:val="5"/>
        <w:spacing w:line="580" w:lineRule="exact"/>
        <w:ind w:firstLine="643"/>
      </w:pPr>
      <w:r>
        <w:rPr>
          <w:rFonts w:hint="eastAsia"/>
        </w:rPr>
        <w:t>1.建设贯通乡村的城际出行充电网络</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依托省内高速公路服务区停车位配建充电设施，新建高速公路服务区建设不少于</w:t>
      </w:r>
      <w:r>
        <w:rPr>
          <w:rFonts w:ascii="Times New Roman" w:hAnsi="Times New Roman" w:eastAsia="仿宋_GB2312" w:cs="Times New Roman"/>
          <w:sz w:val="32"/>
          <w:szCs w:val="32"/>
        </w:rPr>
        <w:t>10</w:t>
      </w:r>
      <w:r>
        <w:rPr>
          <w:rFonts w:hint="eastAsia" w:eastAsia="仿宋_GB2312"/>
          <w:sz w:val="32"/>
          <w:szCs w:val="32"/>
        </w:rPr>
        <w:t>根快速充电桩或预留建设条件，相关要求纳入高速公路设计和验收条件。</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加强宏观指导，通过财政补贴等方式，引导国道、省道等主干公路沿线乡镇充电设施建设，推进乡村公用充电设施建设，鼓励在乡镇和有充电需求或潜力的村组有序开展公共充电设施建设，助力乡村振兴，避免重复投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随着城市、乡村及城际等公用充电设施相继建设完善，陕西省将建成贯通乡村、覆盖全省的城际出行充电服务网络，满足电动汽车出行充电需求，保障畅行全省。</w:t>
      </w:r>
    </w:p>
    <w:p>
      <w:pPr>
        <w:pStyle w:val="5"/>
        <w:spacing w:line="580" w:lineRule="exact"/>
        <w:ind w:firstLine="643"/>
      </w:pPr>
      <w:r>
        <w:rPr>
          <w:rFonts w:hint="eastAsia"/>
        </w:rPr>
        <w:t>2.建设方便快捷的城市公共充电网络</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市场的基础调节作用，推动城市公用充电设施适度超前发展。对充电设施分布不均衡的区域，通过大数据分析、投资备案等措施，引导投资流向充电站布局密度不足的区域，防止充电设施过度集聚；对公用充电设施还未充分发展的区域，按照从城市中心区域到一般区域，从出租、网约、私人等类型电动汽车流量较大区域到较小区域的原则，逐步提升布点密度，兼顾充电便捷性与运营经济性，实现公用充电设施可持续发展。</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先结合交通枢纽、大型商业、办公园区、驻车换乘（P+R）、城市区域高架桥下等已有停车场地建设公用充电设施；适时推进大型立体式充电站（塔、楼）建设，结合服务、休闲等多层次需求建设充电商业综合体，缓解部分区域停车位紧张、充电桩落地难的问题。积极依托满足相关要求的加油加气站站址资源配建充电桩。</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新建公共建筑物停车场、社会公共停车场、工业或物流园区停车场、公共文化娱乐场所停车场，按照不低于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的车位比例建设充电设施或预留建设安装条件，列入新建项目的规划条件。</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单位内部充电设施建设，充分发挥党政机关、企事业单位、教育文化、团体组织等机构示范带头作用，结合单位公务电动汽车配备情况、职工充电需求，配建内部充电设施，并鼓励对外共享。鼓励工业园区、物流园区、高新技术产业园区等各类园区根据电动汽车应用情况，积极配建充电设施，并作为申报国家级和省级产业园区的优先条件。</w:t>
      </w:r>
    </w:p>
    <w:p>
      <w:pPr>
        <w:pStyle w:val="5"/>
        <w:spacing w:line="580" w:lineRule="exact"/>
        <w:ind w:firstLine="643"/>
      </w:pPr>
      <w:r>
        <w:rPr>
          <w:rFonts w:hint="eastAsia"/>
        </w:rPr>
        <w:t>3.建设绿色旅游充电网络</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积极开展景区充电设施建设，结合各景点级别、旅游人次、充电需求等因素，逐步提升省内旅游景区充电设施覆盖率，“十四五”期间实现省内</w:t>
      </w:r>
      <w:r>
        <w:rPr>
          <w:rFonts w:ascii="Times New Roman" w:hAnsi="Times New Roman" w:eastAsia="仿宋_GB2312" w:cs="Times New Roman"/>
          <w:sz w:val="32"/>
          <w:szCs w:val="32"/>
        </w:rPr>
        <w:t>4A</w:t>
      </w:r>
      <w:r>
        <w:rPr>
          <w:rFonts w:hint="eastAsia" w:ascii="Times New Roman" w:hAnsi="Times New Roman" w:eastAsia="仿宋_GB2312" w:cs="Times New Roman"/>
          <w:sz w:val="32"/>
          <w:szCs w:val="32"/>
        </w:rPr>
        <w:t>级及以上重点旅游景区充电设施全覆盖，其他景区根据应结合客流量、充电需求配建充电设施。打造覆盖陕西全省重要景点的绿色旅游充电网络。</w:t>
      </w:r>
    </w:p>
    <w:p>
      <w:pPr>
        <w:pStyle w:val="5"/>
        <w:spacing w:line="580" w:lineRule="exact"/>
        <w:ind w:firstLine="643"/>
      </w:pPr>
      <w:r>
        <w:rPr>
          <w:rFonts w:hint="eastAsia"/>
        </w:rPr>
        <w:t>4.建设覆盖广泛的居民充电网络</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关中地区新建住宅至少</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停车位建成充电设施，陕南、陕北地区新建住宅至少</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停车位建成充电设施，其余车位应预留安装条件（预留用电容量）。推动居民小区公共充电设施建设，以需求为导向，在现有小区内部或者周边建设公用充电设施。</w:t>
      </w:r>
    </w:p>
    <w:p>
      <w:pPr>
        <w:pStyle w:val="5"/>
        <w:spacing w:line="580" w:lineRule="exact"/>
        <w:ind w:firstLine="643"/>
      </w:pPr>
      <w:r>
        <w:rPr>
          <w:rFonts w:hint="eastAsia"/>
        </w:rPr>
        <w:t>5.建设保障有力的专用充电网络</w:t>
      </w:r>
    </w:p>
    <w:p>
      <w:pPr>
        <w:pStyle w:val="2"/>
        <w:adjustRightInd w:val="0"/>
        <w:snapToGrid w:val="0"/>
        <w:spacing w:line="580" w:lineRule="exact"/>
        <w:ind w:firstLine="640"/>
        <w:rPr>
          <w:rFonts w:eastAsia="仿宋_GB2312"/>
          <w:sz w:val="32"/>
          <w:szCs w:val="32"/>
        </w:rPr>
      </w:pPr>
      <w:r>
        <w:rPr>
          <w:rFonts w:hint="eastAsia" w:eastAsia="仿宋_GB2312"/>
          <w:sz w:val="32"/>
          <w:szCs w:val="32"/>
        </w:rPr>
        <w:t>公交、客运、环卫、机场通勤等定点定线运行公共服务领域，应根据逐年车辆充电需求，优先在停靠场站配建充电设施，适时在运行沿线补建充电设施。出租、物流、网约、租赁等流动运行公共服务领域，在以城市公共充电设施为基础的条件下，充分挖掘自有场地资源配建充电设施，提升充电保障能力。鼓励各类专用充电设施在满足自有车辆充电需求的前提下积极开放共享，重点推动公交专用充电站分时段对外开放。</w:t>
      </w:r>
    </w:p>
    <w:p>
      <w:pPr>
        <w:pStyle w:val="5"/>
        <w:spacing w:line="580" w:lineRule="exact"/>
        <w:ind w:firstLine="643"/>
      </w:pPr>
      <w:r>
        <w:rPr>
          <w:rFonts w:hint="eastAsia"/>
        </w:rPr>
        <w:t>6.探索充换电一体站建设</w:t>
      </w:r>
    </w:p>
    <w:p>
      <w:pPr>
        <w:pStyle w:val="2"/>
        <w:adjustRightInd w:val="0"/>
        <w:snapToGrid w:val="0"/>
        <w:spacing w:line="580" w:lineRule="exact"/>
        <w:ind w:firstLine="640"/>
        <w:rPr>
          <w:rFonts w:eastAsia="仿宋_GB2312"/>
          <w:sz w:val="32"/>
          <w:szCs w:val="32"/>
        </w:rPr>
      </w:pPr>
      <w:r>
        <w:rPr>
          <w:rFonts w:hint="eastAsia" w:eastAsia="仿宋_GB2312"/>
          <w:sz w:val="32"/>
          <w:szCs w:val="32"/>
        </w:rPr>
        <w:t>搅拌车、渣土车等车型运营时间、区域较为固定，采用电动汽车运营成本较低，以换电方式能大幅降低车辆购置成本，节约充电时间，较为适宜开展换电模式探索，应结合车辆推广情况试点在县域或郊区开展充换电一体站建设。</w:t>
      </w:r>
    </w:p>
    <w:p>
      <w:pPr>
        <w:pStyle w:val="4"/>
        <w:spacing w:line="580" w:lineRule="exact"/>
        <w:ind w:firstLine="643"/>
      </w:pPr>
      <w:bookmarkStart w:id="72" w:name="_Toc31613"/>
      <w:bookmarkStart w:id="73" w:name="_Toc7658"/>
      <w:r>
        <w:rPr>
          <w:rFonts w:hint="eastAsia"/>
        </w:rPr>
        <w:t>（二）推动居民区充电设施建设落地</w:t>
      </w:r>
      <w:bookmarkEnd w:id="72"/>
      <w:bookmarkEnd w:id="73"/>
    </w:p>
    <w:p>
      <w:pPr>
        <w:pStyle w:val="2"/>
        <w:adjustRightInd w:val="0"/>
        <w:snapToGrid w:val="0"/>
        <w:spacing w:line="580" w:lineRule="exact"/>
        <w:ind w:firstLine="640"/>
        <w:rPr>
          <w:rFonts w:eastAsia="仿宋_GB2312"/>
          <w:sz w:val="32"/>
          <w:szCs w:val="32"/>
        </w:rPr>
      </w:pPr>
      <w:r>
        <w:rPr>
          <w:rFonts w:hint="eastAsia" w:eastAsia="仿宋_GB2312"/>
          <w:sz w:val="32"/>
          <w:szCs w:val="32"/>
        </w:rPr>
        <w:t>进一步完善配套政策，推动全省新建或改扩建住宅小区在核发规划条件、建设工程规划许可证等相关规划许可证时，严格落实配建停车位充电相关设施建设或预留要求，并将充电设施配建情况纳入整体工程验收范围。</w:t>
      </w:r>
    </w:p>
    <w:p>
      <w:pPr>
        <w:pStyle w:val="2"/>
        <w:adjustRightInd w:val="0"/>
        <w:snapToGrid w:val="0"/>
        <w:spacing w:line="580" w:lineRule="exact"/>
        <w:ind w:firstLine="640"/>
        <w:rPr>
          <w:rFonts w:eastAsia="仿宋_GB2312"/>
          <w:sz w:val="32"/>
          <w:szCs w:val="32"/>
        </w:rPr>
      </w:pPr>
      <w:r>
        <w:rPr>
          <w:rFonts w:hint="eastAsia" w:eastAsia="仿宋_GB2312"/>
          <w:sz w:val="32"/>
          <w:szCs w:val="32"/>
        </w:rPr>
        <w:t>鼓励在个人自有停车位建设充电桩，小区物业应积极配合并提供施工便利；老旧小区电力改造应同步考虑小区内电动汽车充电需求，合理预留变电容量，同时综合运用引导电动汽车低谷充电、推广有序充电、小区配变增容等手段，解决老旧居民区存在电力容量不够问题；支持个人充电设施对外共享开放。</w:t>
      </w:r>
    </w:p>
    <w:p>
      <w:pPr>
        <w:pStyle w:val="2"/>
        <w:adjustRightInd w:val="0"/>
        <w:snapToGrid w:val="0"/>
        <w:spacing w:line="580" w:lineRule="exact"/>
        <w:ind w:firstLine="640"/>
        <w:rPr>
          <w:rFonts w:eastAsia="仿宋_GB2312"/>
          <w:sz w:val="32"/>
          <w:szCs w:val="32"/>
        </w:rPr>
      </w:pPr>
      <w:r>
        <w:rPr>
          <w:rFonts w:hint="eastAsia" w:eastAsia="仿宋_GB2312"/>
          <w:sz w:val="32"/>
          <w:szCs w:val="32"/>
        </w:rPr>
        <w:t>鼓励老旧小区探索多车一桩、临近车位共享等模式。鼓励小区物业、充电设施运营企业等相关方整合小区公共或私人停车资源，建设主要面向小区内电动汽车的共享轮充充电设施。</w:t>
      </w:r>
    </w:p>
    <w:p>
      <w:pPr>
        <w:pStyle w:val="4"/>
        <w:spacing w:line="580" w:lineRule="exact"/>
        <w:ind w:firstLine="643"/>
      </w:pPr>
      <w:bookmarkStart w:id="74" w:name="_Toc5525"/>
      <w:bookmarkStart w:id="75" w:name="_Toc17151"/>
      <w:r>
        <w:rPr>
          <w:rFonts w:hint="eastAsia"/>
        </w:rPr>
        <w:t>（三）打造全省充电设施“一张网”</w:t>
      </w:r>
      <w:bookmarkEnd w:id="74"/>
      <w:bookmarkEnd w:id="75"/>
    </w:p>
    <w:p>
      <w:pPr>
        <w:pStyle w:val="2"/>
        <w:adjustRightInd w:val="0"/>
        <w:snapToGrid w:val="0"/>
        <w:spacing w:line="580" w:lineRule="exact"/>
        <w:ind w:firstLine="640"/>
        <w:rPr>
          <w:rFonts w:eastAsia="仿宋_GB2312"/>
          <w:sz w:val="32"/>
          <w:szCs w:val="32"/>
        </w:rPr>
      </w:pPr>
      <w:r>
        <w:rPr>
          <w:rFonts w:hint="eastAsia" w:eastAsia="仿宋_GB2312"/>
          <w:sz w:val="32"/>
          <w:szCs w:val="32"/>
        </w:rPr>
        <w:t>持续依托唯一省级充电设施政府管理平台—陕西智慧车联网平台，推进全省公用、专用充电设施统一接入，鼓励个人自用充电设施逐步接入，汇聚全省充电设施及行业信息，</w:t>
      </w:r>
      <w:r>
        <w:rPr>
          <w:rFonts w:hint="eastAsia" w:ascii="仿宋" w:hAnsi="仿宋" w:eastAsia="仿宋" w:cs="仿宋"/>
          <w:sz w:val="32"/>
          <w:szCs w:val="32"/>
        </w:rPr>
        <w:t>打造全省充电设施</w:t>
      </w:r>
      <w:r>
        <w:rPr>
          <w:rFonts w:hint="eastAsia" w:ascii="仿宋_GB2312" w:hAnsi="仿宋_GB2312" w:eastAsia="仿宋_GB2312" w:cs="仿宋_GB2312"/>
          <w:sz w:val="32"/>
          <w:szCs w:val="32"/>
        </w:rPr>
        <w:t>“一张网”，</w:t>
      </w:r>
      <w:r>
        <w:rPr>
          <w:rFonts w:hint="eastAsia" w:eastAsia="仿宋_GB2312"/>
          <w:sz w:val="32"/>
          <w:szCs w:val="32"/>
        </w:rPr>
        <w:t>实现一平台畅行三秦大地。引导不同充电运营服务平台提升信息互联互通深度和广度，提升充电结算等便利程度，为充电用户提供更好的充电服务。</w:t>
      </w:r>
    </w:p>
    <w:p>
      <w:pPr>
        <w:pStyle w:val="2"/>
        <w:adjustRightInd w:val="0"/>
        <w:snapToGrid w:val="0"/>
        <w:spacing w:line="580" w:lineRule="exact"/>
        <w:ind w:firstLine="640"/>
        <w:rPr>
          <w:rFonts w:eastAsia="仿宋_GB2312"/>
          <w:sz w:val="32"/>
          <w:szCs w:val="32"/>
        </w:rPr>
      </w:pPr>
      <w:r>
        <w:rPr>
          <w:rFonts w:hint="eastAsia" w:eastAsia="仿宋_GB2312"/>
          <w:sz w:val="32"/>
          <w:szCs w:val="32"/>
        </w:rPr>
        <w:t>加强对省级智慧车联网平台运营管理，强化平台经营公益属性，引导省级平台最大限度将政府优惠政策落实到充电设施使用者身上。完善省级平台功能，推动与交通、能源等平台的互联互通，不断提升省级平台补贴申领统计、市县充电设施管理等功能，支撑省内各市统一免费使用陕西智慧车联平台，不再单独建设市级平台，降低建设成本，</w:t>
      </w:r>
      <w:r>
        <w:rPr>
          <w:rFonts w:hint="eastAsia" w:ascii="华文仿宋" w:hAnsi="华文仿宋" w:eastAsia="华文仿宋" w:cs="华文仿宋"/>
          <w:sz w:val="32"/>
          <w:szCs w:val="32"/>
        </w:rPr>
        <w:t>各地市做好属地化平台推广应用，</w:t>
      </w:r>
      <w:r>
        <w:rPr>
          <w:rFonts w:hint="eastAsia" w:ascii="仿宋" w:hAnsi="仿宋" w:eastAsia="仿宋" w:cs="仿宋"/>
          <w:sz w:val="32"/>
          <w:szCs w:val="32"/>
        </w:rPr>
        <w:t>全力配合打造全省充电设施</w:t>
      </w:r>
      <w:r>
        <w:rPr>
          <w:rFonts w:hint="eastAsia" w:ascii="仿宋_GB2312" w:hAnsi="仿宋_GB2312" w:eastAsia="仿宋_GB2312" w:cs="仿宋_GB2312"/>
          <w:sz w:val="32"/>
          <w:szCs w:val="32"/>
        </w:rPr>
        <w:t>“一张网”</w:t>
      </w:r>
      <w:r>
        <w:rPr>
          <w:rFonts w:hint="eastAsia" w:ascii="仿宋" w:hAnsi="仿宋" w:eastAsia="仿宋" w:cs="仿宋"/>
          <w:szCs w:val="32"/>
        </w:rPr>
        <w:t>。</w:t>
      </w:r>
      <w:r>
        <w:rPr>
          <w:rFonts w:hint="eastAsia" w:eastAsia="仿宋_GB2312"/>
          <w:sz w:val="32"/>
          <w:szCs w:val="32"/>
        </w:rPr>
        <w:t>推进已建设的市级平台与省级充电服务平台数据融合。开展有序充电、电力交易、与电网互动、充电站辅助规划选址等信息服务，将充电设施平台打造成车辆与外部电网等开展互动，实现</w:t>
      </w:r>
      <w:r>
        <w:rPr>
          <w:rFonts w:eastAsia="仿宋_GB2312"/>
          <w:sz w:val="32"/>
          <w:szCs w:val="32"/>
        </w:rPr>
        <w:t>V2X</w:t>
      </w:r>
      <w:r>
        <w:rPr>
          <w:rFonts w:hint="eastAsia" w:eastAsia="仿宋_GB2312"/>
          <w:sz w:val="32"/>
          <w:szCs w:val="32"/>
        </w:rPr>
        <w:t>的数据桥梁。</w:t>
      </w:r>
    </w:p>
    <w:p>
      <w:pPr>
        <w:pStyle w:val="2"/>
        <w:adjustRightInd w:val="0"/>
        <w:snapToGrid w:val="0"/>
        <w:spacing w:line="580" w:lineRule="exact"/>
        <w:ind w:firstLine="640"/>
        <w:rPr>
          <w:rFonts w:eastAsia="仿宋_GB2312"/>
          <w:sz w:val="32"/>
          <w:szCs w:val="32"/>
        </w:rPr>
      </w:pPr>
      <w:r>
        <w:rPr>
          <w:rFonts w:hint="eastAsia" w:eastAsia="仿宋_GB2312"/>
          <w:sz w:val="32"/>
          <w:szCs w:val="32"/>
        </w:rPr>
        <w:t>结合全省充电设施线上“一张网”，贯通线下“五张网”，形成线上与线下深度有机融合的“5+1”立体充电网络体系，为政府监管、充电设施相关企业运营和电动汽车客户使用提供全面的信息服务，服务充电用户和行业上下游企业。</w:t>
      </w:r>
    </w:p>
    <w:p>
      <w:pPr>
        <w:pStyle w:val="4"/>
        <w:spacing w:line="580" w:lineRule="exact"/>
        <w:ind w:firstLine="643"/>
      </w:pPr>
      <w:bookmarkStart w:id="76" w:name="_Toc16775"/>
      <w:bookmarkStart w:id="77" w:name="_Toc11168"/>
      <w:r>
        <w:rPr>
          <w:rFonts w:hint="eastAsia"/>
        </w:rPr>
        <w:t>（四）</w:t>
      </w:r>
      <w:bookmarkStart w:id="78" w:name="_Toc47622941"/>
      <w:r>
        <w:rPr>
          <w:rFonts w:hint="eastAsia"/>
        </w:rPr>
        <w:t>加强充电设施全链条安全管理</w:t>
      </w:r>
      <w:bookmarkEnd w:id="76"/>
      <w:bookmarkEnd w:id="77"/>
    </w:p>
    <w:p>
      <w:pPr>
        <w:pStyle w:val="2"/>
        <w:ind w:firstLine="640"/>
        <w:rPr>
          <w:rFonts w:eastAsia="仿宋_GB2312"/>
          <w:sz w:val="32"/>
          <w:szCs w:val="32"/>
        </w:rPr>
      </w:pPr>
      <w:r>
        <w:rPr>
          <w:rFonts w:hint="eastAsia" w:eastAsia="仿宋_GB2312"/>
          <w:sz w:val="32"/>
          <w:szCs w:val="32"/>
        </w:rPr>
        <w:t>强化充电设施安全管理，落实充电设施建设使用各环节安全责任，提升建设、运维、使用各环节人员安全意识，杜绝安全隐患。</w:t>
      </w:r>
      <w:bookmarkEnd w:id="78"/>
    </w:p>
    <w:p>
      <w:pPr>
        <w:pStyle w:val="2"/>
        <w:ind w:firstLine="640"/>
        <w:rPr>
          <w:rFonts w:eastAsia="仿宋_GB2312"/>
          <w:sz w:val="32"/>
          <w:szCs w:val="32"/>
        </w:rPr>
      </w:pPr>
      <w:r>
        <w:rPr>
          <w:rFonts w:hint="eastAsia" w:eastAsia="仿宋_GB2312"/>
          <w:sz w:val="32"/>
          <w:szCs w:val="32"/>
        </w:rPr>
        <w:t>严格执行国家及行业充电设施有关标准，强化充电设施设备准入管理，制定充电设施安全检测地方标准，确保充电设施质量优良、使用便捷。</w:t>
      </w:r>
    </w:p>
    <w:p>
      <w:pPr>
        <w:pStyle w:val="2"/>
        <w:ind w:firstLine="640"/>
        <w:rPr>
          <w:rFonts w:eastAsia="仿宋_GB2312"/>
          <w:sz w:val="32"/>
          <w:szCs w:val="32"/>
        </w:rPr>
      </w:pPr>
      <w:r>
        <w:rPr>
          <w:rFonts w:hint="eastAsia" w:eastAsia="仿宋_GB2312"/>
          <w:sz w:val="32"/>
          <w:szCs w:val="32"/>
        </w:rPr>
        <w:t>加快制定充电站典型设计方案，推进充电站建设标准化进程；制定充电站运营管理规范，推进公共充电站现场人员服务、辅助设施、场站环境等方面标准化建设；制定地方充电站及充电桩建设验收标准，重点制定居民区地下车库、立体充电站（塔、楼）、城市区域高架桥下等充电设施防火设计等规范，破解居民小区充电桩、城市公共充电设施等安装难题。</w:t>
      </w:r>
    </w:p>
    <w:p>
      <w:pPr>
        <w:pStyle w:val="2"/>
        <w:ind w:firstLine="640"/>
        <w:rPr>
          <w:rFonts w:eastAsia="仿宋_GB2312"/>
          <w:sz w:val="32"/>
          <w:szCs w:val="32"/>
        </w:rPr>
      </w:pPr>
      <w:r>
        <w:rPr>
          <w:rFonts w:eastAsia="仿宋_GB2312"/>
          <w:sz w:val="32"/>
          <w:szCs w:val="32"/>
        </w:rPr>
        <w:t>投资建设充（换）电设施项目实行备案制管理，</w:t>
      </w:r>
      <w:r>
        <w:rPr>
          <w:rFonts w:hint="eastAsia" w:eastAsia="仿宋_GB2312"/>
          <w:sz w:val="32"/>
          <w:szCs w:val="32"/>
        </w:rPr>
        <w:t>充电站</w:t>
      </w:r>
      <w:r>
        <w:rPr>
          <w:rFonts w:eastAsia="仿宋_GB2312"/>
          <w:sz w:val="32"/>
          <w:szCs w:val="32"/>
        </w:rPr>
        <w:t>由所在地的县级</w:t>
      </w:r>
      <w:r>
        <w:rPr>
          <w:rFonts w:hint="eastAsia" w:eastAsia="仿宋_GB2312"/>
          <w:sz w:val="32"/>
          <w:szCs w:val="32"/>
        </w:rPr>
        <w:t>主管</w:t>
      </w:r>
      <w:r>
        <w:rPr>
          <w:rFonts w:eastAsia="仿宋_GB2312"/>
          <w:sz w:val="32"/>
          <w:szCs w:val="32"/>
        </w:rPr>
        <w:t>部门组织电力、消防、安全等相关部门进行验收，经验收合格</w:t>
      </w:r>
      <w:r>
        <w:rPr>
          <w:rFonts w:hint="eastAsia" w:eastAsia="仿宋_GB2312"/>
          <w:sz w:val="32"/>
          <w:szCs w:val="32"/>
        </w:rPr>
        <w:t>方可</w:t>
      </w:r>
      <w:r>
        <w:rPr>
          <w:rFonts w:eastAsia="仿宋_GB2312"/>
          <w:sz w:val="32"/>
          <w:szCs w:val="32"/>
        </w:rPr>
        <w:t>投入使用。</w:t>
      </w:r>
    </w:p>
    <w:p>
      <w:pPr>
        <w:pStyle w:val="2"/>
        <w:ind w:firstLine="640"/>
        <w:rPr>
          <w:rFonts w:eastAsia="仿宋_GB2312"/>
          <w:sz w:val="32"/>
          <w:szCs w:val="32"/>
        </w:rPr>
      </w:pPr>
      <w:r>
        <w:rPr>
          <w:rFonts w:hint="eastAsia" w:eastAsia="仿宋_GB2312"/>
          <w:sz w:val="32"/>
          <w:szCs w:val="32"/>
        </w:rPr>
        <w:t>加强运营期间安全管理，督促充电设施运营商定期开展安全隐患排查，评估设备状态，确保安全充电。重视居民小区、企事业单位等自用、专用充电设施安全管理，确保设备状态良好、使用安全。</w:t>
      </w:r>
    </w:p>
    <w:p>
      <w:pPr>
        <w:pStyle w:val="4"/>
        <w:spacing w:line="580" w:lineRule="exact"/>
        <w:ind w:firstLine="643"/>
      </w:pPr>
      <w:bookmarkStart w:id="79" w:name="_Toc12111"/>
      <w:bookmarkStart w:id="80" w:name="_Toc370"/>
      <w:r>
        <w:rPr>
          <w:rFonts w:hint="eastAsia"/>
        </w:rPr>
        <w:t>（五）强化充电设施行业</w:t>
      </w:r>
      <w:r>
        <w:t>管理</w:t>
      </w:r>
      <w:bookmarkEnd w:id="79"/>
      <w:bookmarkEnd w:id="80"/>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强化充电设施行业管理，充分发挥行业自律组织作用，引导充电设施运营商从价格竞争向服务质量竞争转变，避免为拿补贴而进行市场降价、互相压价等无序竞争，促进行业长远健康发展。</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加强充电设施运营服务的统一管理，规范充电设施计量、计费、结算等运营服务，引导督促运营商加强充电设施维护和服务能力提升，享受政府充电设施各项补贴的，要保障充电设施可用率在较高水平。</w:t>
      </w:r>
      <w:r>
        <w:rPr>
          <w:rFonts w:hint="eastAsia" w:eastAsia="仿宋_GB2312"/>
          <w:sz w:val="32"/>
          <w:szCs w:val="32"/>
        </w:rPr>
        <w:t>引导运营商提升信息化水平，强化所属设施的支付、运行维护等便利性，增强用户体验。鼓励省内充电设施研发、生产等企业加强技术创新，提升充电保障能力和市场竞争力。</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充电站充电设备状态、环境卫生等问题管理监督，强化充电站“油车占位”问题管理，采取安排专人管理、装设智能化装置、提高占用充电车位燃油车停车收费标准等措施，提升“油车占位”不文明行为治理力度，推进将“油车占位”行为治理列入相关城市管理规定范围，提升消费者充电服务满意度。</w:t>
      </w:r>
    </w:p>
    <w:p>
      <w:pPr>
        <w:pStyle w:val="4"/>
        <w:spacing w:line="580" w:lineRule="exact"/>
        <w:ind w:firstLine="643"/>
        <w:rPr>
          <w:rFonts w:eastAsia="仿宋_GB2312"/>
        </w:rPr>
      </w:pPr>
      <w:bookmarkStart w:id="81" w:name="_Toc23553"/>
      <w:bookmarkStart w:id="82" w:name="_Toc7960"/>
      <w:r>
        <w:rPr>
          <w:rFonts w:hint="eastAsia"/>
        </w:rPr>
        <w:t>（六）积极推动</w:t>
      </w:r>
      <w:r>
        <w:t>商业模式</w:t>
      </w:r>
      <w:r>
        <w:rPr>
          <w:rFonts w:hint="eastAsia"/>
        </w:rPr>
        <w:t>创新</w:t>
      </w:r>
      <w:bookmarkEnd w:id="81"/>
      <w:r>
        <w:rPr>
          <w:rFonts w:hint="eastAsia"/>
        </w:rPr>
        <w:t>及产业高质量发展</w:t>
      </w:r>
      <w:bookmarkEnd w:id="82"/>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以技术创新引领商业模式创新。推进</w:t>
      </w:r>
      <w:r>
        <w:rPr>
          <w:rFonts w:ascii="Times New Roman" w:hAnsi="Times New Roman" w:eastAsia="仿宋_GB2312" w:cs="Times New Roman"/>
          <w:sz w:val="32"/>
          <w:szCs w:val="32"/>
        </w:rPr>
        <w:t>V2G</w:t>
      </w:r>
      <w:r>
        <w:rPr>
          <w:rFonts w:hint="eastAsia" w:ascii="Times New Roman" w:hAnsi="Times New Roman" w:eastAsia="仿宋_GB2312" w:cs="Times New Roman"/>
          <w:sz w:val="32"/>
          <w:szCs w:val="32"/>
        </w:rPr>
        <w:t>、电动汽车参与电力需求响应等模式落地。依托陕西智慧车联网等平台，挖掘充电大数据价值，探索充电站布局辅助分析、车辆安全分析等典型应用场景，打造“平台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”服务生态圈，提升产业发展质量、效率。拓展各类专用充电桩平台接入及代维、车辆租赁、电子商务、餐饮等延伸服务，增加营业收入。</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运用电力交易手段。依托省级智慧车联网平台，聚合充电设施运营企业开展电力交易，进一步推进与新能源发电企业开展绿电交易，通过电价优惠促进行业发展，最大限度降低终端充电电价，“十四五”期间计划开展交易电量50亿千瓦时，节约购电成本5亿元；通过绿电交易消纳光伏扶贫电力等清洁电力，助力绿电扶贫，推动陕西尽早实现“碳达峰”“碳中和”。</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拓展完善充电产业上中下游产业链，推动高质量发展。依托省内完善的充电网络布局和骨干汽车生产制造企业，激发省内电动汽车消费活力，吸引充电桩生产、电动汽车关键零部件及整车制造、动力电池生产等上游产业在省内聚集，引领带动省内制造业高质量发展；继续推动换电、电池租赁、充电站设计建设等中游产业蓬勃发展，为充电设施“五张网”建设提供有力支撑；带动充电安全检测、充电站运营、大数据分析、车联网、无人驾驶等下游产业发展，提升充电服务产业高质量发展水平。通过完善的充电产业链条带动陕西新兴产业发展和产业结构转型升级，推动高质量发展。</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金融服务支撑。鼓励各类市场主体在公平自愿的原则下，通过多种合作模式开展充电设施建设，不断壮大充电设施建设力量。鼓励社会资本通过政府与社会资本合作（PPP）等方式，参与公交车等公共服务领域车辆充电站建设，鼓励给予充电设施建设运营企业贷款贴息等多种形式的融资支持，推广股权、项目收益权、特许经营权等质押融资方式，加快建立包括财政出资和社会资本投入的多层次担保体系，拓宽充电设施建设运营企业与设备厂商的融资渠道。完善充电设施保险制度，鼓励金融机构创新金融产品和保险品种，降低企业运营和用户使用风险。</w:t>
      </w:r>
    </w:p>
    <w:p>
      <w:pPr>
        <w:pStyle w:val="4"/>
        <w:spacing w:line="580" w:lineRule="exact"/>
        <w:ind w:firstLine="643"/>
        <w:rPr>
          <w:rFonts w:eastAsia="仿宋_GB2312"/>
          <w:b w:val="0"/>
        </w:rPr>
      </w:pPr>
      <w:bookmarkStart w:id="83" w:name="_Toc21279"/>
      <w:bookmarkStart w:id="84" w:name="_Toc15907"/>
      <w:r>
        <w:rPr>
          <w:rFonts w:hint="eastAsia"/>
        </w:rPr>
        <w:t>（七）强化新技术应用</w:t>
      </w:r>
      <w:bookmarkEnd w:id="83"/>
      <w:bookmarkEnd w:id="84"/>
    </w:p>
    <w:p>
      <w:pPr>
        <w:adjustRightInd w:val="0"/>
        <w:snapToGrid w:val="0"/>
        <w:spacing w:line="580" w:lineRule="exact"/>
        <w:ind w:firstLine="640" w:firstLineChars="200"/>
        <w:rPr>
          <w:rFonts w:eastAsia="仿宋_GB2312"/>
          <w:sz w:val="32"/>
          <w:szCs w:val="32"/>
        </w:rPr>
      </w:pPr>
      <w:r>
        <w:rPr>
          <w:rFonts w:hint="eastAsia" w:eastAsia="仿宋_GB2312"/>
          <w:sz w:val="32"/>
          <w:szCs w:val="32"/>
        </w:rPr>
        <w:t>稳步推进充电新技术应用。持续跟踪充电新技术发展，适时</w:t>
      </w:r>
      <w:r>
        <w:rPr>
          <w:rFonts w:hint="eastAsia" w:ascii="Times New Roman" w:hAnsi="Times New Roman" w:eastAsia="仿宋_GB2312" w:cs="Times New Roman"/>
          <w:sz w:val="32"/>
          <w:szCs w:val="32"/>
        </w:rPr>
        <w:t>推进有序充电、负荷控制等技术示范应用，增强充电负荷需求侧响应能力，</w:t>
      </w:r>
      <w:r>
        <w:rPr>
          <w:rFonts w:hint="eastAsia" w:eastAsia="仿宋_GB2312"/>
          <w:sz w:val="32"/>
          <w:szCs w:val="32"/>
        </w:rPr>
        <w:t>挖掘现有电网供电潜力；鼓励开展换电模式，积极推进渣土车等领域换电模式应用；根据场景需求加强超大功率充电、无线充电、小功率直流充电、群充技术等新型充电技术研发应用，提高充电便利性和用户充电体验感。</w:t>
      </w:r>
    </w:p>
    <w:p>
      <w:pPr>
        <w:pStyle w:val="2"/>
        <w:ind w:firstLine="640"/>
        <w:rPr>
          <w:rFonts w:eastAsia="仿宋_GB2312"/>
          <w:sz w:val="32"/>
          <w:szCs w:val="32"/>
        </w:rPr>
      </w:pPr>
      <w:r>
        <w:rPr>
          <w:rFonts w:hint="eastAsia" w:eastAsia="仿宋_GB2312"/>
          <w:sz w:val="32"/>
          <w:szCs w:val="32"/>
        </w:rPr>
        <w:t>加强充电安全技术研发。强化电动汽车和充电设施信息互通水平，通过实时监测充电过程中电流、电压等参数，确保充电过程安全；挖掘充电大数据价值，建立充电安全主动防护体系，构建充电行为、电池安全等多种防护模型，及时发现安全隐患，发挥大数据的充电安全预警作用。</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试点开展示范工程建设。按照技术落地、效果示范、各方接受、规模发展的路线，鼓励开展</w:t>
      </w:r>
      <w:r>
        <w:rPr>
          <w:rFonts w:ascii="Times New Roman" w:hAnsi="Times New Roman" w:eastAsia="仿宋_GB2312" w:cs="Times New Roman"/>
          <w:sz w:val="32"/>
          <w:szCs w:val="32"/>
        </w:rPr>
        <w:t>V2G</w:t>
      </w:r>
      <w:r>
        <w:rPr>
          <w:rFonts w:hint="eastAsia" w:ascii="Times New Roman" w:hAnsi="Times New Roman" w:eastAsia="仿宋_GB2312" w:cs="Times New Roman"/>
          <w:sz w:val="32"/>
          <w:szCs w:val="32"/>
        </w:rPr>
        <w:t xml:space="preserve">示范应用，推进新能源汽车与电网能量高效互动，提升电网调峰等动态响应能力。结合退役电池梯次利用，鼓励开展“光储充放”（分布式光伏发电—储能系统—充放电）多功能综合一体站建设，充分发挥电动汽车移动储能终端作用，提升清洁能源利用效率。 </w:t>
      </w:r>
    </w:p>
    <w:p>
      <w:pPr>
        <w:pStyle w:val="4"/>
        <w:spacing w:line="580" w:lineRule="exact"/>
        <w:ind w:firstLine="643"/>
      </w:pPr>
      <w:bookmarkStart w:id="85" w:name="_Toc2172"/>
      <w:bookmarkStart w:id="86" w:name="_Toc18644"/>
      <w:r>
        <w:rPr>
          <w:rFonts w:hint="eastAsia"/>
        </w:rPr>
        <w:t>（八）提升电力保障能力</w:t>
      </w:r>
      <w:bookmarkEnd w:id="85"/>
      <w:bookmarkEnd w:id="86"/>
    </w:p>
    <w:p>
      <w:pPr>
        <w:adjustRightInd w:val="0"/>
        <w:snapToGrid w:val="0"/>
        <w:spacing w:line="580" w:lineRule="exact"/>
        <w:ind w:firstLine="640" w:firstLineChars="200"/>
        <w:rPr>
          <w:rFonts w:eastAsia="仿宋_GB2312"/>
          <w:sz w:val="32"/>
          <w:szCs w:val="32"/>
        </w:rPr>
      </w:pPr>
      <w:r>
        <w:rPr>
          <w:rFonts w:hint="eastAsia" w:eastAsia="仿宋_GB2312"/>
          <w:sz w:val="32"/>
          <w:szCs w:val="32"/>
        </w:rPr>
        <w:t>加强供电能力建设。充分考虑日益增长的充电负荷，按照适度超前原则，将充电设施配套电网建设与改造纳入配电网规划。加大配套电力设施用地保障力度，加快公用电力廊道建设，确保充电设施及时接入。现有小区结合城镇老旧小区改造和充电负荷需求，同时综合运用“光储充”、负荷控制等技术，保障小区内充电设施用电有序供应。</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提供优质用电服务。电网企业要按照相关规划，做好基础设施配套电网建设与改造，</w:t>
      </w:r>
      <w:r>
        <w:rPr>
          <w:rFonts w:ascii="Times New Roman" w:hAnsi="Times New Roman" w:eastAsia="仿宋_GB2312" w:cs="Times New Roman"/>
          <w:sz w:val="32"/>
          <w:szCs w:val="32"/>
        </w:rPr>
        <w:t>从产权分界点到公网接入点的配套接网工程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由电网企业负责建设和运营维护，且不得收取接网费用</w:t>
      </w:r>
      <w:r>
        <w:rPr>
          <w:rFonts w:hint="eastAsia" w:ascii="Times New Roman" w:hAnsi="Times New Roman" w:eastAsia="仿宋_GB2312" w:cs="Times New Roman"/>
          <w:sz w:val="32"/>
          <w:szCs w:val="32"/>
        </w:rPr>
        <w:t>，相关成本纳入电网输配电价。结合中省优化营商环境相关要求，进一步研究简化充电设施接电报装流程，为充电设施建设、运营提供便利、高效服务。</w:t>
      </w:r>
    </w:p>
    <w:p>
      <w:pPr>
        <w:pStyle w:val="3"/>
        <w:spacing w:line="580" w:lineRule="exact"/>
        <w:ind w:firstLine="643"/>
      </w:pPr>
      <w:bookmarkStart w:id="87" w:name="_Toc7794"/>
      <w:bookmarkStart w:id="88" w:name="_Toc17589"/>
      <w:bookmarkStart w:id="89" w:name="_Toc47622944"/>
      <w:r>
        <w:rPr>
          <w:rFonts w:hint="eastAsia"/>
        </w:rPr>
        <w:t>六、规划实施</w:t>
      </w:r>
      <w:bookmarkEnd w:id="87"/>
      <w:bookmarkEnd w:id="88"/>
      <w:bookmarkEnd w:id="89"/>
    </w:p>
    <w:p>
      <w:pPr>
        <w:pStyle w:val="4"/>
        <w:spacing w:line="580" w:lineRule="exact"/>
        <w:ind w:firstLine="643"/>
      </w:pPr>
      <w:bookmarkStart w:id="90" w:name="_Toc447114646"/>
      <w:bookmarkStart w:id="91" w:name="_Toc18729"/>
      <w:bookmarkStart w:id="92" w:name="_Toc24981"/>
      <w:bookmarkStart w:id="93" w:name="_Toc47622945"/>
      <w:r>
        <w:t>（</w:t>
      </w:r>
      <w:r>
        <w:rPr>
          <w:rFonts w:hint="eastAsia"/>
        </w:rPr>
        <w:t>一</w:t>
      </w:r>
      <w:r>
        <w:t>）保障措施</w:t>
      </w:r>
      <w:bookmarkEnd w:id="90"/>
      <w:bookmarkEnd w:id="91"/>
      <w:bookmarkEnd w:id="92"/>
      <w:bookmarkEnd w:id="93"/>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1.加强组织领导。</w:t>
      </w:r>
      <w:r>
        <w:rPr>
          <w:rFonts w:hint="eastAsia" w:ascii="Times New Roman" w:hAnsi="Times New Roman" w:eastAsia="仿宋_GB2312" w:cs="Times New Roman"/>
          <w:sz w:val="32"/>
          <w:szCs w:val="32"/>
        </w:rPr>
        <w:t>各市、县政府是推进电动汽车推广应用和充电设施建设的责任主体，将充电设施建设作为电动汽车推广的关键因素，建立由各级发改部门牵头、各相关行业主管部门密切配合的协同工作机制，统筹制定区域内充电设施建设支持政策，协调推进重大事项，促进充电设施建设工作与电动汽车推广应用有序衔接，确保充电设施建设工作取得实效。重视充电设施规划落地，研究与城市详细规划、电网规划的衔接机制和流程，制定与物业管理、城市停车、高速服务区管理等相关行业管理机制的衔接措施。</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2.加大政策支持力度。</w:t>
      </w:r>
      <w:r>
        <w:rPr>
          <w:rFonts w:hint="eastAsia" w:ascii="Times New Roman" w:hAnsi="Times New Roman" w:eastAsia="仿宋_GB2312" w:cs="Times New Roman"/>
          <w:sz w:val="32"/>
          <w:szCs w:val="32"/>
        </w:rPr>
        <w:t>将充电设施建设作为推进电动汽车发展、能源使用变革的关键性因素，鼓励各地市加大充电设施建设、使用等环节补贴力度，构建覆盖多层级、各环节的完善充电设施补贴政策体系，重点向保障型、充电运营商建设意愿不强，但关系充电网络建设的关键及薄弱点充电站倾斜，充分发挥政策的杠杆作用。监测充电行业收益情况，合理设置充电设施建设、运营等补贴类别，加强对享受补贴充电设施的事中事后考核监管，保障充电行业良好持续发展和作为基础设施的公益属性。对向电网企业直接报装接电的经营性集中充电式充换电设施，2025年前免收基本电费。</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3.简化相关审批手续。</w:t>
      </w:r>
      <w:r>
        <w:rPr>
          <w:rFonts w:ascii="Times New Roman" w:hAnsi="Times New Roman" w:eastAsia="仿宋_GB2312" w:cs="Times New Roman"/>
          <w:sz w:val="32"/>
          <w:szCs w:val="32"/>
        </w:rPr>
        <w:t>投资建设充（换）电设施项目实行备案制管理，个人建设自用充电基础设施、单位在既有停车位建设专用充电基础设施的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可不进行固定资产投资项目备案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不需办理建设用地规划许可证、建设工程规划许可证和施工许可证。</w:t>
      </w:r>
      <w:r>
        <w:rPr>
          <w:rFonts w:hint="eastAsia" w:ascii="Times New Roman" w:hAnsi="Times New Roman" w:eastAsia="仿宋_GB2312" w:cs="Times New Roman"/>
          <w:sz w:val="32"/>
          <w:szCs w:val="32"/>
        </w:rPr>
        <w:t>建设城市公共停车场时，无需为同步建设充电设施单独办理建设工程规划许可证和施工许可证。</w:t>
      </w:r>
      <w:r>
        <w:rPr>
          <w:rFonts w:ascii="Times New Roman" w:hAnsi="Times New Roman" w:eastAsia="仿宋_GB2312" w:cs="Times New Roman"/>
          <w:sz w:val="32"/>
          <w:szCs w:val="32"/>
        </w:rPr>
        <w:t>新建单独占地的集中式充换电站，</w:t>
      </w:r>
      <w:r>
        <w:rPr>
          <w:rFonts w:hint="eastAsia" w:ascii="Times New Roman" w:hAnsi="Times New Roman" w:eastAsia="仿宋_GB2312" w:cs="Times New Roman"/>
          <w:sz w:val="32"/>
          <w:szCs w:val="32"/>
        </w:rPr>
        <w:t>只要</w:t>
      </w:r>
      <w:r>
        <w:rPr>
          <w:rFonts w:ascii="Times New Roman" w:hAnsi="Times New Roman" w:eastAsia="仿宋_GB2312" w:cs="Times New Roman"/>
          <w:sz w:val="32"/>
          <w:szCs w:val="32"/>
        </w:rPr>
        <w:t>符合城市总体规划和土地利用总体规划，</w:t>
      </w:r>
      <w:r>
        <w:rPr>
          <w:rFonts w:hint="eastAsia" w:ascii="Times New Roman" w:hAnsi="Times New Roman" w:eastAsia="仿宋_GB2312" w:cs="Times New Roman"/>
          <w:sz w:val="32"/>
          <w:szCs w:val="32"/>
        </w:rPr>
        <w:t>有关部门应按时从快</w:t>
      </w:r>
      <w:r>
        <w:rPr>
          <w:rFonts w:ascii="Times New Roman" w:hAnsi="Times New Roman" w:eastAsia="仿宋_GB2312" w:cs="Times New Roman"/>
          <w:sz w:val="32"/>
          <w:szCs w:val="32"/>
        </w:rPr>
        <w:t>办理相关建设手续。</w:t>
      </w:r>
      <w:r>
        <w:rPr>
          <w:rFonts w:hint="eastAsia" w:ascii="Times New Roman" w:hAnsi="Times New Roman" w:eastAsia="仿宋_GB2312" w:cs="Times New Roman"/>
          <w:sz w:val="32"/>
          <w:szCs w:val="32"/>
        </w:rPr>
        <w:t>集中式充电站建设雨棚等充电附属设施，在确保不对周边安全等造成不良影响的情况下，可研究简化相关手续。各相关部门要积极办理充电设施建设施工占道、站外电缆敷设等相关手续，主动协调推进施工进度。</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4.保障充电设施建设用地，促进合理布局。</w:t>
      </w:r>
      <w:r>
        <w:rPr>
          <w:rFonts w:hint="eastAsia" w:ascii="Times New Roman" w:hAnsi="Times New Roman" w:eastAsia="仿宋_GB2312" w:cs="Times New Roman"/>
          <w:sz w:val="32"/>
          <w:szCs w:val="32"/>
        </w:rPr>
        <w:t>各地政府应大力支持充电设施建设用地需求，市县“多规合一”和城乡整体规划应考虑充电设施建设需求，将独立占地的集中式充电站用地纳入公用设施营业网点用地，合理规划布局公交、客运等车辆停靠场所，保障公共服务车辆专用充电设施用地。在保障安全的前提下，优先在各类建筑配建停车场、加油加气站、社会公共停车场等场所配建充电设施；探索盘活城区集体用地、遗址保护区等土地资源，增加土地供给渠道。推进利用小区地面车位、地下车库建设公共充电站。对于独立占地的充电设施项目，加快办理项目用地预审和用地报批，优先安排土地供应。</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5.加强供电保障监管。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电网企业应做好配套电网接入，将配套电网建设与改造纳入配电网专项规划。加强对充电设施供用电环节监管，进一步减少用电报装环节和时限，保障充电设施无障碍接入，确保项目及时用电。</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6.强化充电安全管理。</w:t>
      </w:r>
      <w:r>
        <w:rPr>
          <w:rFonts w:hint="eastAsia" w:ascii="Times New Roman" w:hAnsi="Times New Roman" w:eastAsia="仿宋_GB2312" w:cs="Times New Roman"/>
          <w:sz w:val="32"/>
          <w:szCs w:val="32"/>
        </w:rPr>
        <w:t>建立健全充电设施建设运营全过程安全监管机制，明确属地安全监管职责和行业主管部门的协同监管职责。推行充电设施设备准入机制，加快制定充电设施设备安全检测标准，省内安装使用的充电设施产品均应取得合格认证机构出具的认证证书。加强充电设施尤其是大型充电站、地下车库充电设施的消防设计审核、消防验收、备案抽查和日常检查。督促充电设施使用方加强日常巡视管理，充分应用远程监控等智能手段，确保充电设施使用安全。</w:t>
      </w:r>
    </w:p>
    <w:p>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7.加强宣传引导。</w:t>
      </w:r>
      <w:r>
        <w:rPr>
          <w:rFonts w:hint="eastAsia" w:ascii="Times New Roman" w:hAnsi="Times New Roman" w:eastAsia="仿宋_GB2312" w:cs="Times New Roman"/>
          <w:sz w:val="32"/>
          <w:szCs w:val="32"/>
        </w:rPr>
        <w:t>省内各级政府相关部门、电动汽车及充电设施行业相关企业以及新闻媒体等要加大电动汽车及充电设施宣传力度，通过各种渠道积极向广大人民群众宣传发展电动汽车及充电设施的重要意义、国家及省内发展成就、先进技术及发展趋势，引导群众增强对电动汽车的认同感，促进社会各方关心、支持、参与充电设施建设，形成建设充电基础设施的强大合力，促进省内充电基础设施又好又快发展。</w:t>
      </w:r>
    </w:p>
    <w:p>
      <w:pPr>
        <w:pStyle w:val="4"/>
        <w:spacing w:line="580" w:lineRule="exact"/>
        <w:ind w:firstLine="643"/>
      </w:pPr>
      <w:bookmarkStart w:id="94" w:name="_Toc47622949"/>
      <w:bookmarkStart w:id="95" w:name="_Toc12195"/>
      <w:bookmarkStart w:id="96" w:name="_Toc447114647"/>
      <w:bookmarkStart w:id="97" w:name="_Toc21417"/>
      <w:bookmarkStart w:id="98" w:name="_Toc47622950"/>
      <w:r>
        <w:rPr>
          <w:rFonts w:hint="eastAsia"/>
        </w:rPr>
        <w:t>（二）</w:t>
      </w:r>
      <w:r>
        <w:t>规划投资</w:t>
      </w:r>
      <w:bookmarkEnd w:id="94"/>
      <w:bookmarkEnd w:id="95"/>
      <w:bookmarkEnd w:id="96"/>
      <w:bookmarkEnd w:id="97"/>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“十四五”期间，省内充电设施建设及配套电网建设投资共计约108.5亿元。其中充电设施建设投资70.9亿元，配套电网建设投资37.6亿元。</w:t>
      </w:r>
    </w:p>
    <w:p>
      <w:pPr>
        <w:pStyle w:val="5"/>
        <w:spacing w:line="580" w:lineRule="exact"/>
        <w:ind w:firstLine="643"/>
      </w:pPr>
      <w:r>
        <w:rPr>
          <w:rFonts w:hint="eastAsia"/>
        </w:rPr>
        <w:t>1.充电设施建设投资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根据“十四五”充电设施规划规模，测算充电设施建设成本。</w:t>
      </w:r>
    </w:p>
    <w:p>
      <w:pPr>
        <w:pStyle w:val="2"/>
        <w:spacing w:beforeLines="50" w:line="580" w:lineRule="exact"/>
        <w:ind w:firstLine="0" w:firstLineChars="0"/>
        <w:jc w:val="center"/>
        <w:rPr>
          <w:rFonts w:asciiTheme="majorEastAsia" w:hAnsiTheme="majorEastAsia" w:eastAsiaTheme="majorEastAsia" w:cstheme="majorEastAsia"/>
          <w:b/>
          <w:bCs/>
          <w:sz w:val="22"/>
        </w:rPr>
      </w:pPr>
      <w:r>
        <w:rPr>
          <w:rFonts w:hint="eastAsia" w:eastAsia="仿宋_GB2312"/>
          <w:b/>
          <w:bCs/>
          <w:sz w:val="24"/>
        </w:rPr>
        <w:t>表32  单个充电设施建设综合成本</w:t>
      </w:r>
      <w:r>
        <w:rPr>
          <w:rStyle w:val="24"/>
          <w:rFonts w:eastAsiaTheme="majorEastAsia"/>
          <w:b/>
          <w:bCs/>
          <w:sz w:val="22"/>
        </w:rPr>
        <w:footnoteReference w:id="17"/>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1643"/>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23" w:type="dxa"/>
            <w:vAlign w:val="center"/>
          </w:tcPr>
          <w:p>
            <w:pPr>
              <w:pStyle w:val="27"/>
              <w:spacing w:line="300" w:lineRule="exact"/>
              <w:jc w:val="center"/>
              <w:rPr>
                <w:rFonts w:ascii="仿宋" w:hAnsi="仿宋" w:eastAsia="仿宋"/>
              </w:rPr>
            </w:pPr>
            <w:r>
              <w:rPr>
                <w:rFonts w:hint="eastAsia" w:ascii="仿宋" w:hAnsi="仿宋" w:eastAsia="仿宋"/>
              </w:rPr>
              <w:t>类型</w:t>
            </w:r>
          </w:p>
        </w:tc>
        <w:tc>
          <w:tcPr>
            <w:tcW w:w="1643" w:type="dxa"/>
            <w:vAlign w:val="center"/>
          </w:tcPr>
          <w:p>
            <w:pPr>
              <w:pStyle w:val="27"/>
              <w:spacing w:line="300" w:lineRule="exact"/>
              <w:jc w:val="center"/>
              <w:rPr>
                <w:rFonts w:ascii="仿宋" w:hAnsi="仿宋" w:eastAsia="仿宋"/>
              </w:rPr>
            </w:pPr>
            <w:r>
              <w:rPr>
                <w:rFonts w:hint="eastAsia" w:ascii="仿宋" w:hAnsi="仿宋" w:eastAsia="仿宋"/>
              </w:rPr>
              <w:t>充电功率</w:t>
            </w:r>
          </w:p>
        </w:tc>
        <w:tc>
          <w:tcPr>
            <w:tcW w:w="4256" w:type="dxa"/>
            <w:vAlign w:val="center"/>
          </w:tcPr>
          <w:p>
            <w:pPr>
              <w:pStyle w:val="27"/>
              <w:spacing w:line="300" w:lineRule="exact"/>
              <w:jc w:val="center"/>
              <w:rPr>
                <w:rFonts w:ascii="仿宋" w:hAnsi="仿宋" w:eastAsia="仿宋"/>
              </w:rPr>
            </w:pPr>
            <w:r>
              <w:rPr>
                <w:rFonts w:hint="eastAsia" w:ascii="仿宋" w:hAnsi="仿宋" w:eastAsia="仿宋"/>
              </w:rPr>
              <w:t>充电设施建设成本（万元）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23" w:type="dxa"/>
            <w:vAlign w:val="center"/>
          </w:tcPr>
          <w:p>
            <w:pPr>
              <w:pStyle w:val="27"/>
              <w:spacing w:line="300" w:lineRule="exact"/>
              <w:jc w:val="center"/>
              <w:rPr>
                <w:rFonts w:ascii="仿宋" w:hAnsi="仿宋" w:eastAsia="仿宋"/>
              </w:rPr>
            </w:pPr>
            <w:r>
              <w:rPr>
                <w:rFonts w:hint="eastAsia" w:ascii="仿宋" w:hAnsi="仿宋" w:eastAsia="仿宋"/>
              </w:rPr>
              <w:t>交流充电桩</w:t>
            </w:r>
          </w:p>
        </w:tc>
        <w:tc>
          <w:tcPr>
            <w:tcW w:w="1643" w:type="dxa"/>
            <w:vAlign w:val="center"/>
          </w:tcPr>
          <w:p>
            <w:pPr>
              <w:pStyle w:val="27"/>
              <w:spacing w:line="300" w:lineRule="exact"/>
              <w:jc w:val="center"/>
            </w:pPr>
            <w:r>
              <w:rPr>
                <w:rFonts w:hint="eastAsia"/>
              </w:rPr>
              <w:t>7kW</w:t>
            </w:r>
          </w:p>
        </w:tc>
        <w:tc>
          <w:tcPr>
            <w:tcW w:w="4256" w:type="dxa"/>
            <w:vAlign w:val="center"/>
          </w:tcPr>
          <w:p>
            <w:pPr>
              <w:pStyle w:val="27"/>
              <w:spacing w:line="300" w:lineRule="exact"/>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23" w:type="dxa"/>
            <w:vAlign w:val="center"/>
          </w:tcPr>
          <w:p>
            <w:pPr>
              <w:pStyle w:val="27"/>
              <w:spacing w:line="300" w:lineRule="exact"/>
              <w:jc w:val="center"/>
              <w:rPr>
                <w:rFonts w:ascii="仿宋" w:hAnsi="仿宋" w:eastAsia="仿宋"/>
              </w:rPr>
            </w:pPr>
            <w:r>
              <w:rPr>
                <w:rFonts w:hint="eastAsia" w:ascii="仿宋" w:hAnsi="仿宋" w:eastAsia="仿宋"/>
              </w:rPr>
              <w:t>直流充电桩</w:t>
            </w:r>
          </w:p>
        </w:tc>
        <w:tc>
          <w:tcPr>
            <w:tcW w:w="1643" w:type="dxa"/>
            <w:vAlign w:val="center"/>
          </w:tcPr>
          <w:p>
            <w:pPr>
              <w:pStyle w:val="27"/>
              <w:spacing w:line="300" w:lineRule="exact"/>
              <w:jc w:val="center"/>
            </w:pPr>
            <w:r>
              <w:rPr>
                <w:rFonts w:hint="eastAsia"/>
              </w:rPr>
              <w:t>20kW</w:t>
            </w:r>
          </w:p>
        </w:tc>
        <w:tc>
          <w:tcPr>
            <w:tcW w:w="4256" w:type="dxa"/>
            <w:vAlign w:val="center"/>
          </w:tcPr>
          <w:p>
            <w:pPr>
              <w:pStyle w:val="27"/>
              <w:spacing w:line="300" w:lineRule="exact"/>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23" w:type="dxa"/>
            <w:vAlign w:val="center"/>
          </w:tcPr>
          <w:p>
            <w:pPr>
              <w:pStyle w:val="27"/>
              <w:spacing w:line="300" w:lineRule="exact"/>
              <w:jc w:val="center"/>
              <w:rPr>
                <w:rFonts w:ascii="仿宋" w:hAnsi="仿宋" w:eastAsia="仿宋"/>
              </w:rPr>
            </w:pPr>
            <w:r>
              <w:rPr>
                <w:rFonts w:hint="eastAsia" w:ascii="仿宋" w:hAnsi="仿宋" w:eastAsia="仿宋"/>
              </w:rPr>
              <w:t>直流充电桩</w:t>
            </w:r>
          </w:p>
        </w:tc>
        <w:tc>
          <w:tcPr>
            <w:tcW w:w="1643" w:type="dxa"/>
            <w:vAlign w:val="center"/>
          </w:tcPr>
          <w:p>
            <w:pPr>
              <w:pStyle w:val="27"/>
              <w:spacing w:line="300" w:lineRule="exact"/>
              <w:jc w:val="center"/>
            </w:pPr>
            <w:r>
              <w:rPr>
                <w:rFonts w:hint="eastAsia"/>
              </w:rPr>
              <w:t>60kW</w:t>
            </w:r>
          </w:p>
        </w:tc>
        <w:tc>
          <w:tcPr>
            <w:tcW w:w="4256" w:type="dxa"/>
            <w:vAlign w:val="center"/>
          </w:tcPr>
          <w:p>
            <w:pPr>
              <w:pStyle w:val="27"/>
              <w:spacing w:line="300" w:lineRule="exact"/>
              <w:jc w:val="center"/>
            </w:pPr>
            <w:r>
              <w:rPr>
                <w:rFonts w:hint="eastAsia"/>
              </w:rPr>
              <w:t>14</w:t>
            </w:r>
          </w:p>
        </w:tc>
      </w:tr>
    </w:tbl>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经测算，陕西省“十四五”充电设施建设投资70.9亿元（不含土地及电网接入费用）。</w:t>
      </w:r>
    </w:p>
    <w:p>
      <w:pPr>
        <w:pStyle w:val="2"/>
        <w:spacing w:beforeLines="50" w:line="580" w:lineRule="exact"/>
        <w:ind w:firstLine="0" w:firstLineChars="0"/>
        <w:jc w:val="center"/>
        <w:rPr>
          <w:rFonts w:eastAsia="仿宋_GB2312"/>
          <w:b/>
          <w:bCs/>
          <w:sz w:val="24"/>
        </w:rPr>
      </w:pPr>
      <w:r>
        <w:rPr>
          <w:rFonts w:hint="eastAsia" w:eastAsia="仿宋_GB2312"/>
          <w:b/>
          <w:bCs/>
          <w:sz w:val="24"/>
        </w:rPr>
        <w:t>表</w:t>
      </w:r>
      <w:r>
        <w:rPr>
          <w:rFonts w:eastAsia="仿宋_GB2312"/>
          <w:b/>
          <w:bCs/>
          <w:sz w:val="24"/>
        </w:rPr>
        <w:t>33</w:t>
      </w:r>
      <w:r>
        <w:rPr>
          <w:rFonts w:hint="eastAsia" w:eastAsia="仿宋_GB2312"/>
          <w:b/>
          <w:bCs/>
          <w:sz w:val="24"/>
        </w:rPr>
        <w:t xml:space="preserve">  陕西省“十四五”充电设施规划投资估算</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2" w:type="dxa"/>
            <w:vAlign w:val="center"/>
          </w:tcPr>
          <w:p>
            <w:pPr>
              <w:pStyle w:val="27"/>
              <w:spacing w:line="300" w:lineRule="exact"/>
              <w:jc w:val="center"/>
              <w:rPr>
                <w:rFonts w:ascii="仿宋" w:hAnsi="仿宋" w:eastAsia="仿宋"/>
              </w:rPr>
            </w:pPr>
            <w:r>
              <w:rPr>
                <w:rFonts w:hint="eastAsia" w:ascii="仿宋" w:hAnsi="仿宋" w:eastAsia="仿宋"/>
              </w:rPr>
              <w:t>类型</w:t>
            </w:r>
          </w:p>
        </w:tc>
        <w:tc>
          <w:tcPr>
            <w:tcW w:w="4970" w:type="dxa"/>
            <w:vAlign w:val="center"/>
          </w:tcPr>
          <w:p>
            <w:pPr>
              <w:pStyle w:val="27"/>
              <w:spacing w:line="300" w:lineRule="exact"/>
              <w:jc w:val="center"/>
              <w:rPr>
                <w:rFonts w:ascii="仿宋" w:hAnsi="仿宋" w:eastAsia="仿宋"/>
              </w:rPr>
            </w:pPr>
            <w:r>
              <w:rPr>
                <w:rFonts w:hint="eastAsia" w:ascii="仿宋" w:hAnsi="仿宋" w:eastAsia="仿宋"/>
              </w:rPr>
              <w:t>“十四五”规划投资（亿元）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2" w:type="dxa"/>
            <w:vAlign w:val="center"/>
          </w:tcPr>
          <w:p>
            <w:pPr>
              <w:pStyle w:val="27"/>
              <w:spacing w:line="300" w:lineRule="exact"/>
              <w:jc w:val="center"/>
              <w:rPr>
                <w:rFonts w:ascii="仿宋" w:hAnsi="仿宋" w:eastAsia="仿宋"/>
              </w:rPr>
            </w:pPr>
            <w:r>
              <w:rPr>
                <w:rFonts w:hint="eastAsia" w:ascii="仿宋" w:hAnsi="仿宋" w:eastAsia="仿宋"/>
              </w:rPr>
              <w:t>专用充电设施</w:t>
            </w:r>
          </w:p>
        </w:tc>
        <w:tc>
          <w:tcPr>
            <w:tcW w:w="4970" w:type="dxa"/>
            <w:vAlign w:val="center"/>
          </w:tcPr>
          <w:p>
            <w:pPr>
              <w:pStyle w:val="27"/>
              <w:spacing w:line="300" w:lineRule="exact"/>
              <w:jc w:val="center"/>
            </w:pPr>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2" w:type="dxa"/>
            <w:vAlign w:val="center"/>
          </w:tcPr>
          <w:p>
            <w:pPr>
              <w:pStyle w:val="27"/>
              <w:spacing w:line="300" w:lineRule="exact"/>
              <w:jc w:val="center"/>
              <w:rPr>
                <w:rFonts w:ascii="仿宋" w:hAnsi="仿宋" w:eastAsia="仿宋"/>
              </w:rPr>
            </w:pPr>
            <w:r>
              <w:rPr>
                <w:rFonts w:hint="eastAsia" w:ascii="仿宋" w:hAnsi="仿宋" w:eastAsia="仿宋"/>
              </w:rPr>
              <w:t>公共充电设施</w:t>
            </w:r>
          </w:p>
        </w:tc>
        <w:tc>
          <w:tcPr>
            <w:tcW w:w="4970" w:type="dxa"/>
            <w:vAlign w:val="center"/>
          </w:tcPr>
          <w:p>
            <w:pPr>
              <w:pStyle w:val="27"/>
              <w:spacing w:line="300" w:lineRule="exact"/>
              <w:jc w:val="center"/>
            </w:pPr>
            <w:r>
              <w:rPr>
                <w:rFonts w:hint="eastAsia"/>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2" w:type="dxa"/>
            <w:vAlign w:val="center"/>
          </w:tcPr>
          <w:p>
            <w:pPr>
              <w:pStyle w:val="27"/>
              <w:spacing w:line="300" w:lineRule="exact"/>
              <w:jc w:val="center"/>
              <w:rPr>
                <w:rFonts w:ascii="仿宋" w:hAnsi="仿宋" w:eastAsia="仿宋"/>
              </w:rPr>
            </w:pPr>
            <w:r>
              <w:rPr>
                <w:rFonts w:hint="eastAsia" w:ascii="仿宋" w:hAnsi="仿宋" w:eastAsia="仿宋"/>
              </w:rPr>
              <w:t>私人及公务充电设施</w:t>
            </w:r>
          </w:p>
        </w:tc>
        <w:tc>
          <w:tcPr>
            <w:tcW w:w="4970" w:type="dxa"/>
            <w:vAlign w:val="center"/>
          </w:tcPr>
          <w:p>
            <w:pPr>
              <w:pStyle w:val="27"/>
              <w:spacing w:line="300" w:lineRule="exact"/>
              <w:jc w:val="center"/>
            </w:pPr>
            <w:r>
              <w:rPr>
                <w:rFonts w:hint="eastAsi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2" w:type="dxa"/>
            <w:vAlign w:val="center"/>
          </w:tcPr>
          <w:p>
            <w:pPr>
              <w:pStyle w:val="27"/>
              <w:spacing w:line="300" w:lineRule="exact"/>
              <w:jc w:val="center"/>
              <w:rPr>
                <w:rFonts w:ascii="仿宋" w:hAnsi="仿宋" w:eastAsia="仿宋"/>
              </w:rPr>
            </w:pPr>
            <w:r>
              <w:rPr>
                <w:rFonts w:hint="eastAsia" w:ascii="仿宋" w:hAnsi="仿宋" w:eastAsia="仿宋"/>
              </w:rPr>
              <w:t>合计</w:t>
            </w:r>
          </w:p>
        </w:tc>
        <w:tc>
          <w:tcPr>
            <w:tcW w:w="4970" w:type="dxa"/>
            <w:vAlign w:val="center"/>
          </w:tcPr>
          <w:p>
            <w:pPr>
              <w:pStyle w:val="27"/>
              <w:spacing w:line="300" w:lineRule="exact"/>
              <w:jc w:val="center"/>
            </w:pPr>
            <w:r>
              <w:rPr>
                <w:rFonts w:hint="eastAsia"/>
              </w:rPr>
              <w:t>70.9</w:t>
            </w:r>
          </w:p>
        </w:tc>
      </w:tr>
    </w:tbl>
    <w:p>
      <w:pPr>
        <w:rPr>
          <w:szCs w:val="22"/>
        </w:rPr>
      </w:pPr>
    </w:p>
    <w:p>
      <w:pPr>
        <w:rPr>
          <w:szCs w:val="22"/>
        </w:rPr>
      </w:pPr>
      <w:r>
        <w:rPr>
          <w:szCs w:val="22"/>
        </w:rPr>
        <w:drawing>
          <wp:inline distT="0" distB="0" distL="0" distR="0">
            <wp:extent cx="5255260" cy="2194560"/>
            <wp:effectExtent l="0" t="0" r="0" b="0"/>
            <wp:docPr id="63"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26"/>
        <w:spacing w:afterLines="50" w:line="580" w:lineRule="exact"/>
        <w:rPr>
          <w:rFonts w:eastAsia="仿宋_GB2312"/>
          <w:bCs/>
          <w:sz w:val="24"/>
          <w:szCs w:val="24"/>
        </w:rPr>
      </w:pPr>
      <w:r>
        <w:rPr>
          <w:rFonts w:eastAsia="仿宋_GB2312"/>
          <w:bCs/>
          <w:sz w:val="24"/>
          <w:szCs w:val="24"/>
        </w:rPr>
        <w:t>图</w:t>
      </w:r>
      <w:r>
        <w:rPr>
          <w:rFonts w:hint="eastAsia" w:eastAsia="仿宋_GB2312"/>
          <w:bCs/>
          <w:sz w:val="24"/>
          <w:szCs w:val="24"/>
        </w:rPr>
        <w:t xml:space="preserve">28  </w:t>
      </w:r>
      <w:r>
        <w:rPr>
          <w:rFonts w:eastAsia="仿宋_GB2312"/>
          <w:bCs/>
          <w:sz w:val="24"/>
          <w:szCs w:val="24"/>
        </w:rPr>
        <w:t>陕西省“十四五”充电设施规划投资估算（亿元）</w:t>
      </w:r>
    </w:p>
    <w:p>
      <w:pPr>
        <w:pStyle w:val="5"/>
        <w:spacing w:line="580" w:lineRule="exact"/>
        <w:ind w:firstLine="643"/>
      </w:pPr>
      <w:r>
        <w:rPr>
          <w:rFonts w:hint="eastAsia"/>
        </w:rPr>
        <w:t>2.配套电网建设投资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设定城市公共充电站、公交车充电站、客运车辆充电站、工程车辆充电站均为每站含30台60kW直流充电桩的标准充电桩，每站采用10kV电缆接入，接入线路长度约1.5千米，单站接入按100万元计算。高速服务区充电站采用单回架空接入，接入线路长度约3千米，单站接入按照50万元计算。</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kW小功率直流充电桩采用</w:t>
      </w: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0V接入，每桩接入费用约</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万元。7kW交通充电桩采用220V接入，每桩接入费用约0.5万元。</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（3）西安地区110kV变电站建设成本单站按照1.5亿元计算。</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经计算，“十四五”期间充电设施直接接入电网需配套建设投资37.6亿元。</w:t>
      </w:r>
    </w:p>
    <w:p>
      <w:pPr>
        <w:pStyle w:val="4"/>
        <w:spacing w:line="580" w:lineRule="exact"/>
        <w:ind w:firstLine="643"/>
        <w:rPr>
          <w:rFonts w:eastAsia="仿宋_GB2312"/>
        </w:rPr>
      </w:pPr>
      <w:bookmarkStart w:id="99" w:name="_Toc803"/>
      <w:bookmarkStart w:id="100" w:name="_Toc29857"/>
      <w:r>
        <w:rPr>
          <w:rFonts w:hint="eastAsia"/>
        </w:rPr>
        <w:t>（三）实施效果</w:t>
      </w:r>
      <w:bookmarkEnd w:id="98"/>
      <w:bookmarkEnd w:id="99"/>
      <w:bookmarkEnd w:id="100"/>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本规划实施后，将充分满足省内“十四五”期间预期规模电动汽车充电需求，整体上实现便捷、安全充电，保障电动汽车畅通出行，从源头上刺激、带动电动汽车全产业链发展，为经济社会发展提供新的增长点。</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按照每辆电动公交车</w:t>
      </w:r>
      <w:r>
        <w:rPr>
          <w:rFonts w:ascii="Times New Roman" w:hAnsi="Times New Roman" w:eastAsia="仿宋_GB2312" w:cs="Times New Roman"/>
          <w:sz w:val="32"/>
          <w:szCs w:val="32"/>
        </w:rPr>
        <w:t>110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辆、电动巡游出租车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辆、电动网约出租车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辆、电动物流车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辆、电动环卫车</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辆、电动客车</w:t>
      </w:r>
      <w:r>
        <w:rPr>
          <w:rFonts w:ascii="Times New Roman" w:hAnsi="Times New Roman" w:eastAsia="仿宋_GB2312" w:cs="Times New Roman"/>
          <w:sz w:val="32"/>
          <w:szCs w:val="32"/>
        </w:rPr>
        <w:t>110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辆、电动工程车</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辆、电动私人及公务车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辆计算，“十四五”期间可拉动省内电动汽车消费约905亿元。</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“十四五”期间，根据上文中各类型车辆行驶里程和单位里程电耗，陕西省通过推广电动汽车可实现累计充电电量约</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50亿度，节约燃油约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7亿升，按照燃烧</w:t>
      </w:r>
      <w:r>
        <w:rPr>
          <w:rFonts w:ascii="Times New Roman" w:hAnsi="Times New Roman" w:eastAsia="仿宋_GB2312" w:cs="Times New Roman"/>
          <w:sz w:val="32"/>
          <w:szCs w:val="32"/>
        </w:rPr>
        <w:t>1L</w:t>
      </w:r>
      <w:r>
        <w:rPr>
          <w:rFonts w:hint="eastAsia" w:ascii="Times New Roman" w:hAnsi="Times New Roman" w:eastAsia="仿宋_GB2312" w:cs="Times New Roman"/>
          <w:sz w:val="32"/>
          <w:szCs w:val="32"/>
        </w:rPr>
        <w:t>汽油产生</w:t>
      </w:r>
      <w:r>
        <w:rPr>
          <w:rFonts w:ascii="Times New Roman" w:hAnsi="Times New Roman" w:eastAsia="仿宋_GB2312" w:cs="Times New Roman"/>
          <w:sz w:val="32"/>
          <w:szCs w:val="32"/>
        </w:rPr>
        <w:t>2.3kg</w:t>
      </w:r>
      <w:r>
        <w:rPr>
          <w:rFonts w:hint="eastAsia" w:ascii="Times New Roman" w:hAnsi="Times New Roman" w:eastAsia="仿宋_GB2312" w:cs="Times New Roman"/>
          <w:sz w:val="32"/>
          <w:szCs w:val="32"/>
        </w:rPr>
        <w:t>二氧化碳计算，使用地二氧化碳减排</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90万吨，同时能够减少尾气排放，降低城市噪声，为建设美丽陕西做出贡献。</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文本框 3" o:spid="_x0000_s4097" o:spt="202" type="#_x0000_t202" style="position:absolute;left:0pt;margin-top:0pt;height:26.7pt;width:30.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">
          <v:path/>
          <v:fill on="f" focussize="0,0"/>
          <v:stroke on="f" joinstyle="miter"/>
          <v:imagedata o:title=""/>
          <o:lock v:ext="edit"/>
          <v:textbox inset="0mm,0mm,0mm,0mm" style="mso-fit-shape-to-text:t;">
            <w:txbxContent>
              <w:sdt>
                <w:sdtPr>
                  <w:id w:val="-1777556680"/>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58</w:t>
                    </w:r>
                    <w:r>
                      <w:rPr>
                        <w:rFonts w:ascii="Times New Roman" w:hAnsi="Times New Roman" w:cs="Times New Roman"/>
                        <w:sz w:val="24"/>
                        <w:szCs w:val="24"/>
                        <w:lang w:val="zh-CN"/>
                      </w:rPr>
                      <w:fldChar w:fldCharType="end"/>
                    </w:r>
                  </w:p>
                </w:sdtContent>
              </w:sdt>
              <w:p>
                <w:pPr>
                  <w:pStyle w:val="2"/>
                </w:pPr>
              </w:p>
            </w:txbxContent>
          </v:textbox>
        </v:shape>
      </w:pic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pPr>
        <w:pStyle w:val="14"/>
      </w:pPr>
      <w:r>
        <w:rPr>
          <w:rStyle w:val="24"/>
          <w:rFonts w:ascii="Times New Roman" w:hAnsi="Times New Roman" w:cs="Times New Roman"/>
        </w:rPr>
        <w:footnoteRef/>
      </w:r>
      <w:r>
        <w:rPr>
          <w:rFonts w:hint="eastAsia"/>
        </w:rPr>
        <w:t>该段数据来源于公安部交通管理局网站数据。</w:t>
      </w:r>
    </w:p>
  </w:footnote>
  <w:footnote w:id="1">
    <w:p>
      <w:pPr>
        <w:pStyle w:val="14"/>
        <w:rPr>
          <w:rFonts w:ascii="Times New Roman" w:hAnsi="Times New Roman" w:cs="Times New Roman"/>
        </w:rPr>
      </w:pPr>
      <w:r>
        <w:rPr>
          <w:rStyle w:val="24"/>
          <w:rFonts w:ascii="Times New Roman" w:hAnsi="Times New Roman" w:cs="Times New Roman"/>
        </w:rPr>
        <w:footnoteRef/>
      </w:r>
      <w:r>
        <w:rPr>
          <w:rFonts w:ascii="Times New Roman" w:cs="Times New Roman"/>
        </w:rPr>
        <w:t>表中公交、出租、环卫车辆数据来源于省工信厅，其他车辆数据来源于调研。</w:t>
      </w:r>
    </w:p>
  </w:footnote>
  <w:footnote w:id="2">
    <w:p>
      <w:pPr>
        <w:pStyle w:val="14"/>
      </w:pPr>
      <w:r>
        <w:rPr>
          <w:rStyle w:val="24"/>
          <w:rFonts w:ascii="Times New Roman" w:hAnsi="Times New Roman" w:cs="Times New Roman"/>
        </w:rPr>
        <w:footnoteRef/>
      </w:r>
      <w:r>
        <w:rPr>
          <w:rFonts w:hint="eastAsia"/>
        </w:rPr>
        <w:t>省交通厅提供数据。</w:t>
      </w:r>
    </w:p>
  </w:footnote>
  <w:footnote w:id="3">
    <w:p>
      <w:pPr>
        <w:pStyle w:val="14"/>
      </w:pPr>
      <w:r>
        <w:rPr>
          <w:rStyle w:val="24"/>
          <w:rFonts w:ascii="Times New Roman" w:hAnsi="Times New Roman" w:cs="Times New Roman"/>
        </w:rPr>
        <w:footnoteRef/>
      </w:r>
      <w:r>
        <w:rPr>
          <w:rFonts w:hint="eastAsia"/>
        </w:rPr>
        <w:t>该段数据来源于调研掌握资料。</w:t>
      </w:r>
    </w:p>
  </w:footnote>
  <w:footnote w:id="4">
    <w:p>
      <w:pPr>
        <w:pStyle w:val="14"/>
      </w:pPr>
      <w:r>
        <w:rPr>
          <w:rStyle w:val="24"/>
          <w:rFonts w:ascii="Times New Roman" w:hAnsi="Times New Roman" w:cs="Times New Roman"/>
        </w:rPr>
        <w:footnoteRef/>
      </w:r>
      <w:r>
        <w:rPr>
          <w:rFonts w:hint="eastAsia"/>
        </w:rPr>
        <w:t>按照单个</w:t>
      </w:r>
      <w:r>
        <w:rPr>
          <w:rFonts w:ascii="Times New Roman" w:hAnsi="Times New Roman" w:cs="Times New Roman"/>
        </w:rPr>
        <w:t>60kW</w:t>
      </w:r>
      <w:r>
        <w:rPr>
          <w:rFonts w:ascii="Times New Roman" w:cs="Times New Roman"/>
        </w:rPr>
        <w:t>直流充电桩综合建设成本为</w:t>
      </w:r>
      <w:r>
        <w:rPr>
          <w:rFonts w:ascii="Times New Roman" w:hAnsi="Times New Roman" w:cs="Times New Roman"/>
        </w:rPr>
        <w:t>8</w:t>
      </w:r>
      <w:r>
        <w:rPr>
          <w:rFonts w:ascii="Times New Roman" w:cs="Times New Roman"/>
        </w:rPr>
        <w:t>万元，充电设施利用率为</w:t>
      </w:r>
      <w:r>
        <w:rPr>
          <w:rFonts w:ascii="Times New Roman" w:hAnsi="Times New Roman" w:cs="Times New Roman"/>
        </w:rPr>
        <w:t>10%</w:t>
      </w:r>
      <w:r>
        <w:rPr>
          <w:rFonts w:ascii="Times New Roman" w:cs="Times New Roman"/>
        </w:rPr>
        <w:t>，充电服务费</w:t>
      </w:r>
      <w:r>
        <w:rPr>
          <w:rFonts w:ascii="Times New Roman" w:hAnsi="Times New Roman" w:cs="Times New Roman"/>
        </w:rPr>
        <w:t>0.4</w:t>
      </w:r>
      <w:r>
        <w:rPr>
          <w:rFonts w:ascii="Times New Roman" w:cs="Times New Roman"/>
        </w:rPr>
        <w:t>元</w:t>
      </w:r>
      <w:r>
        <w:rPr>
          <w:rFonts w:ascii="Times New Roman" w:hAnsi="Times New Roman" w:cs="Times New Roman"/>
        </w:rPr>
        <w:t>/</w:t>
      </w:r>
      <w:r>
        <w:rPr>
          <w:rFonts w:ascii="Times New Roman" w:cs="Times New Roman"/>
        </w:rPr>
        <w:t>度，不计人工成本</w:t>
      </w:r>
      <w:r>
        <w:rPr>
          <w:rFonts w:hint="eastAsia"/>
        </w:rPr>
        <w:t>。</w:t>
      </w:r>
    </w:p>
  </w:footnote>
  <w:footnote w:id="5">
    <w:p>
      <w:pPr>
        <w:pStyle w:val="14"/>
      </w:pPr>
      <w:r>
        <w:rPr>
          <w:rStyle w:val="24"/>
          <w:rFonts w:ascii="Times New Roman" w:hAnsi="Times New Roman" w:cs="Times New Roman"/>
        </w:rPr>
        <w:footnoteRef/>
      </w:r>
      <w:r>
        <w:rPr>
          <w:rFonts w:hint="eastAsia"/>
        </w:rPr>
        <w:t>该表数据来源于国家统计局网站</w:t>
      </w:r>
    </w:p>
  </w:footnote>
  <w:footnote w:id="6">
    <w:p>
      <w:pPr>
        <w:pStyle w:val="14"/>
      </w:pPr>
      <w:r>
        <w:rPr>
          <w:rStyle w:val="24"/>
          <w:rFonts w:ascii="Times New Roman" w:hAnsi="Times New Roman" w:cs="Times New Roman"/>
        </w:rPr>
        <w:footnoteRef/>
      </w:r>
      <w:r>
        <w:rPr>
          <w:rFonts w:hint="eastAsia"/>
        </w:rPr>
        <w:t>该表数据来源于国家统计局网站</w:t>
      </w:r>
    </w:p>
  </w:footnote>
  <w:footnote w:id="7">
    <w:p>
      <w:r>
        <w:rPr>
          <w:rStyle w:val="24"/>
          <w:rFonts w:ascii="Times New Roman" w:hAnsi="Times New Roman" w:cs="Times New Roman"/>
        </w:rPr>
        <w:footnoteRef/>
      </w:r>
      <w:r>
        <w:rPr>
          <w:rFonts w:ascii="Times New Roman" w:cs="Times New Roman"/>
          <w:sz w:val="18"/>
          <w:szCs w:val="18"/>
        </w:rPr>
        <w:t>国家《新能源汽车产业发展规划（</w:t>
      </w:r>
      <w:r>
        <w:rPr>
          <w:rFonts w:ascii="Times New Roman" w:hAnsi="Times New Roman" w:cs="Times New Roman"/>
          <w:sz w:val="18"/>
          <w:szCs w:val="18"/>
        </w:rPr>
        <w:t>2021—2035</w:t>
      </w:r>
      <w:r>
        <w:rPr>
          <w:rFonts w:ascii="Times New Roman" w:cs="Times New Roman"/>
          <w:sz w:val="18"/>
          <w:szCs w:val="18"/>
        </w:rPr>
        <w:t>年）》提出要继续坚持坚持电动化发展方向；同时根据中国汽车工业协会统计，</w:t>
      </w:r>
      <w:r>
        <w:rPr>
          <w:rFonts w:ascii="Times New Roman" w:hAnsi="Times New Roman" w:cs="Times New Roman"/>
          <w:sz w:val="18"/>
          <w:szCs w:val="18"/>
        </w:rPr>
        <w:t>2020</w:t>
      </w:r>
      <w:r>
        <w:rPr>
          <w:rFonts w:ascii="Times New Roman" w:cs="Times New Roman"/>
          <w:sz w:val="18"/>
          <w:szCs w:val="18"/>
        </w:rPr>
        <w:t>年前</w:t>
      </w:r>
      <w:r>
        <w:rPr>
          <w:rFonts w:ascii="Times New Roman" w:hAnsi="Times New Roman" w:cs="Times New Roman"/>
          <w:sz w:val="18"/>
          <w:szCs w:val="18"/>
        </w:rPr>
        <w:t>11</w:t>
      </w:r>
      <w:r>
        <w:rPr>
          <w:rFonts w:ascii="Times New Roman" w:cs="Times New Roman"/>
          <w:sz w:val="18"/>
          <w:szCs w:val="18"/>
        </w:rPr>
        <w:t>个月新能源汽车销量中纯电动汽车及插电式混合动力汽车销量占比达到</w:t>
      </w:r>
      <w:r>
        <w:rPr>
          <w:rFonts w:ascii="Times New Roman" w:hAnsi="Times New Roman" w:cs="Times New Roman"/>
          <w:sz w:val="18"/>
          <w:szCs w:val="18"/>
        </w:rPr>
        <w:t>99.91%</w:t>
      </w:r>
      <w:r>
        <w:rPr>
          <w:rFonts w:ascii="Times New Roman" w:cs="Times New Roman"/>
          <w:sz w:val="18"/>
          <w:szCs w:val="18"/>
        </w:rPr>
        <w:t>，因</w:t>
      </w:r>
      <w:r>
        <w:rPr>
          <w:rFonts w:hint="eastAsia"/>
          <w:sz w:val="18"/>
          <w:szCs w:val="18"/>
        </w:rPr>
        <w:t>此本文中预测分析中新能源汽车部分相关数据与电动汽车数据不做区分。</w:t>
      </w:r>
    </w:p>
  </w:footnote>
  <w:footnote w:id="8">
    <w:p>
      <w:pPr>
        <w:pStyle w:val="14"/>
      </w:pPr>
      <w:r>
        <w:rPr>
          <w:rStyle w:val="24"/>
          <w:rFonts w:ascii="Times New Roman" w:hAnsi="Times New Roman" w:cs="Times New Roman"/>
        </w:rPr>
        <w:footnoteRef/>
      </w:r>
      <w:r>
        <w:rPr>
          <w:rFonts w:hint="eastAsia"/>
        </w:rPr>
        <w:t>数据来源于陕西省统计年鉴</w:t>
      </w:r>
    </w:p>
  </w:footnote>
  <w:footnote w:id="9">
    <w:p>
      <w:pPr>
        <w:pStyle w:val="14"/>
      </w:pPr>
      <w:r>
        <w:rPr>
          <w:rStyle w:val="24"/>
          <w:rFonts w:ascii="Times New Roman" w:hAnsi="Times New Roman" w:cs="Times New Roman"/>
        </w:rPr>
        <w:footnoteRef/>
      </w:r>
      <w:r>
        <w:rPr>
          <w:rFonts w:hint="eastAsia"/>
        </w:rPr>
        <w:t>数据为调研掌握</w:t>
      </w:r>
    </w:p>
  </w:footnote>
  <w:footnote w:id="10">
    <w:p>
      <w:pPr>
        <w:pStyle w:val="14"/>
      </w:pPr>
      <w:r>
        <w:rPr>
          <w:rStyle w:val="24"/>
          <w:rFonts w:ascii="Times New Roman" w:hAnsi="Times New Roman" w:cs="Times New Roman"/>
        </w:rPr>
        <w:footnoteRef/>
      </w:r>
      <w:r>
        <w:rPr>
          <w:rFonts w:hint="eastAsia"/>
        </w:rPr>
        <w:t>数据来源于省工信厅</w:t>
      </w:r>
    </w:p>
  </w:footnote>
  <w:footnote w:id="11">
    <w:p>
      <w:pPr>
        <w:pStyle w:val="14"/>
      </w:pPr>
      <w:r>
        <w:rPr>
          <w:rStyle w:val="24"/>
          <w:rFonts w:ascii="Times New Roman" w:hAnsi="Times New Roman" w:cs="Times New Roman"/>
        </w:rPr>
        <w:footnoteRef/>
      </w:r>
      <w:r>
        <w:rPr>
          <w:rFonts w:hint="eastAsia"/>
        </w:rPr>
        <w:t>表中公交、出租、环卫车辆数据来源于省工信厅，其他车辆数据来源于调研。</w:t>
      </w:r>
    </w:p>
  </w:footnote>
  <w:footnote w:id="12">
    <w:p>
      <w:pPr>
        <w:pStyle w:val="14"/>
        <w:rPr>
          <w:rFonts w:ascii="Times New Roman" w:hAnsi="Times New Roman" w:cs="Times New Roman"/>
        </w:rPr>
      </w:pPr>
      <w:r>
        <w:rPr>
          <w:rStyle w:val="24"/>
          <w:rFonts w:ascii="Times New Roman" w:hAnsi="Times New Roman" w:cs="Times New Roman"/>
        </w:rPr>
        <w:footnoteRef/>
      </w:r>
      <w:r>
        <w:rPr>
          <w:rFonts w:hint="eastAsia"/>
        </w:rPr>
        <w:t>公交车每天</w:t>
      </w:r>
      <w:r>
        <w:rPr>
          <w:rFonts w:ascii="Times New Roman" w:cs="Times New Roman"/>
        </w:rPr>
        <w:t>一般晚上正常充电</w:t>
      </w:r>
      <w:r>
        <w:rPr>
          <w:rFonts w:ascii="Times New Roman" w:hAnsi="Times New Roman" w:cs="Times New Roman"/>
        </w:rPr>
        <w:t>1</w:t>
      </w:r>
      <w:r>
        <w:rPr>
          <w:rFonts w:ascii="Times New Roman" w:cs="Times New Roman"/>
        </w:rPr>
        <w:t>次，需</w:t>
      </w:r>
      <w:r>
        <w:rPr>
          <w:rFonts w:ascii="Times New Roman" w:hAnsi="Times New Roman" w:cs="Times New Roman"/>
        </w:rPr>
        <w:t>2</w:t>
      </w:r>
      <w:r>
        <w:rPr>
          <w:rFonts w:ascii="Times New Roman" w:cs="Times New Roman"/>
        </w:rPr>
        <w:t>小时</w:t>
      </w:r>
      <w:r>
        <w:rPr>
          <w:rFonts w:hint="eastAsia" w:ascii="Times New Roman" w:cs="Times New Roman"/>
        </w:rPr>
        <w:t>左右</w:t>
      </w:r>
      <w:r>
        <w:rPr>
          <w:rFonts w:ascii="Times New Roman" w:cs="Times New Roman"/>
        </w:rPr>
        <w:t>，白天根据需要补电一次，</w:t>
      </w:r>
      <w:r>
        <w:rPr>
          <w:rFonts w:hint="eastAsia" w:ascii="Times New Roman" w:cs="Times New Roman"/>
        </w:rPr>
        <w:t>根据调研了解，</w:t>
      </w:r>
      <w:r>
        <w:rPr>
          <w:rFonts w:ascii="Times New Roman" w:cs="Times New Roman"/>
        </w:rPr>
        <w:t>按照车桩比</w:t>
      </w:r>
      <w:r>
        <w:rPr>
          <w:rFonts w:hint="eastAsia" w:ascii="Times New Roman" w:hAnsi="Times New Roman" w:cs="Times New Roman"/>
        </w:rPr>
        <w:t>3</w:t>
      </w:r>
      <w:r>
        <w:rPr>
          <w:rFonts w:ascii="Times New Roman" w:hAnsi="Times New Roman" w:cs="Times New Roman"/>
        </w:rPr>
        <w:t>:1</w:t>
      </w:r>
      <w:r>
        <w:rPr>
          <w:rFonts w:ascii="Times New Roman" w:cs="Times New Roman"/>
        </w:rPr>
        <w:t>建设充电桩，能够公交车充电需求；其他车辆使用时长一般少于公交车，按照车桩比</w:t>
      </w:r>
      <w:r>
        <w:rPr>
          <w:rFonts w:hint="eastAsia" w:ascii="Times New Roman" w:hAnsi="Times New Roman" w:cs="Times New Roman"/>
        </w:rPr>
        <w:t>3</w:t>
      </w:r>
      <w:r>
        <w:rPr>
          <w:rFonts w:ascii="Times New Roman" w:hAnsi="Times New Roman" w:cs="Times New Roman"/>
        </w:rPr>
        <w:t>:1</w:t>
      </w:r>
      <w:r>
        <w:rPr>
          <w:rFonts w:ascii="Times New Roman" w:cs="Times New Roman"/>
        </w:rPr>
        <w:t>配置能够满足要求。</w:t>
      </w:r>
    </w:p>
  </w:footnote>
  <w:footnote w:id="13">
    <w:p>
      <w:pPr>
        <w:pStyle w:val="14"/>
        <w:rPr>
          <w:rFonts w:ascii="Times New Roman" w:hAnsi="Times New Roman" w:cs="Times New Roman"/>
        </w:rPr>
      </w:pPr>
      <w:r>
        <w:rPr>
          <w:rStyle w:val="24"/>
          <w:rFonts w:ascii="Times New Roman" w:hAnsi="Times New Roman" w:cs="Times New Roman"/>
        </w:rPr>
        <w:footnoteRef/>
      </w:r>
      <w:r>
        <w:rPr>
          <w:rFonts w:hint="eastAsia"/>
        </w:rPr>
        <w:t>考虑企事业单位乘用车日行驶里程若</w:t>
      </w:r>
      <w:r>
        <w:rPr>
          <w:rFonts w:ascii="Times New Roman" w:cs="Times New Roman"/>
        </w:rPr>
        <w:t>为</w:t>
      </w:r>
      <w:r>
        <w:rPr>
          <w:rFonts w:ascii="Times New Roman" w:hAnsi="Times New Roman" w:cs="Times New Roman"/>
        </w:rPr>
        <w:t>100km</w:t>
      </w:r>
      <w:r>
        <w:rPr>
          <w:rFonts w:ascii="Times New Roman" w:cs="Times New Roman"/>
        </w:rPr>
        <w:t>，消耗电量</w:t>
      </w:r>
      <w:r>
        <w:rPr>
          <w:rFonts w:ascii="Times New Roman" w:hAnsi="Times New Roman" w:cs="Times New Roman"/>
        </w:rPr>
        <w:t>20kWh</w:t>
      </w:r>
      <w:r>
        <w:rPr>
          <w:rFonts w:ascii="Times New Roman" w:cs="Times New Roman"/>
        </w:rPr>
        <w:t>左右，采用</w:t>
      </w:r>
      <w:r>
        <w:rPr>
          <w:rFonts w:ascii="Times New Roman" w:hAnsi="Times New Roman" w:cs="Times New Roman"/>
        </w:rPr>
        <w:t>7kW</w:t>
      </w:r>
      <w:r>
        <w:rPr>
          <w:rFonts w:ascii="Times New Roman" w:cs="Times New Roman"/>
        </w:rPr>
        <w:t>慢充需充电</w:t>
      </w:r>
      <w:r>
        <w:rPr>
          <w:rFonts w:ascii="Times New Roman" w:hAnsi="Times New Roman" w:cs="Times New Roman"/>
        </w:rPr>
        <w:t>3h</w:t>
      </w:r>
      <w:r>
        <w:rPr>
          <w:rFonts w:ascii="Times New Roman" w:cs="Times New Roman"/>
        </w:rPr>
        <w:t>，采用车桩比</w:t>
      </w:r>
      <w:r>
        <w:rPr>
          <w:rFonts w:ascii="Times New Roman" w:hAnsi="Times New Roman" w:cs="Times New Roman"/>
        </w:rPr>
        <w:t>2:1</w:t>
      </w:r>
      <w:r>
        <w:rPr>
          <w:rFonts w:ascii="Times New Roman" w:cs="Times New Roman"/>
        </w:rPr>
        <w:t>，充电能力较为充裕。</w:t>
      </w:r>
    </w:p>
  </w:footnote>
  <w:footnote w:id="14">
    <w:p>
      <w:pPr>
        <w:pStyle w:val="14"/>
        <w:rPr>
          <w:rFonts w:ascii="Times New Roman" w:hAnsi="Times New Roman" w:cs="Times New Roman"/>
        </w:rPr>
      </w:pPr>
      <w:r>
        <w:rPr>
          <w:rStyle w:val="24"/>
          <w:rFonts w:ascii="Times New Roman" w:hAnsi="Times New Roman" w:cs="Times New Roman"/>
        </w:rPr>
        <w:footnoteRef/>
      </w:r>
      <w:r>
        <w:rPr>
          <w:rFonts w:hint="eastAsia"/>
        </w:rPr>
        <w:t>直流快充桩单枪功率范围一般为</w:t>
      </w:r>
      <w:r>
        <w:rPr>
          <w:rFonts w:ascii="Times New Roman" w:hAnsi="Times New Roman" w:cs="Times New Roman"/>
        </w:rPr>
        <w:t>60-</w:t>
      </w:r>
      <w:r>
        <w:rPr>
          <w:rFonts w:hint="eastAsia" w:ascii="Times New Roman" w:hAnsi="Times New Roman" w:cs="Times New Roman"/>
        </w:rPr>
        <w:t>90</w:t>
      </w:r>
      <w:r>
        <w:rPr>
          <w:rFonts w:ascii="Times New Roman" w:hAnsi="Times New Roman" w:cs="Times New Roman"/>
        </w:rPr>
        <w:t>kW</w:t>
      </w:r>
      <w:r>
        <w:rPr>
          <w:rFonts w:hint="eastAsia" w:ascii="Times New Roman" w:hAnsi="Times New Roman" w:cs="Times New Roman"/>
        </w:rPr>
        <w:t>，报告中以60kW单枪直流快充桩为代表进行测算。</w:t>
      </w:r>
    </w:p>
  </w:footnote>
  <w:footnote w:id="15">
    <w:p>
      <w:pPr>
        <w:pStyle w:val="14"/>
      </w:pPr>
      <w:r>
        <w:rPr>
          <w:rStyle w:val="24"/>
          <w:rFonts w:ascii="Times New Roman" w:hAnsi="Times New Roman" w:cs="Times New Roman"/>
        </w:rPr>
        <w:footnoteRef/>
      </w:r>
      <w:r>
        <w:rPr>
          <w:rFonts w:ascii="Times New Roman" w:cs="Times New Roman"/>
        </w:rPr>
        <w:t>小功率直流快充桩一般功率范围为</w:t>
      </w:r>
      <w:r>
        <w:rPr>
          <w:rFonts w:ascii="Times New Roman" w:hAnsi="Times New Roman" w:cs="Times New Roman"/>
        </w:rPr>
        <w:t>20-40</w:t>
      </w:r>
      <w:r>
        <w:rPr>
          <w:rFonts w:hint="eastAsia" w:ascii="Times New Roman" w:hAnsi="Times New Roman" w:cs="Times New Roman"/>
        </w:rPr>
        <w:t>k</w:t>
      </w:r>
      <w:r>
        <w:rPr>
          <w:rFonts w:ascii="Times New Roman" w:hAnsi="Times New Roman" w:cs="Times New Roman"/>
        </w:rPr>
        <w:t>W</w:t>
      </w:r>
      <w:r>
        <w:rPr>
          <w:rFonts w:hint="eastAsia" w:ascii="Times New Roman" w:hAnsi="Times New Roman" w:cs="Times New Roman"/>
        </w:rPr>
        <w:t>，</w:t>
      </w:r>
      <w:r>
        <w:rPr>
          <w:rFonts w:ascii="Times New Roman" w:hAnsi="Times New Roman" w:cs="Times New Roman"/>
        </w:rPr>
        <w:t>报告中以</w:t>
      </w:r>
      <w:r>
        <w:rPr>
          <w:rFonts w:hint="eastAsia" w:ascii="Times New Roman" w:hAnsi="Times New Roman" w:cs="Times New Roman"/>
        </w:rPr>
        <w:t>20kW单枪小功率直流快充桩为代表进行测算。</w:t>
      </w:r>
    </w:p>
  </w:footnote>
  <w:footnote w:id="16">
    <w:p>
      <w:pPr>
        <w:pStyle w:val="14"/>
        <w:rPr>
          <w:rFonts w:ascii="Times New Roman" w:hAnsi="Times New Roman" w:cs="Times New Roman"/>
        </w:rPr>
      </w:pPr>
      <w:r>
        <w:rPr>
          <w:rStyle w:val="24"/>
          <w:rFonts w:ascii="Times New Roman" w:hAnsi="Times New Roman" w:cs="Times New Roman"/>
        </w:rPr>
        <w:footnoteRef/>
      </w:r>
      <w:r>
        <w:rPr>
          <w:rFonts w:ascii="Times New Roman" w:cs="Times New Roman"/>
        </w:rPr>
        <w:t>公交、客运充电站按照每座充电站含</w:t>
      </w:r>
      <w:r>
        <w:rPr>
          <w:rFonts w:ascii="Times New Roman" w:hAnsi="Times New Roman" w:cs="Times New Roman"/>
        </w:rPr>
        <w:t>35</w:t>
      </w:r>
      <w:r>
        <w:rPr>
          <w:rFonts w:ascii="Times New Roman" w:cs="Times New Roman"/>
        </w:rPr>
        <w:t>根单枪充电桩的标准充电站考虑，环卫、其他车辆充电站按照每座充电站含</w:t>
      </w:r>
      <w:r>
        <w:rPr>
          <w:rFonts w:ascii="Times New Roman" w:hAnsi="Times New Roman" w:cs="Times New Roman"/>
        </w:rPr>
        <w:t>15</w:t>
      </w:r>
      <w:r>
        <w:rPr>
          <w:rFonts w:ascii="Times New Roman" w:cs="Times New Roman"/>
        </w:rPr>
        <w:t>根单枪充电桩的标准充电站考虑，建设时可根据实际情况确定单站规模，并保持各类充电桩总数量不变。</w:t>
      </w:r>
    </w:p>
  </w:footnote>
  <w:footnote w:id="17">
    <w:p>
      <w:pPr>
        <w:pStyle w:val="14"/>
      </w:pPr>
      <w:r>
        <w:rPr>
          <w:rStyle w:val="24"/>
          <w:rFonts w:ascii="Times New Roman" w:hAnsi="Times New Roman" w:cs="Times New Roman"/>
        </w:rPr>
        <w:footnoteRef/>
      </w:r>
      <w:r>
        <w:rPr>
          <w:rFonts w:hint="eastAsia"/>
        </w:rPr>
        <w:t>不含土地及电网接入费用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footnotePr>
    <w:footnote w:id="36"/>
    <w:footnote w:id="3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2BC7B74"/>
    <w:rsid w:val="00000188"/>
    <w:rsid w:val="00001879"/>
    <w:rsid w:val="0000220F"/>
    <w:rsid w:val="0000466F"/>
    <w:rsid w:val="00004C38"/>
    <w:rsid w:val="00006148"/>
    <w:rsid w:val="00007216"/>
    <w:rsid w:val="0001043D"/>
    <w:rsid w:val="00012B63"/>
    <w:rsid w:val="00012C8C"/>
    <w:rsid w:val="000142B6"/>
    <w:rsid w:val="00015571"/>
    <w:rsid w:val="00016837"/>
    <w:rsid w:val="00016B3E"/>
    <w:rsid w:val="000202E0"/>
    <w:rsid w:val="000205DB"/>
    <w:rsid w:val="00020B90"/>
    <w:rsid w:val="000242DE"/>
    <w:rsid w:val="00026B8A"/>
    <w:rsid w:val="00026D20"/>
    <w:rsid w:val="00026F59"/>
    <w:rsid w:val="00031BEC"/>
    <w:rsid w:val="00032EC1"/>
    <w:rsid w:val="0003483E"/>
    <w:rsid w:val="000349F8"/>
    <w:rsid w:val="00034E7D"/>
    <w:rsid w:val="00035F94"/>
    <w:rsid w:val="00036C07"/>
    <w:rsid w:val="00041B98"/>
    <w:rsid w:val="00041D03"/>
    <w:rsid w:val="0004294C"/>
    <w:rsid w:val="000446F9"/>
    <w:rsid w:val="00044AEA"/>
    <w:rsid w:val="00044D85"/>
    <w:rsid w:val="00046245"/>
    <w:rsid w:val="00046A27"/>
    <w:rsid w:val="00047894"/>
    <w:rsid w:val="00047AF1"/>
    <w:rsid w:val="00050687"/>
    <w:rsid w:val="00050B97"/>
    <w:rsid w:val="00052D49"/>
    <w:rsid w:val="00055BA7"/>
    <w:rsid w:val="00055EC6"/>
    <w:rsid w:val="00057938"/>
    <w:rsid w:val="00060805"/>
    <w:rsid w:val="0006213D"/>
    <w:rsid w:val="000632CD"/>
    <w:rsid w:val="00063F16"/>
    <w:rsid w:val="00064087"/>
    <w:rsid w:val="000662CB"/>
    <w:rsid w:val="00067E02"/>
    <w:rsid w:val="00071507"/>
    <w:rsid w:val="00071D54"/>
    <w:rsid w:val="00073CCD"/>
    <w:rsid w:val="000757B7"/>
    <w:rsid w:val="0007636F"/>
    <w:rsid w:val="00076993"/>
    <w:rsid w:val="0007775F"/>
    <w:rsid w:val="0008303B"/>
    <w:rsid w:val="00083382"/>
    <w:rsid w:val="000837FB"/>
    <w:rsid w:val="00083DFE"/>
    <w:rsid w:val="00086D69"/>
    <w:rsid w:val="00087785"/>
    <w:rsid w:val="00091723"/>
    <w:rsid w:val="00093672"/>
    <w:rsid w:val="0009480A"/>
    <w:rsid w:val="0009649E"/>
    <w:rsid w:val="00096E70"/>
    <w:rsid w:val="000A0365"/>
    <w:rsid w:val="000A218D"/>
    <w:rsid w:val="000A254C"/>
    <w:rsid w:val="000A3FB0"/>
    <w:rsid w:val="000A4C86"/>
    <w:rsid w:val="000A58A3"/>
    <w:rsid w:val="000A7A5D"/>
    <w:rsid w:val="000A7B8C"/>
    <w:rsid w:val="000B11C8"/>
    <w:rsid w:val="000B2A7E"/>
    <w:rsid w:val="000B2D67"/>
    <w:rsid w:val="000B3630"/>
    <w:rsid w:val="000B6255"/>
    <w:rsid w:val="000B7A81"/>
    <w:rsid w:val="000C109E"/>
    <w:rsid w:val="000C129C"/>
    <w:rsid w:val="000C2013"/>
    <w:rsid w:val="000C3330"/>
    <w:rsid w:val="000C4B71"/>
    <w:rsid w:val="000C5F9D"/>
    <w:rsid w:val="000C66C3"/>
    <w:rsid w:val="000D0082"/>
    <w:rsid w:val="000D1465"/>
    <w:rsid w:val="000D162F"/>
    <w:rsid w:val="000D434A"/>
    <w:rsid w:val="000D49D0"/>
    <w:rsid w:val="000D4CF5"/>
    <w:rsid w:val="000D5E28"/>
    <w:rsid w:val="000D5ED0"/>
    <w:rsid w:val="000E2082"/>
    <w:rsid w:val="000E25E2"/>
    <w:rsid w:val="000E2BC9"/>
    <w:rsid w:val="000E2FB2"/>
    <w:rsid w:val="000E52B2"/>
    <w:rsid w:val="000E5D88"/>
    <w:rsid w:val="000E5EC0"/>
    <w:rsid w:val="000E6B41"/>
    <w:rsid w:val="000E72D8"/>
    <w:rsid w:val="000F11B9"/>
    <w:rsid w:val="000F145E"/>
    <w:rsid w:val="000F15C6"/>
    <w:rsid w:val="000F39AF"/>
    <w:rsid w:val="000F39EF"/>
    <w:rsid w:val="000F412F"/>
    <w:rsid w:val="000F4EF4"/>
    <w:rsid w:val="000F5108"/>
    <w:rsid w:val="000F57F5"/>
    <w:rsid w:val="000F5845"/>
    <w:rsid w:val="000F5C97"/>
    <w:rsid w:val="000F5E1B"/>
    <w:rsid w:val="000F6D13"/>
    <w:rsid w:val="00100F60"/>
    <w:rsid w:val="001041AA"/>
    <w:rsid w:val="00110BE2"/>
    <w:rsid w:val="001135E8"/>
    <w:rsid w:val="001148A0"/>
    <w:rsid w:val="00114DB1"/>
    <w:rsid w:val="00116F5F"/>
    <w:rsid w:val="001210B3"/>
    <w:rsid w:val="00122D3D"/>
    <w:rsid w:val="0012411F"/>
    <w:rsid w:val="00124BBE"/>
    <w:rsid w:val="00125C9F"/>
    <w:rsid w:val="001307BE"/>
    <w:rsid w:val="0013137C"/>
    <w:rsid w:val="00131A25"/>
    <w:rsid w:val="00132CFF"/>
    <w:rsid w:val="0013338F"/>
    <w:rsid w:val="00133D20"/>
    <w:rsid w:val="00134D5C"/>
    <w:rsid w:val="00135566"/>
    <w:rsid w:val="00135E70"/>
    <w:rsid w:val="0014091E"/>
    <w:rsid w:val="001429B8"/>
    <w:rsid w:val="00143061"/>
    <w:rsid w:val="00143B3C"/>
    <w:rsid w:val="001447CF"/>
    <w:rsid w:val="001452BA"/>
    <w:rsid w:val="0014734C"/>
    <w:rsid w:val="00150026"/>
    <w:rsid w:val="001501EC"/>
    <w:rsid w:val="00152BC4"/>
    <w:rsid w:val="00153465"/>
    <w:rsid w:val="00155326"/>
    <w:rsid w:val="0016007A"/>
    <w:rsid w:val="001603CF"/>
    <w:rsid w:val="0016098B"/>
    <w:rsid w:val="00162682"/>
    <w:rsid w:val="00164069"/>
    <w:rsid w:val="0016436D"/>
    <w:rsid w:val="00164E81"/>
    <w:rsid w:val="00166E2E"/>
    <w:rsid w:val="00170252"/>
    <w:rsid w:val="001726EC"/>
    <w:rsid w:val="001769C4"/>
    <w:rsid w:val="00177F71"/>
    <w:rsid w:val="001804DB"/>
    <w:rsid w:val="001818CB"/>
    <w:rsid w:val="00181965"/>
    <w:rsid w:val="0018342C"/>
    <w:rsid w:val="00184E44"/>
    <w:rsid w:val="001861C3"/>
    <w:rsid w:val="00186204"/>
    <w:rsid w:val="001869FD"/>
    <w:rsid w:val="00186A0A"/>
    <w:rsid w:val="00190359"/>
    <w:rsid w:val="0019168A"/>
    <w:rsid w:val="001917A3"/>
    <w:rsid w:val="00191BB7"/>
    <w:rsid w:val="00193050"/>
    <w:rsid w:val="001936EC"/>
    <w:rsid w:val="00194064"/>
    <w:rsid w:val="0019652C"/>
    <w:rsid w:val="00196F57"/>
    <w:rsid w:val="00197571"/>
    <w:rsid w:val="001A1859"/>
    <w:rsid w:val="001A18B8"/>
    <w:rsid w:val="001A2C43"/>
    <w:rsid w:val="001A2FEE"/>
    <w:rsid w:val="001A3991"/>
    <w:rsid w:val="001A3AE0"/>
    <w:rsid w:val="001A45CD"/>
    <w:rsid w:val="001A5107"/>
    <w:rsid w:val="001B0B61"/>
    <w:rsid w:val="001B2430"/>
    <w:rsid w:val="001B25DF"/>
    <w:rsid w:val="001B2B34"/>
    <w:rsid w:val="001B2E3A"/>
    <w:rsid w:val="001B77C0"/>
    <w:rsid w:val="001B7975"/>
    <w:rsid w:val="001C0213"/>
    <w:rsid w:val="001C0ABC"/>
    <w:rsid w:val="001C16B8"/>
    <w:rsid w:val="001C3D03"/>
    <w:rsid w:val="001C3EAB"/>
    <w:rsid w:val="001C4CF1"/>
    <w:rsid w:val="001D0B51"/>
    <w:rsid w:val="001D0DC7"/>
    <w:rsid w:val="001D193A"/>
    <w:rsid w:val="001D2061"/>
    <w:rsid w:val="001D314E"/>
    <w:rsid w:val="001D3FFE"/>
    <w:rsid w:val="001D752D"/>
    <w:rsid w:val="001E02DA"/>
    <w:rsid w:val="001E07B7"/>
    <w:rsid w:val="001E3FE4"/>
    <w:rsid w:val="001E6909"/>
    <w:rsid w:val="001F0492"/>
    <w:rsid w:val="001F363B"/>
    <w:rsid w:val="001F3D28"/>
    <w:rsid w:val="001F6388"/>
    <w:rsid w:val="001F6686"/>
    <w:rsid w:val="001F6E2A"/>
    <w:rsid w:val="001F7816"/>
    <w:rsid w:val="00200502"/>
    <w:rsid w:val="002010CC"/>
    <w:rsid w:val="002015FA"/>
    <w:rsid w:val="0020466F"/>
    <w:rsid w:val="00204777"/>
    <w:rsid w:val="0020531D"/>
    <w:rsid w:val="0020739C"/>
    <w:rsid w:val="002122A2"/>
    <w:rsid w:val="002123BD"/>
    <w:rsid w:val="002126F7"/>
    <w:rsid w:val="00213C87"/>
    <w:rsid w:val="00215F73"/>
    <w:rsid w:val="00217D01"/>
    <w:rsid w:val="00217D0C"/>
    <w:rsid w:val="00220416"/>
    <w:rsid w:val="0022169C"/>
    <w:rsid w:val="00222137"/>
    <w:rsid w:val="0022422D"/>
    <w:rsid w:val="00224BFC"/>
    <w:rsid w:val="002274EB"/>
    <w:rsid w:val="00227AD5"/>
    <w:rsid w:val="00230334"/>
    <w:rsid w:val="00232267"/>
    <w:rsid w:val="00236A0D"/>
    <w:rsid w:val="00237291"/>
    <w:rsid w:val="00240CA4"/>
    <w:rsid w:val="002417FC"/>
    <w:rsid w:val="00241F73"/>
    <w:rsid w:val="00243023"/>
    <w:rsid w:val="0024385A"/>
    <w:rsid w:val="00243C16"/>
    <w:rsid w:val="00245495"/>
    <w:rsid w:val="00245E1D"/>
    <w:rsid w:val="0024631D"/>
    <w:rsid w:val="00250F86"/>
    <w:rsid w:val="00251167"/>
    <w:rsid w:val="00251D35"/>
    <w:rsid w:val="002522F6"/>
    <w:rsid w:val="0025336D"/>
    <w:rsid w:val="002557F8"/>
    <w:rsid w:val="0025664E"/>
    <w:rsid w:val="0025702B"/>
    <w:rsid w:val="00260EA8"/>
    <w:rsid w:val="002611C7"/>
    <w:rsid w:val="00262262"/>
    <w:rsid w:val="0026242B"/>
    <w:rsid w:val="00262F34"/>
    <w:rsid w:val="00263997"/>
    <w:rsid w:val="00264508"/>
    <w:rsid w:val="0026537C"/>
    <w:rsid w:val="0026630E"/>
    <w:rsid w:val="002719A0"/>
    <w:rsid w:val="002722F9"/>
    <w:rsid w:val="0027352D"/>
    <w:rsid w:val="002738E4"/>
    <w:rsid w:val="00274C99"/>
    <w:rsid w:val="00276715"/>
    <w:rsid w:val="0027708F"/>
    <w:rsid w:val="002773E6"/>
    <w:rsid w:val="00277785"/>
    <w:rsid w:val="00280947"/>
    <w:rsid w:val="0028118E"/>
    <w:rsid w:val="0028152E"/>
    <w:rsid w:val="00282B66"/>
    <w:rsid w:val="00283528"/>
    <w:rsid w:val="00283BB5"/>
    <w:rsid w:val="00284185"/>
    <w:rsid w:val="00286053"/>
    <w:rsid w:val="00286ED2"/>
    <w:rsid w:val="00291BE6"/>
    <w:rsid w:val="00292F99"/>
    <w:rsid w:val="0029354E"/>
    <w:rsid w:val="00293668"/>
    <w:rsid w:val="002938AF"/>
    <w:rsid w:val="00296E6D"/>
    <w:rsid w:val="00297F4B"/>
    <w:rsid w:val="002A1D2A"/>
    <w:rsid w:val="002A3BED"/>
    <w:rsid w:val="002A514F"/>
    <w:rsid w:val="002A5F0A"/>
    <w:rsid w:val="002A6661"/>
    <w:rsid w:val="002A709E"/>
    <w:rsid w:val="002A7E70"/>
    <w:rsid w:val="002B0C31"/>
    <w:rsid w:val="002B2390"/>
    <w:rsid w:val="002B645F"/>
    <w:rsid w:val="002C1BCB"/>
    <w:rsid w:val="002C3D38"/>
    <w:rsid w:val="002C41F0"/>
    <w:rsid w:val="002C50A6"/>
    <w:rsid w:val="002C6F04"/>
    <w:rsid w:val="002C6FBB"/>
    <w:rsid w:val="002C7316"/>
    <w:rsid w:val="002C73D7"/>
    <w:rsid w:val="002C7807"/>
    <w:rsid w:val="002D1034"/>
    <w:rsid w:val="002D1799"/>
    <w:rsid w:val="002D27C8"/>
    <w:rsid w:val="002D46B2"/>
    <w:rsid w:val="002D4883"/>
    <w:rsid w:val="002D490A"/>
    <w:rsid w:val="002D528D"/>
    <w:rsid w:val="002D580F"/>
    <w:rsid w:val="002D6F50"/>
    <w:rsid w:val="002E0010"/>
    <w:rsid w:val="002E0B9C"/>
    <w:rsid w:val="002E1215"/>
    <w:rsid w:val="002E1DAE"/>
    <w:rsid w:val="002E47DD"/>
    <w:rsid w:val="002F057B"/>
    <w:rsid w:val="002F1BA8"/>
    <w:rsid w:val="002F2B62"/>
    <w:rsid w:val="002F2F37"/>
    <w:rsid w:val="002F39F4"/>
    <w:rsid w:val="002F6117"/>
    <w:rsid w:val="00300394"/>
    <w:rsid w:val="00302A29"/>
    <w:rsid w:val="00303D88"/>
    <w:rsid w:val="00304780"/>
    <w:rsid w:val="00304D16"/>
    <w:rsid w:val="00305C78"/>
    <w:rsid w:val="0031112F"/>
    <w:rsid w:val="003128E7"/>
    <w:rsid w:val="00313A14"/>
    <w:rsid w:val="00313F6C"/>
    <w:rsid w:val="00321704"/>
    <w:rsid w:val="003217AF"/>
    <w:rsid w:val="003224CF"/>
    <w:rsid w:val="00322BF7"/>
    <w:rsid w:val="0032348B"/>
    <w:rsid w:val="003240ED"/>
    <w:rsid w:val="003245B3"/>
    <w:rsid w:val="00324B32"/>
    <w:rsid w:val="00324F70"/>
    <w:rsid w:val="00326D89"/>
    <w:rsid w:val="00326FC6"/>
    <w:rsid w:val="00327EDD"/>
    <w:rsid w:val="00331052"/>
    <w:rsid w:val="0033196F"/>
    <w:rsid w:val="003320EE"/>
    <w:rsid w:val="003322AE"/>
    <w:rsid w:val="00332A3A"/>
    <w:rsid w:val="003334AF"/>
    <w:rsid w:val="00336C04"/>
    <w:rsid w:val="0033753D"/>
    <w:rsid w:val="003375D7"/>
    <w:rsid w:val="00342F34"/>
    <w:rsid w:val="003440B3"/>
    <w:rsid w:val="00346169"/>
    <w:rsid w:val="0035265E"/>
    <w:rsid w:val="003536B0"/>
    <w:rsid w:val="003537F2"/>
    <w:rsid w:val="00354DAB"/>
    <w:rsid w:val="003554D7"/>
    <w:rsid w:val="00355B7B"/>
    <w:rsid w:val="00360097"/>
    <w:rsid w:val="003632E7"/>
    <w:rsid w:val="00366454"/>
    <w:rsid w:val="00366739"/>
    <w:rsid w:val="00371151"/>
    <w:rsid w:val="0037210B"/>
    <w:rsid w:val="00376866"/>
    <w:rsid w:val="00376CAA"/>
    <w:rsid w:val="003802E0"/>
    <w:rsid w:val="00381C5E"/>
    <w:rsid w:val="003856BC"/>
    <w:rsid w:val="00385CD5"/>
    <w:rsid w:val="00386AB5"/>
    <w:rsid w:val="00386DA3"/>
    <w:rsid w:val="003907C4"/>
    <w:rsid w:val="003923E9"/>
    <w:rsid w:val="00394811"/>
    <w:rsid w:val="00394D24"/>
    <w:rsid w:val="003A1B06"/>
    <w:rsid w:val="003A3EAE"/>
    <w:rsid w:val="003A41E5"/>
    <w:rsid w:val="003A4D83"/>
    <w:rsid w:val="003A69A7"/>
    <w:rsid w:val="003A6C46"/>
    <w:rsid w:val="003A7545"/>
    <w:rsid w:val="003B0405"/>
    <w:rsid w:val="003B630F"/>
    <w:rsid w:val="003B71EF"/>
    <w:rsid w:val="003B76D5"/>
    <w:rsid w:val="003B788C"/>
    <w:rsid w:val="003B7DF4"/>
    <w:rsid w:val="003C07B0"/>
    <w:rsid w:val="003C114A"/>
    <w:rsid w:val="003C22BA"/>
    <w:rsid w:val="003C25F3"/>
    <w:rsid w:val="003C276A"/>
    <w:rsid w:val="003C35CB"/>
    <w:rsid w:val="003C35D9"/>
    <w:rsid w:val="003C4502"/>
    <w:rsid w:val="003C4E61"/>
    <w:rsid w:val="003D07B9"/>
    <w:rsid w:val="003D1863"/>
    <w:rsid w:val="003D1A01"/>
    <w:rsid w:val="003D1A63"/>
    <w:rsid w:val="003D3081"/>
    <w:rsid w:val="003D420A"/>
    <w:rsid w:val="003D4A7B"/>
    <w:rsid w:val="003D52F3"/>
    <w:rsid w:val="003E0169"/>
    <w:rsid w:val="003E0740"/>
    <w:rsid w:val="003E1C18"/>
    <w:rsid w:val="003E3158"/>
    <w:rsid w:val="003E3ED3"/>
    <w:rsid w:val="003E6676"/>
    <w:rsid w:val="003E7FE2"/>
    <w:rsid w:val="003F01C9"/>
    <w:rsid w:val="003F0F07"/>
    <w:rsid w:val="003F15BD"/>
    <w:rsid w:val="003F1703"/>
    <w:rsid w:val="003F1EAB"/>
    <w:rsid w:val="003F2895"/>
    <w:rsid w:val="003F3EF1"/>
    <w:rsid w:val="003F75BC"/>
    <w:rsid w:val="00400486"/>
    <w:rsid w:val="00400DA8"/>
    <w:rsid w:val="004015D9"/>
    <w:rsid w:val="00402A87"/>
    <w:rsid w:val="004068CD"/>
    <w:rsid w:val="00406923"/>
    <w:rsid w:val="00406C8D"/>
    <w:rsid w:val="004104CF"/>
    <w:rsid w:val="00410AA1"/>
    <w:rsid w:val="00410EEE"/>
    <w:rsid w:val="0041158A"/>
    <w:rsid w:val="00412239"/>
    <w:rsid w:val="00412C39"/>
    <w:rsid w:val="0041376D"/>
    <w:rsid w:val="00413BFD"/>
    <w:rsid w:val="00414666"/>
    <w:rsid w:val="00415334"/>
    <w:rsid w:val="00415D7C"/>
    <w:rsid w:val="00416168"/>
    <w:rsid w:val="004170B1"/>
    <w:rsid w:val="00421312"/>
    <w:rsid w:val="00421D5E"/>
    <w:rsid w:val="00421DBE"/>
    <w:rsid w:val="00422F85"/>
    <w:rsid w:val="00424A27"/>
    <w:rsid w:val="004251C9"/>
    <w:rsid w:val="0042547F"/>
    <w:rsid w:val="00425BFB"/>
    <w:rsid w:val="004260FE"/>
    <w:rsid w:val="00426715"/>
    <w:rsid w:val="004315D2"/>
    <w:rsid w:val="00431AB0"/>
    <w:rsid w:val="0043394C"/>
    <w:rsid w:val="00435F2D"/>
    <w:rsid w:val="004365A0"/>
    <w:rsid w:val="004416DF"/>
    <w:rsid w:val="00441AC2"/>
    <w:rsid w:val="00442A42"/>
    <w:rsid w:val="00442B8C"/>
    <w:rsid w:val="00443B95"/>
    <w:rsid w:val="004440C7"/>
    <w:rsid w:val="004454AD"/>
    <w:rsid w:val="004504F2"/>
    <w:rsid w:val="00450EC3"/>
    <w:rsid w:val="00453329"/>
    <w:rsid w:val="004539E3"/>
    <w:rsid w:val="00453BC7"/>
    <w:rsid w:val="0045500F"/>
    <w:rsid w:val="004572AC"/>
    <w:rsid w:val="00457727"/>
    <w:rsid w:val="0046027C"/>
    <w:rsid w:val="00460CFA"/>
    <w:rsid w:val="00465355"/>
    <w:rsid w:val="004670DC"/>
    <w:rsid w:val="00472C5B"/>
    <w:rsid w:val="00472DD6"/>
    <w:rsid w:val="00473E2D"/>
    <w:rsid w:val="00474CDA"/>
    <w:rsid w:val="00476255"/>
    <w:rsid w:val="004775AE"/>
    <w:rsid w:val="00480494"/>
    <w:rsid w:val="0048311A"/>
    <w:rsid w:val="0048329F"/>
    <w:rsid w:val="00484C50"/>
    <w:rsid w:val="004853D0"/>
    <w:rsid w:val="004872C5"/>
    <w:rsid w:val="004873E9"/>
    <w:rsid w:val="00487918"/>
    <w:rsid w:val="004908CA"/>
    <w:rsid w:val="00491360"/>
    <w:rsid w:val="004916CE"/>
    <w:rsid w:val="00495CBB"/>
    <w:rsid w:val="00496A80"/>
    <w:rsid w:val="004A0592"/>
    <w:rsid w:val="004A109B"/>
    <w:rsid w:val="004A2199"/>
    <w:rsid w:val="004A2EE5"/>
    <w:rsid w:val="004A4DD9"/>
    <w:rsid w:val="004A4E86"/>
    <w:rsid w:val="004A7E08"/>
    <w:rsid w:val="004B3826"/>
    <w:rsid w:val="004B389F"/>
    <w:rsid w:val="004B41A9"/>
    <w:rsid w:val="004B5338"/>
    <w:rsid w:val="004C048F"/>
    <w:rsid w:val="004C313D"/>
    <w:rsid w:val="004C413A"/>
    <w:rsid w:val="004C5DDF"/>
    <w:rsid w:val="004C65EA"/>
    <w:rsid w:val="004D3519"/>
    <w:rsid w:val="004D4B25"/>
    <w:rsid w:val="004D5B6F"/>
    <w:rsid w:val="004D6205"/>
    <w:rsid w:val="004D6208"/>
    <w:rsid w:val="004D654B"/>
    <w:rsid w:val="004D66C1"/>
    <w:rsid w:val="004D6E8C"/>
    <w:rsid w:val="004E06C4"/>
    <w:rsid w:val="004E08EC"/>
    <w:rsid w:val="004E1770"/>
    <w:rsid w:val="004E2BBF"/>
    <w:rsid w:val="004E360C"/>
    <w:rsid w:val="004E3F3E"/>
    <w:rsid w:val="004E431D"/>
    <w:rsid w:val="004E7D6D"/>
    <w:rsid w:val="004E7DAF"/>
    <w:rsid w:val="004F0067"/>
    <w:rsid w:val="004F0DFF"/>
    <w:rsid w:val="004F1F9F"/>
    <w:rsid w:val="004F22A8"/>
    <w:rsid w:val="004F265E"/>
    <w:rsid w:val="004F35DE"/>
    <w:rsid w:val="004F3C42"/>
    <w:rsid w:val="004F45B4"/>
    <w:rsid w:val="004F490C"/>
    <w:rsid w:val="004F4DF5"/>
    <w:rsid w:val="004F4FA9"/>
    <w:rsid w:val="004F5AA9"/>
    <w:rsid w:val="004F72E6"/>
    <w:rsid w:val="004F7A9F"/>
    <w:rsid w:val="0050162D"/>
    <w:rsid w:val="00502F55"/>
    <w:rsid w:val="00503344"/>
    <w:rsid w:val="00504289"/>
    <w:rsid w:val="00504C3D"/>
    <w:rsid w:val="005060A4"/>
    <w:rsid w:val="00506197"/>
    <w:rsid w:val="00507774"/>
    <w:rsid w:val="005078E9"/>
    <w:rsid w:val="00507E2B"/>
    <w:rsid w:val="00510458"/>
    <w:rsid w:val="00511483"/>
    <w:rsid w:val="005114E8"/>
    <w:rsid w:val="00512ED8"/>
    <w:rsid w:val="0051411E"/>
    <w:rsid w:val="005141C1"/>
    <w:rsid w:val="005147CC"/>
    <w:rsid w:val="005153D5"/>
    <w:rsid w:val="005166E9"/>
    <w:rsid w:val="00517ED1"/>
    <w:rsid w:val="00523368"/>
    <w:rsid w:val="005234A2"/>
    <w:rsid w:val="00523A76"/>
    <w:rsid w:val="00523C45"/>
    <w:rsid w:val="0053088F"/>
    <w:rsid w:val="00531FE1"/>
    <w:rsid w:val="00532473"/>
    <w:rsid w:val="005327CD"/>
    <w:rsid w:val="00532837"/>
    <w:rsid w:val="00533BBB"/>
    <w:rsid w:val="00534258"/>
    <w:rsid w:val="005342DB"/>
    <w:rsid w:val="005346D4"/>
    <w:rsid w:val="00537179"/>
    <w:rsid w:val="00537753"/>
    <w:rsid w:val="0053799E"/>
    <w:rsid w:val="00540D4A"/>
    <w:rsid w:val="00543C9E"/>
    <w:rsid w:val="005458D3"/>
    <w:rsid w:val="0054689F"/>
    <w:rsid w:val="005468C3"/>
    <w:rsid w:val="00547522"/>
    <w:rsid w:val="0055100B"/>
    <w:rsid w:val="005533C6"/>
    <w:rsid w:val="005538FB"/>
    <w:rsid w:val="0055600D"/>
    <w:rsid w:val="00556029"/>
    <w:rsid w:val="005567BB"/>
    <w:rsid w:val="00556E4C"/>
    <w:rsid w:val="0056096D"/>
    <w:rsid w:val="00560E55"/>
    <w:rsid w:val="00561A16"/>
    <w:rsid w:val="005627AA"/>
    <w:rsid w:val="0056400C"/>
    <w:rsid w:val="0056459F"/>
    <w:rsid w:val="00566118"/>
    <w:rsid w:val="00566E44"/>
    <w:rsid w:val="00567E18"/>
    <w:rsid w:val="00570FF1"/>
    <w:rsid w:val="0057258E"/>
    <w:rsid w:val="005747F9"/>
    <w:rsid w:val="005749F7"/>
    <w:rsid w:val="00580ECD"/>
    <w:rsid w:val="00581E9A"/>
    <w:rsid w:val="005826C9"/>
    <w:rsid w:val="00582A18"/>
    <w:rsid w:val="005832D7"/>
    <w:rsid w:val="005834EC"/>
    <w:rsid w:val="00583D4B"/>
    <w:rsid w:val="00587933"/>
    <w:rsid w:val="005901E4"/>
    <w:rsid w:val="00590A11"/>
    <w:rsid w:val="00591AEC"/>
    <w:rsid w:val="00591D0E"/>
    <w:rsid w:val="00592ACF"/>
    <w:rsid w:val="00594B72"/>
    <w:rsid w:val="00594EC7"/>
    <w:rsid w:val="00595B10"/>
    <w:rsid w:val="00595F71"/>
    <w:rsid w:val="005A215C"/>
    <w:rsid w:val="005A2323"/>
    <w:rsid w:val="005A3054"/>
    <w:rsid w:val="005A39CB"/>
    <w:rsid w:val="005A7CB3"/>
    <w:rsid w:val="005B0830"/>
    <w:rsid w:val="005B0ACE"/>
    <w:rsid w:val="005B0F26"/>
    <w:rsid w:val="005B10FF"/>
    <w:rsid w:val="005B2A3B"/>
    <w:rsid w:val="005B325F"/>
    <w:rsid w:val="005C00AA"/>
    <w:rsid w:val="005C15C5"/>
    <w:rsid w:val="005C32D3"/>
    <w:rsid w:val="005C43D8"/>
    <w:rsid w:val="005D0A03"/>
    <w:rsid w:val="005D164F"/>
    <w:rsid w:val="005D1A37"/>
    <w:rsid w:val="005D26AA"/>
    <w:rsid w:val="005D50D1"/>
    <w:rsid w:val="005D5790"/>
    <w:rsid w:val="005D6398"/>
    <w:rsid w:val="005E260E"/>
    <w:rsid w:val="005E44A9"/>
    <w:rsid w:val="005E4534"/>
    <w:rsid w:val="005E5B8D"/>
    <w:rsid w:val="005E616D"/>
    <w:rsid w:val="005E7C77"/>
    <w:rsid w:val="005F0624"/>
    <w:rsid w:val="005F0916"/>
    <w:rsid w:val="005F1F83"/>
    <w:rsid w:val="005F2925"/>
    <w:rsid w:val="005F2978"/>
    <w:rsid w:val="005F30DA"/>
    <w:rsid w:val="005F3F2C"/>
    <w:rsid w:val="005F4E6B"/>
    <w:rsid w:val="005F6C77"/>
    <w:rsid w:val="0060011A"/>
    <w:rsid w:val="00600F46"/>
    <w:rsid w:val="00602476"/>
    <w:rsid w:val="00602E1D"/>
    <w:rsid w:val="006042E8"/>
    <w:rsid w:val="006050A7"/>
    <w:rsid w:val="00605AD3"/>
    <w:rsid w:val="00607B30"/>
    <w:rsid w:val="0061098B"/>
    <w:rsid w:val="006151BD"/>
    <w:rsid w:val="00616C0A"/>
    <w:rsid w:val="006173EA"/>
    <w:rsid w:val="00620E00"/>
    <w:rsid w:val="00621372"/>
    <w:rsid w:val="0062179F"/>
    <w:rsid w:val="00622641"/>
    <w:rsid w:val="006230BA"/>
    <w:rsid w:val="00623841"/>
    <w:rsid w:val="006246B6"/>
    <w:rsid w:val="006258FD"/>
    <w:rsid w:val="00626D36"/>
    <w:rsid w:val="006303B0"/>
    <w:rsid w:val="00630D37"/>
    <w:rsid w:val="006313A3"/>
    <w:rsid w:val="006322D2"/>
    <w:rsid w:val="00632B71"/>
    <w:rsid w:val="00634921"/>
    <w:rsid w:val="00637455"/>
    <w:rsid w:val="00642454"/>
    <w:rsid w:val="00643005"/>
    <w:rsid w:val="00644613"/>
    <w:rsid w:val="006448FE"/>
    <w:rsid w:val="0064510B"/>
    <w:rsid w:val="00645BF7"/>
    <w:rsid w:val="00647ECA"/>
    <w:rsid w:val="006514A5"/>
    <w:rsid w:val="0065256C"/>
    <w:rsid w:val="00652CD0"/>
    <w:rsid w:val="006535F7"/>
    <w:rsid w:val="0065545D"/>
    <w:rsid w:val="00655E3E"/>
    <w:rsid w:val="00656F43"/>
    <w:rsid w:val="006603AD"/>
    <w:rsid w:val="006605B2"/>
    <w:rsid w:val="00661E24"/>
    <w:rsid w:val="00662193"/>
    <w:rsid w:val="00662AEF"/>
    <w:rsid w:val="00663036"/>
    <w:rsid w:val="00671102"/>
    <w:rsid w:val="00671D99"/>
    <w:rsid w:val="006730AB"/>
    <w:rsid w:val="0067327F"/>
    <w:rsid w:val="00682F16"/>
    <w:rsid w:val="00683300"/>
    <w:rsid w:val="00684190"/>
    <w:rsid w:val="0068487E"/>
    <w:rsid w:val="00684897"/>
    <w:rsid w:val="006860D4"/>
    <w:rsid w:val="00687BCC"/>
    <w:rsid w:val="00687D76"/>
    <w:rsid w:val="00690824"/>
    <w:rsid w:val="00691FA6"/>
    <w:rsid w:val="00692AFB"/>
    <w:rsid w:val="006952CD"/>
    <w:rsid w:val="00696198"/>
    <w:rsid w:val="00697159"/>
    <w:rsid w:val="00697A99"/>
    <w:rsid w:val="006A087F"/>
    <w:rsid w:val="006A0C50"/>
    <w:rsid w:val="006A0F45"/>
    <w:rsid w:val="006A11D8"/>
    <w:rsid w:val="006A4D2A"/>
    <w:rsid w:val="006A6001"/>
    <w:rsid w:val="006A6D7B"/>
    <w:rsid w:val="006A7776"/>
    <w:rsid w:val="006A7D7F"/>
    <w:rsid w:val="006B1242"/>
    <w:rsid w:val="006B1F93"/>
    <w:rsid w:val="006B30DA"/>
    <w:rsid w:val="006B3C73"/>
    <w:rsid w:val="006B3D83"/>
    <w:rsid w:val="006B475F"/>
    <w:rsid w:val="006B50CB"/>
    <w:rsid w:val="006B5736"/>
    <w:rsid w:val="006B6F41"/>
    <w:rsid w:val="006C0B61"/>
    <w:rsid w:val="006C189E"/>
    <w:rsid w:val="006C1AF9"/>
    <w:rsid w:val="006C314C"/>
    <w:rsid w:val="006C323E"/>
    <w:rsid w:val="006C48B3"/>
    <w:rsid w:val="006C4CD3"/>
    <w:rsid w:val="006C5585"/>
    <w:rsid w:val="006C56F6"/>
    <w:rsid w:val="006C74FD"/>
    <w:rsid w:val="006D22CA"/>
    <w:rsid w:val="006D2BEC"/>
    <w:rsid w:val="006D308F"/>
    <w:rsid w:val="006D5681"/>
    <w:rsid w:val="006D6112"/>
    <w:rsid w:val="006D6482"/>
    <w:rsid w:val="006E089B"/>
    <w:rsid w:val="006E0961"/>
    <w:rsid w:val="006E2BDF"/>
    <w:rsid w:val="006E3198"/>
    <w:rsid w:val="006E5068"/>
    <w:rsid w:val="006E5215"/>
    <w:rsid w:val="006E566A"/>
    <w:rsid w:val="006E7D5D"/>
    <w:rsid w:val="006F4023"/>
    <w:rsid w:val="006F637E"/>
    <w:rsid w:val="006F6D62"/>
    <w:rsid w:val="006F748F"/>
    <w:rsid w:val="006F7AE4"/>
    <w:rsid w:val="0070045B"/>
    <w:rsid w:val="007013B3"/>
    <w:rsid w:val="007042CE"/>
    <w:rsid w:val="00706643"/>
    <w:rsid w:val="00710864"/>
    <w:rsid w:val="00712A03"/>
    <w:rsid w:val="00713333"/>
    <w:rsid w:val="007144DF"/>
    <w:rsid w:val="00715386"/>
    <w:rsid w:val="00716760"/>
    <w:rsid w:val="0071770F"/>
    <w:rsid w:val="0072505D"/>
    <w:rsid w:val="0072552B"/>
    <w:rsid w:val="00725843"/>
    <w:rsid w:val="0072616C"/>
    <w:rsid w:val="00727958"/>
    <w:rsid w:val="00731946"/>
    <w:rsid w:val="007324EB"/>
    <w:rsid w:val="007327F7"/>
    <w:rsid w:val="00733011"/>
    <w:rsid w:val="00734337"/>
    <w:rsid w:val="007355C9"/>
    <w:rsid w:val="00736A8B"/>
    <w:rsid w:val="00740896"/>
    <w:rsid w:val="00744028"/>
    <w:rsid w:val="0074567B"/>
    <w:rsid w:val="007463D4"/>
    <w:rsid w:val="0075074A"/>
    <w:rsid w:val="007508B1"/>
    <w:rsid w:val="00750B6E"/>
    <w:rsid w:val="00751C64"/>
    <w:rsid w:val="007561DB"/>
    <w:rsid w:val="0075781C"/>
    <w:rsid w:val="0076210D"/>
    <w:rsid w:val="0076241E"/>
    <w:rsid w:val="0076249D"/>
    <w:rsid w:val="007654F2"/>
    <w:rsid w:val="00765716"/>
    <w:rsid w:val="00765E21"/>
    <w:rsid w:val="00766B92"/>
    <w:rsid w:val="00773C67"/>
    <w:rsid w:val="007748C2"/>
    <w:rsid w:val="00774E2A"/>
    <w:rsid w:val="007754A5"/>
    <w:rsid w:val="00775559"/>
    <w:rsid w:val="00776284"/>
    <w:rsid w:val="00776B71"/>
    <w:rsid w:val="00776FEA"/>
    <w:rsid w:val="00780189"/>
    <w:rsid w:val="00782973"/>
    <w:rsid w:val="00782FFD"/>
    <w:rsid w:val="00783161"/>
    <w:rsid w:val="00783BC5"/>
    <w:rsid w:val="00786645"/>
    <w:rsid w:val="00786F96"/>
    <w:rsid w:val="00791B76"/>
    <w:rsid w:val="007929C4"/>
    <w:rsid w:val="00793433"/>
    <w:rsid w:val="00795251"/>
    <w:rsid w:val="0079528B"/>
    <w:rsid w:val="00795D4C"/>
    <w:rsid w:val="0079688D"/>
    <w:rsid w:val="00797138"/>
    <w:rsid w:val="007973F3"/>
    <w:rsid w:val="007974A5"/>
    <w:rsid w:val="007A2D56"/>
    <w:rsid w:val="007A321F"/>
    <w:rsid w:val="007A6360"/>
    <w:rsid w:val="007A6D75"/>
    <w:rsid w:val="007A71D6"/>
    <w:rsid w:val="007B031B"/>
    <w:rsid w:val="007B120D"/>
    <w:rsid w:val="007B2030"/>
    <w:rsid w:val="007B2DA7"/>
    <w:rsid w:val="007B4786"/>
    <w:rsid w:val="007B566E"/>
    <w:rsid w:val="007B6230"/>
    <w:rsid w:val="007B63D9"/>
    <w:rsid w:val="007C0A43"/>
    <w:rsid w:val="007C2A13"/>
    <w:rsid w:val="007C3359"/>
    <w:rsid w:val="007C4913"/>
    <w:rsid w:val="007C4BA2"/>
    <w:rsid w:val="007C6D89"/>
    <w:rsid w:val="007D091E"/>
    <w:rsid w:val="007D195E"/>
    <w:rsid w:val="007D1B90"/>
    <w:rsid w:val="007D4056"/>
    <w:rsid w:val="007D6F1F"/>
    <w:rsid w:val="007D6FBF"/>
    <w:rsid w:val="007D7967"/>
    <w:rsid w:val="007D7CFF"/>
    <w:rsid w:val="007E08C0"/>
    <w:rsid w:val="007E10E0"/>
    <w:rsid w:val="007E16E4"/>
    <w:rsid w:val="007E1D51"/>
    <w:rsid w:val="007E2282"/>
    <w:rsid w:val="007E2C19"/>
    <w:rsid w:val="007E3AFB"/>
    <w:rsid w:val="007E4663"/>
    <w:rsid w:val="007E4B08"/>
    <w:rsid w:val="007E77E2"/>
    <w:rsid w:val="007F3382"/>
    <w:rsid w:val="007F39AF"/>
    <w:rsid w:val="007F3CA0"/>
    <w:rsid w:val="007F639D"/>
    <w:rsid w:val="007F7447"/>
    <w:rsid w:val="008014BF"/>
    <w:rsid w:val="00802CFD"/>
    <w:rsid w:val="00803A24"/>
    <w:rsid w:val="00803B51"/>
    <w:rsid w:val="00804C3D"/>
    <w:rsid w:val="00810181"/>
    <w:rsid w:val="00812FDC"/>
    <w:rsid w:val="00813658"/>
    <w:rsid w:val="0081420E"/>
    <w:rsid w:val="00814EFD"/>
    <w:rsid w:val="0081511C"/>
    <w:rsid w:val="00815BD7"/>
    <w:rsid w:val="0081619F"/>
    <w:rsid w:val="00821E97"/>
    <w:rsid w:val="00822239"/>
    <w:rsid w:val="008222B6"/>
    <w:rsid w:val="00822D8E"/>
    <w:rsid w:val="008248B0"/>
    <w:rsid w:val="00826C7B"/>
    <w:rsid w:val="00826FC1"/>
    <w:rsid w:val="00827103"/>
    <w:rsid w:val="00827168"/>
    <w:rsid w:val="00832B45"/>
    <w:rsid w:val="008345F4"/>
    <w:rsid w:val="00835F16"/>
    <w:rsid w:val="00837604"/>
    <w:rsid w:val="00840545"/>
    <w:rsid w:val="008406F7"/>
    <w:rsid w:val="00840CD2"/>
    <w:rsid w:val="00841235"/>
    <w:rsid w:val="00842966"/>
    <w:rsid w:val="008446E6"/>
    <w:rsid w:val="0084768A"/>
    <w:rsid w:val="00851A7F"/>
    <w:rsid w:val="00851C62"/>
    <w:rsid w:val="00851D82"/>
    <w:rsid w:val="0085336F"/>
    <w:rsid w:val="00854984"/>
    <w:rsid w:val="00854A92"/>
    <w:rsid w:val="008629BE"/>
    <w:rsid w:val="00862D77"/>
    <w:rsid w:val="008633F6"/>
    <w:rsid w:val="0086366A"/>
    <w:rsid w:val="00863BF1"/>
    <w:rsid w:val="00864B8E"/>
    <w:rsid w:val="00866438"/>
    <w:rsid w:val="008665AD"/>
    <w:rsid w:val="008708BF"/>
    <w:rsid w:val="00871972"/>
    <w:rsid w:val="0087305D"/>
    <w:rsid w:val="00875703"/>
    <w:rsid w:val="008766F0"/>
    <w:rsid w:val="00876F76"/>
    <w:rsid w:val="00877336"/>
    <w:rsid w:val="0087762A"/>
    <w:rsid w:val="008777FF"/>
    <w:rsid w:val="00877D9D"/>
    <w:rsid w:val="0088174F"/>
    <w:rsid w:val="008818FB"/>
    <w:rsid w:val="0088201D"/>
    <w:rsid w:val="00885E36"/>
    <w:rsid w:val="008875F5"/>
    <w:rsid w:val="00887FDD"/>
    <w:rsid w:val="00890372"/>
    <w:rsid w:val="008908D9"/>
    <w:rsid w:val="00890D67"/>
    <w:rsid w:val="008913F8"/>
    <w:rsid w:val="00891E40"/>
    <w:rsid w:val="00892FCF"/>
    <w:rsid w:val="008947E2"/>
    <w:rsid w:val="008955F1"/>
    <w:rsid w:val="00895CCE"/>
    <w:rsid w:val="008973AB"/>
    <w:rsid w:val="0089751C"/>
    <w:rsid w:val="008976E4"/>
    <w:rsid w:val="008A0049"/>
    <w:rsid w:val="008A02B6"/>
    <w:rsid w:val="008A0D0F"/>
    <w:rsid w:val="008A2FD6"/>
    <w:rsid w:val="008A4AFD"/>
    <w:rsid w:val="008A5165"/>
    <w:rsid w:val="008A5A18"/>
    <w:rsid w:val="008B0BF5"/>
    <w:rsid w:val="008B1C6E"/>
    <w:rsid w:val="008B2304"/>
    <w:rsid w:val="008B429D"/>
    <w:rsid w:val="008B5BBD"/>
    <w:rsid w:val="008C11F0"/>
    <w:rsid w:val="008C245A"/>
    <w:rsid w:val="008C2B19"/>
    <w:rsid w:val="008C392F"/>
    <w:rsid w:val="008C47D1"/>
    <w:rsid w:val="008C5E42"/>
    <w:rsid w:val="008C6B17"/>
    <w:rsid w:val="008C6D0D"/>
    <w:rsid w:val="008D0685"/>
    <w:rsid w:val="008D196D"/>
    <w:rsid w:val="008D3D57"/>
    <w:rsid w:val="008D3F96"/>
    <w:rsid w:val="008D415D"/>
    <w:rsid w:val="008D4BA8"/>
    <w:rsid w:val="008D6149"/>
    <w:rsid w:val="008D6829"/>
    <w:rsid w:val="008D7327"/>
    <w:rsid w:val="008D7A2D"/>
    <w:rsid w:val="008E14E9"/>
    <w:rsid w:val="008E20A4"/>
    <w:rsid w:val="008E30B4"/>
    <w:rsid w:val="008E483F"/>
    <w:rsid w:val="008E5F6E"/>
    <w:rsid w:val="008E66A3"/>
    <w:rsid w:val="008E71ED"/>
    <w:rsid w:val="008E73BC"/>
    <w:rsid w:val="008F1A43"/>
    <w:rsid w:val="008F2494"/>
    <w:rsid w:val="008F346C"/>
    <w:rsid w:val="008F3D66"/>
    <w:rsid w:val="008F4660"/>
    <w:rsid w:val="008F4C9C"/>
    <w:rsid w:val="008F7897"/>
    <w:rsid w:val="008F7953"/>
    <w:rsid w:val="009008CA"/>
    <w:rsid w:val="00901924"/>
    <w:rsid w:val="00901EC7"/>
    <w:rsid w:val="00903FAC"/>
    <w:rsid w:val="00904B9A"/>
    <w:rsid w:val="009060A9"/>
    <w:rsid w:val="00906D30"/>
    <w:rsid w:val="0091156B"/>
    <w:rsid w:val="00911652"/>
    <w:rsid w:val="009123BC"/>
    <w:rsid w:val="00912DC5"/>
    <w:rsid w:val="009137D5"/>
    <w:rsid w:val="009146F9"/>
    <w:rsid w:val="00914922"/>
    <w:rsid w:val="00915389"/>
    <w:rsid w:val="00915E72"/>
    <w:rsid w:val="00916020"/>
    <w:rsid w:val="00917BDB"/>
    <w:rsid w:val="00920691"/>
    <w:rsid w:val="00920831"/>
    <w:rsid w:val="00921FAB"/>
    <w:rsid w:val="0092285C"/>
    <w:rsid w:val="009231AB"/>
    <w:rsid w:val="00924062"/>
    <w:rsid w:val="009242A0"/>
    <w:rsid w:val="00925857"/>
    <w:rsid w:val="00927062"/>
    <w:rsid w:val="009270CE"/>
    <w:rsid w:val="009274A9"/>
    <w:rsid w:val="0093090D"/>
    <w:rsid w:val="009309A7"/>
    <w:rsid w:val="00932024"/>
    <w:rsid w:val="00932CB0"/>
    <w:rsid w:val="00934C5A"/>
    <w:rsid w:val="00937AB0"/>
    <w:rsid w:val="009404AA"/>
    <w:rsid w:val="009411A3"/>
    <w:rsid w:val="009414F6"/>
    <w:rsid w:val="009458A0"/>
    <w:rsid w:val="00945C0E"/>
    <w:rsid w:val="0095016D"/>
    <w:rsid w:val="00950719"/>
    <w:rsid w:val="009507DB"/>
    <w:rsid w:val="00950FA6"/>
    <w:rsid w:val="009524FD"/>
    <w:rsid w:val="00953488"/>
    <w:rsid w:val="00954897"/>
    <w:rsid w:val="00957FCC"/>
    <w:rsid w:val="00960235"/>
    <w:rsid w:val="0096063E"/>
    <w:rsid w:val="00960EA0"/>
    <w:rsid w:val="00961117"/>
    <w:rsid w:val="00962233"/>
    <w:rsid w:val="00962C66"/>
    <w:rsid w:val="00965791"/>
    <w:rsid w:val="0097163B"/>
    <w:rsid w:val="00972899"/>
    <w:rsid w:val="00973EBE"/>
    <w:rsid w:val="009747AC"/>
    <w:rsid w:val="009747C5"/>
    <w:rsid w:val="00974A51"/>
    <w:rsid w:val="0097596E"/>
    <w:rsid w:val="0097619C"/>
    <w:rsid w:val="00976C53"/>
    <w:rsid w:val="00980F30"/>
    <w:rsid w:val="00982AE1"/>
    <w:rsid w:val="00982E63"/>
    <w:rsid w:val="009830CA"/>
    <w:rsid w:val="00983ACB"/>
    <w:rsid w:val="009845FF"/>
    <w:rsid w:val="00985F47"/>
    <w:rsid w:val="00986EF2"/>
    <w:rsid w:val="0099183A"/>
    <w:rsid w:val="00992390"/>
    <w:rsid w:val="00994542"/>
    <w:rsid w:val="00994ACA"/>
    <w:rsid w:val="00994DDE"/>
    <w:rsid w:val="009A122D"/>
    <w:rsid w:val="009A14CA"/>
    <w:rsid w:val="009A5794"/>
    <w:rsid w:val="009A7E7B"/>
    <w:rsid w:val="009B09D2"/>
    <w:rsid w:val="009B1251"/>
    <w:rsid w:val="009B2036"/>
    <w:rsid w:val="009B24FD"/>
    <w:rsid w:val="009B40E6"/>
    <w:rsid w:val="009B4C09"/>
    <w:rsid w:val="009C0D7F"/>
    <w:rsid w:val="009C2DF7"/>
    <w:rsid w:val="009C3C8E"/>
    <w:rsid w:val="009C42C5"/>
    <w:rsid w:val="009C5046"/>
    <w:rsid w:val="009C5515"/>
    <w:rsid w:val="009C5FD1"/>
    <w:rsid w:val="009C61F3"/>
    <w:rsid w:val="009C671A"/>
    <w:rsid w:val="009D02D5"/>
    <w:rsid w:val="009D058B"/>
    <w:rsid w:val="009D0886"/>
    <w:rsid w:val="009D2A83"/>
    <w:rsid w:val="009D43FA"/>
    <w:rsid w:val="009D5E0A"/>
    <w:rsid w:val="009D61EE"/>
    <w:rsid w:val="009D6BAD"/>
    <w:rsid w:val="009D6D88"/>
    <w:rsid w:val="009D721F"/>
    <w:rsid w:val="009E020D"/>
    <w:rsid w:val="009E09D7"/>
    <w:rsid w:val="009E2DDE"/>
    <w:rsid w:val="009E34CB"/>
    <w:rsid w:val="009E7679"/>
    <w:rsid w:val="009F0C89"/>
    <w:rsid w:val="009F20C7"/>
    <w:rsid w:val="009F216A"/>
    <w:rsid w:val="009F3EE0"/>
    <w:rsid w:val="009F7735"/>
    <w:rsid w:val="009F7B6A"/>
    <w:rsid w:val="009F7CC0"/>
    <w:rsid w:val="00A005C3"/>
    <w:rsid w:val="00A01010"/>
    <w:rsid w:val="00A01163"/>
    <w:rsid w:val="00A01AC1"/>
    <w:rsid w:val="00A0281D"/>
    <w:rsid w:val="00A04BED"/>
    <w:rsid w:val="00A06D3E"/>
    <w:rsid w:val="00A07166"/>
    <w:rsid w:val="00A078EE"/>
    <w:rsid w:val="00A12E09"/>
    <w:rsid w:val="00A20AA5"/>
    <w:rsid w:val="00A25A6A"/>
    <w:rsid w:val="00A25D03"/>
    <w:rsid w:val="00A300D7"/>
    <w:rsid w:val="00A30195"/>
    <w:rsid w:val="00A306E4"/>
    <w:rsid w:val="00A30B5F"/>
    <w:rsid w:val="00A31AE2"/>
    <w:rsid w:val="00A32F6C"/>
    <w:rsid w:val="00A344AF"/>
    <w:rsid w:val="00A3712F"/>
    <w:rsid w:val="00A379FA"/>
    <w:rsid w:val="00A422E8"/>
    <w:rsid w:val="00A43AA4"/>
    <w:rsid w:val="00A442C7"/>
    <w:rsid w:val="00A44C41"/>
    <w:rsid w:val="00A459AE"/>
    <w:rsid w:val="00A461B5"/>
    <w:rsid w:val="00A47833"/>
    <w:rsid w:val="00A50F3B"/>
    <w:rsid w:val="00A53538"/>
    <w:rsid w:val="00A5414A"/>
    <w:rsid w:val="00A55E5B"/>
    <w:rsid w:val="00A55FBA"/>
    <w:rsid w:val="00A571B9"/>
    <w:rsid w:val="00A57CE3"/>
    <w:rsid w:val="00A57DFE"/>
    <w:rsid w:val="00A64915"/>
    <w:rsid w:val="00A6529C"/>
    <w:rsid w:val="00A65A6B"/>
    <w:rsid w:val="00A6615C"/>
    <w:rsid w:val="00A669BC"/>
    <w:rsid w:val="00A6797C"/>
    <w:rsid w:val="00A67AD6"/>
    <w:rsid w:val="00A7072F"/>
    <w:rsid w:val="00A71E87"/>
    <w:rsid w:val="00A732CB"/>
    <w:rsid w:val="00A74070"/>
    <w:rsid w:val="00A7512D"/>
    <w:rsid w:val="00A80295"/>
    <w:rsid w:val="00A84368"/>
    <w:rsid w:val="00A87010"/>
    <w:rsid w:val="00A8747B"/>
    <w:rsid w:val="00A87758"/>
    <w:rsid w:val="00A87A1B"/>
    <w:rsid w:val="00A90458"/>
    <w:rsid w:val="00A9058B"/>
    <w:rsid w:val="00A90A52"/>
    <w:rsid w:val="00A90A9E"/>
    <w:rsid w:val="00A9243D"/>
    <w:rsid w:val="00A927EA"/>
    <w:rsid w:val="00A94A07"/>
    <w:rsid w:val="00A95186"/>
    <w:rsid w:val="00A95196"/>
    <w:rsid w:val="00A96571"/>
    <w:rsid w:val="00A96810"/>
    <w:rsid w:val="00AA0BCE"/>
    <w:rsid w:val="00AA27BF"/>
    <w:rsid w:val="00AA39E6"/>
    <w:rsid w:val="00AA5974"/>
    <w:rsid w:val="00AA5F6A"/>
    <w:rsid w:val="00AA6C71"/>
    <w:rsid w:val="00AA7B0B"/>
    <w:rsid w:val="00AB004E"/>
    <w:rsid w:val="00AB053F"/>
    <w:rsid w:val="00AB0E87"/>
    <w:rsid w:val="00AB1691"/>
    <w:rsid w:val="00AB257C"/>
    <w:rsid w:val="00AB272A"/>
    <w:rsid w:val="00AB304F"/>
    <w:rsid w:val="00AB3947"/>
    <w:rsid w:val="00AB3BA5"/>
    <w:rsid w:val="00AB4943"/>
    <w:rsid w:val="00AB55B7"/>
    <w:rsid w:val="00AB5DDD"/>
    <w:rsid w:val="00AB6785"/>
    <w:rsid w:val="00AB7E36"/>
    <w:rsid w:val="00AC0BC1"/>
    <w:rsid w:val="00AC0F22"/>
    <w:rsid w:val="00AC25B3"/>
    <w:rsid w:val="00AC2BDF"/>
    <w:rsid w:val="00AC386A"/>
    <w:rsid w:val="00AC38AA"/>
    <w:rsid w:val="00AC3B1A"/>
    <w:rsid w:val="00AC4370"/>
    <w:rsid w:val="00AC4D3A"/>
    <w:rsid w:val="00AC7964"/>
    <w:rsid w:val="00AC7C3E"/>
    <w:rsid w:val="00AD100F"/>
    <w:rsid w:val="00AD15D4"/>
    <w:rsid w:val="00AD1F7D"/>
    <w:rsid w:val="00AD2560"/>
    <w:rsid w:val="00AD2752"/>
    <w:rsid w:val="00AD2F65"/>
    <w:rsid w:val="00AD3218"/>
    <w:rsid w:val="00AD5898"/>
    <w:rsid w:val="00AD5D09"/>
    <w:rsid w:val="00AE08E8"/>
    <w:rsid w:val="00AE0B7E"/>
    <w:rsid w:val="00AE0EC8"/>
    <w:rsid w:val="00AE1692"/>
    <w:rsid w:val="00AE20AB"/>
    <w:rsid w:val="00AE2580"/>
    <w:rsid w:val="00AE4463"/>
    <w:rsid w:val="00AE5B66"/>
    <w:rsid w:val="00AE64D5"/>
    <w:rsid w:val="00AE7627"/>
    <w:rsid w:val="00AE77E1"/>
    <w:rsid w:val="00AE7E33"/>
    <w:rsid w:val="00AF068D"/>
    <w:rsid w:val="00AF4533"/>
    <w:rsid w:val="00AF5A35"/>
    <w:rsid w:val="00AF5B6F"/>
    <w:rsid w:val="00B00518"/>
    <w:rsid w:val="00B01707"/>
    <w:rsid w:val="00B0481B"/>
    <w:rsid w:val="00B05017"/>
    <w:rsid w:val="00B05C66"/>
    <w:rsid w:val="00B074FB"/>
    <w:rsid w:val="00B07C5C"/>
    <w:rsid w:val="00B10FD0"/>
    <w:rsid w:val="00B130AF"/>
    <w:rsid w:val="00B13C20"/>
    <w:rsid w:val="00B14A14"/>
    <w:rsid w:val="00B154D8"/>
    <w:rsid w:val="00B158ED"/>
    <w:rsid w:val="00B16553"/>
    <w:rsid w:val="00B16DB3"/>
    <w:rsid w:val="00B1795A"/>
    <w:rsid w:val="00B17CA0"/>
    <w:rsid w:val="00B203CF"/>
    <w:rsid w:val="00B204FD"/>
    <w:rsid w:val="00B2323B"/>
    <w:rsid w:val="00B25C1A"/>
    <w:rsid w:val="00B25F4A"/>
    <w:rsid w:val="00B26045"/>
    <w:rsid w:val="00B269A9"/>
    <w:rsid w:val="00B3176E"/>
    <w:rsid w:val="00B31A37"/>
    <w:rsid w:val="00B3209A"/>
    <w:rsid w:val="00B320B0"/>
    <w:rsid w:val="00B3249C"/>
    <w:rsid w:val="00B33501"/>
    <w:rsid w:val="00B34621"/>
    <w:rsid w:val="00B348FB"/>
    <w:rsid w:val="00B355C9"/>
    <w:rsid w:val="00B35619"/>
    <w:rsid w:val="00B416C3"/>
    <w:rsid w:val="00B41AA2"/>
    <w:rsid w:val="00B44724"/>
    <w:rsid w:val="00B4475E"/>
    <w:rsid w:val="00B463AF"/>
    <w:rsid w:val="00B47A23"/>
    <w:rsid w:val="00B47DBC"/>
    <w:rsid w:val="00B51C03"/>
    <w:rsid w:val="00B51C17"/>
    <w:rsid w:val="00B5540D"/>
    <w:rsid w:val="00B56429"/>
    <w:rsid w:val="00B56A1E"/>
    <w:rsid w:val="00B6057E"/>
    <w:rsid w:val="00B624EC"/>
    <w:rsid w:val="00B6432E"/>
    <w:rsid w:val="00B64EC4"/>
    <w:rsid w:val="00B656F4"/>
    <w:rsid w:val="00B6762E"/>
    <w:rsid w:val="00B67E8F"/>
    <w:rsid w:val="00B70E72"/>
    <w:rsid w:val="00B712B0"/>
    <w:rsid w:val="00B72A9D"/>
    <w:rsid w:val="00B72EB6"/>
    <w:rsid w:val="00B74A6D"/>
    <w:rsid w:val="00B81738"/>
    <w:rsid w:val="00B829C7"/>
    <w:rsid w:val="00B82D97"/>
    <w:rsid w:val="00B83C57"/>
    <w:rsid w:val="00B84970"/>
    <w:rsid w:val="00B8621F"/>
    <w:rsid w:val="00B874E5"/>
    <w:rsid w:val="00B91F08"/>
    <w:rsid w:val="00B930C1"/>
    <w:rsid w:val="00B93850"/>
    <w:rsid w:val="00B939B1"/>
    <w:rsid w:val="00B93F0A"/>
    <w:rsid w:val="00B945E1"/>
    <w:rsid w:val="00B9470A"/>
    <w:rsid w:val="00B95311"/>
    <w:rsid w:val="00B95838"/>
    <w:rsid w:val="00B96A45"/>
    <w:rsid w:val="00B96CA6"/>
    <w:rsid w:val="00BA088C"/>
    <w:rsid w:val="00BA0C79"/>
    <w:rsid w:val="00BA1006"/>
    <w:rsid w:val="00BA10A3"/>
    <w:rsid w:val="00BA2C24"/>
    <w:rsid w:val="00BA2FF2"/>
    <w:rsid w:val="00BA3C05"/>
    <w:rsid w:val="00BA3E14"/>
    <w:rsid w:val="00BA4E07"/>
    <w:rsid w:val="00BA556E"/>
    <w:rsid w:val="00BB03CC"/>
    <w:rsid w:val="00BB1C26"/>
    <w:rsid w:val="00BB25C6"/>
    <w:rsid w:val="00BB35E7"/>
    <w:rsid w:val="00BB36F3"/>
    <w:rsid w:val="00BB3F2C"/>
    <w:rsid w:val="00BB4602"/>
    <w:rsid w:val="00BB549E"/>
    <w:rsid w:val="00BB6BB0"/>
    <w:rsid w:val="00BB7FE3"/>
    <w:rsid w:val="00BC0067"/>
    <w:rsid w:val="00BC053E"/>
    <w:rsid w:val="00BC16E4"/>
    <w:rsid w:val="00BC18CC"/>
    <w:rsid w:val="00BC24F2"/>
    <w:rsid w:val="00BC2904"/>
    <w:rsid w:val="00BC3464"/>
    <w:rsid w:val="00BC3C3B"/>
    <w:rsid w:val="00BC3E1F"/>
    <w:rsid w:val="00BC4191"/>
    <w:rsid w:val="00BC70A4"/>
    <w:rsid w:val="00BC7643"/>
    <w:rsid w:val="00BD1295"/>
    <w:rsid w:val="00BD2BE9"/>
    <w:rsid w:val="00BD3B69"/>
    <w:rsid w:val="00BD4C25"/>
    <w:rsid w:val="00BD4F83"/>
    <w:rsid w:val="00BD6E3F"/>
    <w:rsid w:val="00BD7CF0"/>
    <w:rsid w:val="00BE052E"/>
    <w:rsid w:val="00BE155E"/>
    <w:rsid w:val="00BE1923"/>
    <w:rsid w:val="00BE2AD1"/>
    <w:rsid w:val="00BE2CCB"/>
    <w:rsid w:val="00BE437B"/>
    <w:rsid w:val="00BE47AD"/>
    <w:rsid w:val="00BE5BFE"/>
    <w:rsid w:val="00BE6566"/>
    <w:rsid w:val="00BE7043"/>
    <w:rsid w:val="00BF2062"/>
    <w:rsid w:val="00BF282D"/>
    <w:rsid w:val="00BF301D"/>
    <w:rsid w:val="00BF40BE"/>
    <w:rsid w:val="00BF44E0"/>
    <w:rsid w:val="00BF54DE"/>
    <w:rsid w:val="00BF56C6"/>
    <w:rsid w:val="00BF5AF6"/>
    <w:rsid w:val="00BF6D5D"/>
    <w:rsid w:val="00BF7E4F"/>
    <w:rsid w:val="00C02BDB"/>
    <w:rsid w:val="00C05945"/>
    <w:rsid w:val="00C068DC"/>
    <w:rsid w:val="00C12504"/>
    <w:rsid w:val="00C12C94"/>
    <w:rsid w:val="00C139A2"/>
    <w:rsid w:val="00C14219"/>
    <w:rsid w:val="00C14851"/>
    <w:rsid w:val="00C15254"/>
    <w:rsid w:val="00C157CD"/>
    <w:rsid w:val="00C1655D"/>
    <w:rsid w:val="00C1661B"/>
    <w:rsid w:val="00C21262"/>
    <w:rsid w:val="00C23282"/>
    <w:rsid w:val="00C2556B"/>
    <w:rsid w:val="00C26B52"/>
    <w:rsid w:val="00C26C5B"/>
    <w:rsid w:val="00C27524"/>
    <w:rsid w:val="00C277FA"/>
    <w:rsid w:val="00C308AB"/>
    <w:rsid w:val="00C32389"/>
    <w:rsid w:val="00C323A5"/>
    <w:rsid w:val="00C340C0"/>
    <w:rsid w:val="00C34CF4"/>
    <w:rsid w:val="00C35812"/>
    <w:rsid w:val="00C423F7"/>
    <w:rsid w:val="00C4434E"/>
    <w:rsid w:val="00C44671"/>
    <w:rsid w:val="00C46D09"/>
    <w:rsid w:val="00C474B4"/>
    <w:rsid w:val="00C5016C"/>
    <w:rsid w:val="00C51132"/>
    <w:rsid w:val="00C51B7F"/>
    <w:rsid w:val="00C51E1D"/>
    <w:rsid w:val="00C545B8"/>
    <w:rsid w:val="00C572D6"/>
    <w:rsid w:val="00C60A45"/>
    <w:rsid w:val="00C618B1"/>
    <w:rsid w:val="00C62479"/>
    <w:rsid w:val="00C65556"/>
    <w:rsid w:val="00C673D0"/>
    <w:rsid w:val="00C67F43"/>
    <w:rsid w:val="00C7082D"/>
    <w:rsid w:val="00C70D05"/>
    <w:rsid w:val="00C71141"/>
    <w:rsid w:val="00C71863"/>
    <w:rsid w:val="00C7304E"/>
    <w:rsid w:val="00C73F54"/>
    <w:rsid w:val="00C744D4"/>
    <w:rsid w:val="00C7496C"/>
    <w:rsid w:val="00C75C51"/>
    <w:rsid w:val="00C75D73"/>
    <w:rsid w:val="00C76DD0"/>
    <w:rsid w:val="00C77307"/>
    <w:rsid w:val="00C77538"/>
    <w:rsid w:val="00C77884"/>
    <w:rsid w:val="00C810CF"/>
    <w:rsid w:val="00C8209D"/>
    <w:rsid w:val="00C8278C"/>
    <w:rsid w:val="00C8281D"/>
    <w:rsid w:val="00C8295E"/>
    <w:rsid w:val="00C83E84"/>
    <w:rsid w:val="00C8444A"/>
    <w:rsid w:val="00C84FAB"/>
    <w:rsid w:val="00C8555A"/>
    <w:rsid w:val="00C857B0"/>
    <w:rsid w:val="00C86342"/>
    <w:rsid w:val="00C86809"/>
    <w:rsid w:val="00C92319"/>
    <w:rsid w:val="00C933BD"/>
    <w:rsid w:val="00C95654"/>
    <w:rsid w:val="00C95812"/>
    <w:rsid w:val="00C97AA6"/>
    <w:rsid w:val="00CA0818"/>
    <w:rsid w:val="00CA1955"/>
    <w:rsid w:val="00CA4845"/>
    <w:rsid w:val="00CA520E"/>
    <w:rsid w:val="00CA6351"/>
    <w:rsid w:val="00CA6697"/>
    <w:rsid w:val="00CA725C"/>
    <w:rsid w:val="00CB0B3C"/>
    <w:rsid w:val="00CB2101"/>
    <w:rsid w:val="00CB2B4B"/>
    <w:rsid w:val="00CB3B9A"/>
    <w:rsid w:val="00CB4F3E"/>
    <w:rsid w:val="00CB5F9D"/>
    <w:rsid w:val="00CB64F1"/>
    <w:rsid w:val="00CC0469"/>
    <w:rsid w:val="00CC0B6B"/>
    <w:rsid w:val="00CC1450"/>
    <w:rsid w:val="00CC67C4"/>
    <w:rsid w:val="00CD115C"/>
    <w:rsid w:val="00CD174B"/>
    <w:rsid w:val="00CD3749"/>
    <w:rsid w:val="00CD3D1D"/>
    <w:rsid w:val="00CD3F28"/>
    <w:rsid w:val="00CD4A1A"/>
    <w:rsid w:val="00CD74B3"/>
    <w:rsid w:val="00CE0E4D"/>
    <w:rsid w:val="00CE189E"/>
    <w:rsid w:val="00CE2DA4"/>
    <w:rsid w:val="00CE3213"/>
    <w:rsid w:val="00CE3687"/>
    <w:rsid w:val="00CE3ED8"/>
    <w:rsid w:val="00CE4521"/>
    <w:rsid w:val="00CE4DE3"/>
    <w:rsid w:val="00CE5628"/>
    <w:rsid w:val="00CE5774"/>
    <w:rsid w:val="00CE66FD"/>
    <w:rsid w:val="00CE6BB4"/>
    <w:rsid w:val="00CE77A8"/>
    <w:rsid w:val="00CF3539"/>
    <w:rsid w:val="00CF37DC"/>
    <w:rsid w:val="00CF4B7F"/>
    <w:rsid w:val="00CF5CED"/>
    <w:rsid w:val="00CF71E3"/>
    <w:rsid w:val="00D00132"/>
    <w:rsid w:val="00D01229"/>
    <w:rsid w:val="00D02196"/>
    <w:rsid w:val="00D02E65"/>
    <w:rsid w:val="00D03317"/>
    <w:rsid w:val="00D03B25"/>
    <w:rsid w:val="00D04331"/>
    <w:rsid w:val="00D052A4"/>
    <w:rsid w:val="00D067E6"/>
    <w:rsid w:val="00D068F8"/>
    <w:rsid w:val="00D06A58"/>
    <w:rsid w:val="00D0776A"/>
    <w:rsid w:val="00D134FC"/>
    <w:rsid w:val="00D136D6"/>
    <w:rsid w:val="00D139F5"/>
    <w:rsid w:val="00D16FDC"/>
    <w:rsid w:val="00D172B9"/>
    <w:rsid w:val="00D22C9C"/>
    <w:rsid w:val="00D23166"/>
    <w:rsid w:val="00D2325B"/>
    <w:rsid w:val="00D27AB8"/>
    <w:rsid w:val="00D31F3E"/>
    <w:rsid w:val="00D350CB"/>
    <w:rsid w:val="00D3543A"/>
    <w:rsid w:val="00D35785"/>
    <w:rsid w:val="00D37FC6"/>
    <w:rsid w:val="00D404C1"/>
    <w:rsid w:val="00D407CD"/>
    <w:rsid w:val="00D40C14"/>
    <w:rsid w:val="00D419F0"/>
    <w:rsid w:val="00D4249D"/>
    <w:rsid w:val="00D42734"/>
    <w:rsid w:val="00D44D1D"/>
    <w:rsid w:val="00D45F7E"/>
    <w:rsid w:val="00D50C25"/>
    <w:rsid w:val="00D61312"/>
    <w:rsid w:val="00D62423"/>
    <w:rsid w:val="00D62B33"/>
    <w:rsid w:val="00D6363B"/>
    <w:rsid w:val="00D638DF"/>
    <w:rsid w:val="00D63A95"/>
    <w:rsid w:val="00D64FF7"/>
    <w:rsid w:val="00D65259"/>
    <w:rsid w:val="00D6675D"/>
    <w:rsid w:val="00D71700"/>
    <w:rsid w:val="00D723CD"/>
    <w:rsid w:val="00D72716"/>
    <w:rsid w:val="00D73713"/>
    <w:rsid w:val="00D73A6A"/>
    <w:rsid w:val="00D73EF3"/>
    <w:rsid w:val="00D755ED"/>
    <w:rsid w:val="00D756BC"/>
    <w:rsid w:val="00D76E29"/>
    <w:rsid w:val="00D77A0C"/>
    <w:rsid w:val="00D77B58"/>
    <w:rsid w:val="00D80309"/>
    <w:rsid w:val="00D81E05"/>
    <w:rsid w:val="00D83804"/>
    <w:rsid w:val="00D843CE"/>
    <w:rsid w:val="00D8614E"/>
    <w:rsid w:val="00D869EF"/>
    <w:rsid w:val="00D879DA"/>
    <w:rsid w:val="00D91363"/>
    <w:rsid w:val="00D92041"/>
    <w:rsid w:val="00D93D2F"/>
    <w:rsid w:val="00D9442E"/>
    <w:rsid w:val="00D94E5E"/>
    <w:rsid w:val="00D95F02"/>
    <w:rsid w:val="00D95F14"/>
    <w:rsid w:val="00D96EA4"/>
    <w:rsid w:val="00D973BE"/>
    <w:rsid w:val="00DA1371"/>
    <w:rsid w:val="00DA2AA7"/>
    <w:rsid w:val="00DA2BE0"/>
    <w:rsid w:val="00DA312A"/>
    <w:rsid w:val="00DA4A71"/>
    <w:rsid w:val="00DA5366"/>
    <w:rsid w:val="00DA7811"/>
    <w:rsid w:val="00DB19E3"/>
    <w:rsid w:val="00DB4212"/>
    <w:rsid w:val="00DB6946"/>
    <w:rsid w:val="00DC0381"/>
    <w:rsid w:val="00DC15E0"/>
    <w:rsid w:val="00DC1714"/>
    <w:rsid w:val="00DC493A"/>
    <w:rsid w:val="00DC52F9"/>
    <w:rsid w:val="00DC7B3F"/>
    <w:rsid w:val="00DD0A80"/>
    <w:rsid w:val="00DD266B"/>
    <w:rsid w:val="00DD39A1"/>
    <w:rsid w:val="00DD4CBE"/>
    <w:rsid w:val="00DD5926"/>
    <w:rsid w:val="00DD6FB7"/>
    <w:rsid w:val="00DE1B1C"/>
    <w:rsid w:val="00DE1FE8"/>
    <w:rsid w:val="00DE227B"/>
    <w:rsid w:val="00DE289A"/>
    <w:rsid w:val="00DE2DC6"/>
    <w:rsid w:val="00DE3A95"/>
    <w:rsid w:val="00DE49D7"/>
    <w:rsid w:val="00DE4A52"/>
    <w:rsid w:val="00DE50BE"/>
    <w:rsid w:val="00DE5252"/>
    <w:rsid w:val="00DE5806"/>
    <w:rsid w:val="00DE5BD7"/>
    <w:rsid w:val="00DE634E"/>
    <w:rsid w:val="00DF09C5"/>
    <w:rsid w:val="00DF293A"/>
    <w:rsid w:val="00DF59B0"/>
    <w:rsid w:val="00DF623F"/>
    <w:rsid w:val="00DF6E0C"/>
    <w:rsid w:val="00DF71E1"/>
    <w:rsid w:val="00E02855"/>
    <w:rsid w:val="00E02C55"/>
    <w:rsid w:val="00E03947"/>
    <w:rsid w:val="00E07038"/>
    <w:rsid w:val="00E113B2"/>
    <w:rsid w:val="00E11AB1"/>
    <w:rsid w:val="00E12831"/>
    <w:rsid w:val="00E13E3B"/>
    <w:rsid w:val="00E14205"/>
    <w:rsid w:val="00E14788"/>
    <w:rsid w:val="00E14E6D"/>
    <w:rsid w:val="00E15F57"/>
    <w:rsid w:val="00E1652D"/>
    <w:rsid w:val="00E16577"/>
    <w:rsid w:val="00E17BF7"/>
    <w:rsid w:val="00E20149"/>
    <w:rsid w:val="00E203E8"/>
    <w:rsid w:val="00E206D2"/>
    <w:rsid w:val="00E20B7F"/>
    <w:rsid w:val="00E233AB"/>
    <w:rsid w:val="00E25014"/>
    <w:rsid w:val="00E31FF7"/>
    <w:rsid w:val="00E321D7"/>
    <w:rsid w:val="00E3287A"/>
    <w:rsid w:val="00E35798"/>
    <w:rsid w:val="00E35B24"/>
    <w:rsid w:val="00E37015"/>
    <w:rsid w:val="00E42D2D"/>
    <w:rsid w:val="00E42DFC"/>
    <w:rsid w:val="00E4416F"/>
    <w:rsid w:val="00E45576"/>
    <w:rsid w:val="00E4616C"/>
    <w:rsid w:val="00E462E5"/>
    <w:rsid w:val="00E46BC7"/>
    <w:rsid w:val="00E47435"/>
    <w:rsid w:val="00E510F9"/>
    <w:rsid w:val="00E51F5D"/>
    <w:rsid w:val="00E53FF8"/>
    <w:rsid w:val="00E54A51"/>
    <w:rsid w:val="00E56808"/>
    <w:rsid w:val="00E57264"/>
    <w:rsid w:val="00E57B96"/>
    <w:rsid w:val="00E61432"/>
    <w:rsid w:val="00E620D6"/>
    <w:rsid w:val="00E6517E"/>
    <w:rsid w:val="00E66057"/>
    <w:rsid w:val="00E67A1B"/>
    <w:rsid w:val="00E72994"/>
    <w:rsid w:val="00E733A9"/>
    <w:rsid w:val="00E737DD"/>
    <w:rsid w:val="00E73A56"/>
    <w:rsid w:val="00E74B15"/>
    <w:rsid w:val="00E768AA"/>
    <w:rsid w:val="00E838D9"/>
    <w:rsid w:val="00E84007"/>
    <w:rsid w:val="00E843EB"/>
    <w:rsid w:val="00E8482B"/>
    <w:rsid w:val="00E85119"/>
    <w:rsid w:val="00E909E3"/>
    <w:rsid w:val="00E928C8"/>
    <w:rsid w:val="00E97334"/>
    <w:rsid w:val="00E978DE"/>
    <w:rsid w:val="00EA1EB2"/>
    <w:rsid w:val="00EA2184"/>
    <w:rsid w:val="00EA24CF"/>
    <w:rsid w:val="00EA2929"/>
    <w:rsid w:val="00EA2DBA"/>
    <w:rsid w:val="00EA5216"/>
    <w:rsid w:val="00EA64F8"/>
    <w:rsid w:val="00EB1FB1"/>
    <w:rsid w:val="00EB2018"/>
    <w:rsid w:val="00EB53A1"/>
    <w:rsid w:val="00EB6356"/>
    <w:rsid w:val="00EB6E2D"/>
    <w:rsid w:val="00EB7E82"/>
    <w:rsid w:val="00EC0683"/>
    <w:rsid w:val="00EC0900"/>
    <w:rsid w:val="00EC09C4"/>
    <w:rsid w:val="00EC0EB5"/>
    <w:rsid w:val="00EC10A9"/>
    <w:rsid w:val="00EC1B03"/>
    <w:rsid w:val="00EC22D0"/>
    <w:rsid w:val="00EC2A15"/>
    <w:rsid w:val="00EC3C0E"/>
    <w:rsid w:val="00EC6E08"/>
    <w:rsid w:val="00EC7D1D"/>
    <w:rsid w:val="00ED1B5C"/>
    <w:rsid w:val="00ED2C6C"/>
    <w:rsid w:val="00ED478C"/>
    <w:rsid w:val="00ED6872"/>
    <w:rsid w:val="00ED6B01"/>
    <w:rsid w:val="00ED7036"/>
    <w:rsid w:val="00ED716F"/>
    <w:rsid w:val="00EE1044"/>
    <w:rsid w:val="00EE2106"/>
    <w:rsid w:val="00EE2A75"/>
    <w:rsid w:val="00EE3743"/>
    <w:rsid w:val="00EE3C2F"/>
    <w:rsid w:val="00EE3C92"/>
    <w:rsid w:val="00EE4C00"/>
    <w:rsid w:val="00EE4CD5"/>
    <w:rsid w:val="00EE4CEC"/>
    <w:rsid w:val="00EE4FC2"/>
    <w:rsid w:val="00EE5B77"/>
    <w:rsid w:val="00EE5FFE"/>
    <w:rsid w:val="00EE708E"/>
    <w:rsid w:val="00EF04BA"/>
    <w:rsid w:val="00EF19C2"/>
    <w:rsid w:val="00EF264F"/>
    <w:rsid w:val="00EF2E78"/>
    <w:rsid w:val="00EF45FE"/>
    <w:rsid w:val="00EF4E3F"/>
    <w:rsid w:val="00EF4ED4"/>
    <w:rsid w:val="00EF5060"/>
    <w:rsid w:val="00EF6E46"/>
    <w:rsid w:val="00EF7AB2"/>
    <w:rsid w:val="00EF7B07"/>
    <w:rsid w:val="00F039B2"/>
    <w:rsid w:val="00F05381"/>
    <w:rsid w:val="00F06702"/>
    <w:rsid w:val="00F0675F"/>
    <w:rsid w:val="00F075B3"/>
    <w:rsid w:val="00F0762F"/>
    <w:rsid w:val="00F11D10"/>
    <w:rsid w:val="00F1237C"/>
    <w:rsid w:val="00F12B59"/>
    <w:rsid w:val="00F133E0"/>
    <w:rsid w:val="00F13D6A"/>
    <w:rsid w:val="00F13EA1"/>
    <w:rsid w:val="00F148FF"/>
    <w:rsid w:val="00F15CE4"/>
    <w:rsid w:val="00F16063"/>
    <w:rsid w:val="00F16693"/>
    <w:rsid w:val="00F173FC"/>
    <w:rsid w:val="00F20592"/>
    <w:rsid w:val="00F22947"/>
    <w:rsid w:val="00F23214"/>
    <w:rsid w:val="00F23B6A"/>
    <w:rsid w:val="00F23C9C"/>
    <w:rsid w:val="00F24C42"/>
    <w:rsid w:val="00F24CA7"/>
    <w:rsid w:val="00F25896"/>
    <w:rsid w:val="00F25D15"/>
    <w:rsid w:val="00F26F2D"/>
    <w:rsid w:val="00F27D0F"/>
    <w:rsid w:val="00F3014B"/>
    <w:rsid w:val="00F30B9D"/>
    <w:rsid w:val="00F30D73"/>
    <w:rsid w:val="00F31206"/>
    <w:rsid w:val="00F315D2"/>
    <w:rsid w:val="00F3266B"/>
    <w:rsid w:val="00F33124"/>
    <w:rsid w:val="00F33419"/>
    <w:rsid w:val="00F34151"/>
    <w:rsid w:val="00F3737D"/>
    <w:rsid w:val="00F37E88"/>
    <w:rsid w:val="00F43086"/>
    <w:rsid w:val="00F470C3"/>
    <w:rsid w:val="00F510EC"/>
    <w:rsid w:val="00F52258"/>
    <w:rsid w:val="00F52C94"/>
    <w:rsid w:val="00F52DD2"/>
    <w:rsid w:val="00F52F2B"/>
    <w:rsid w:val="00F54468"/>
    <w:rsid w:val="00F562E2"/>
    <w:rsid w:val="00F56F8E"/>
    <w:rsid w:val="00F57C39"/>
    <w:rsid w:val="00F602CD"/>
    <w:rsid w:val="00F6099A"/>
    <w:rsid w:val="00F611A4"/>
    <w:rsid w:val="00F61455"/>
    <w:rsid w:val="00F62299"/>
    <w:rsid w:val="00F6472A"/>
    <w:rsid w:val="00F653B2"/>
    <w:rsid w:val="00F6640C"/>
    <w:rsid w:val="00F67308"/>
    <w:rsid w:val="00F67D43"/>
    <w:rsid w:val="00F705F5"/>
    <w:rsid w:val="00F7138B"/>
    <w:rsid w:val="00F71703"/>
    <w:rsid w:val="00F728A4"/>
    <w:rsid w:val="00F72A90"/>
    <w:rsid w:val="00F7333E"/>
    <w:rsid w:val="00F741DC"/>
    <w:rsid w:val="00F74744"/>
    <w:rsid w:val="00F747EA"/>
    <w:rsid w:val="00F74884"/>
    <w:rsid w:val="00F766AE"/>
    <w:rsid w:val="00F77030"/>
    <w:rsid w:val="00F771BF"/>
    <w:rsid w:val="00F77DB4"/>
    <w:rsid w:val="00F80E12"/>
    <w:rsid w:val="00F826B6"/>
    <w:rsid w:val="00F83F27"/>
    <w:rsid w:val="00F8520B"/>
    <w:rsid w:val="00F85E0A"/>
    <w:rsid w:val="00F875C2"/>
    <w:rsid w:val="00F92FA3"/>
    <w:rsid w:val="00F97AB8"/>
    <w:rsid w:val="00FA0751"/>
    <w:rsid w:val="00FA0F3D"/>
    <w:rsid w:val="00FA11EC"/>
    <w:rsid w:val="00FA13E8"/>
    <w:rsid w:val="00FA3986"/>
    <w:rsid w:val="00FA4DBF"/>
    <w:rsid w:val="00FA5B81"/>
    <w:rsid w:val="00FA5FCE"/>
    <w:rsid w:val="00FA62C4"/>
    <w:rsid w:val="00FA6587"/>
    <w:rsid w:val="00FA7E6E"/>
    <w:rsid w:val="00FB0560"/>
    <w:rsid w:val="00FB27E3"/>
    <w:rsid w:val="00FB499B"/>
    <w:rsid w:val="00FB4DBC"/>
    <w:rsid w:val="00FB5330"/>
    <w:rsid w:val="00FB6B09"/>
    <w:rsid w:val="00FC06B3"/>
    <w:rsid w:val="00FC0AF3"/>
    <w:rsid w:val="00FC1058"/>
    <w:rsid w:val="00FC3F06"/>
    <w:rsid w:val="00FC4063"/>
    <w:rsid w:val="00FC6707"/>
    <w:rsid w:val="00FC6DB2"/>
    <w:rsid w:val="00FC70FB"/>
    <w:rsid w:val="00FC7B71"/>
    <w:rsid w:val="00FD0F6B"/>
    <w:rsid w:val="00FD1ABE"/>
    <w:rsid w:val="00FD2D2E"/>
    <w:rsid w:val="00FD4D0F"/>
    <w:rsid w:val="00FD6124"/>
    <w:rsid w:val="00FE159C"/>
    <w:rsid w:val="00FE33C6"/>
    <w:rsid w:val="00FE435F"/>
    <w:rsid w:val="00FE4F27"/>
    <w:rsid w:val="00FE4FC8"/>
    <w:rsid w:val="00FE5309"/>
    <w:rsid w:val="00FE5C05"/>
    <w:rsid w:val="00FE6744"/>
    <w:rsid w:val="00FE74F4"/>
    <w:rsid w:val="00FF04DE"/>
    <w:rsid w:val="00FF2B81"/>
    <w:rsid w:val="00FF381C"/>
    <w:rsid w:val="00FF4ECD"/>
    <w:rsid w:val="00FF4FA5"/>
    <w:rsid w:val="00FF670E"/>
    <w:rsid w:val="00FF6CAD"/>
    <w:rsid w:val="00FF7CD7"/>
    <w:rsid w:val="01040A2D"/>
    <w:rsid w:val="010501E3"/>
    <w:rsid w:val="010718AA"/>
    <w:rsid w:val="010C2749"/>
    <w:rsid w:val="010E360A"/>
    <w:rsid w:val="010E5BD8"/>
    <w:rsid w:val="0118463B"/>
    <w:rsid w:val="011E1AEB"/>
    <w:rsid w:val="01226795"/>
    <w:rsid w:val="01297242"/>
    <w:rsid w:val="013002D4"/>
    <w:rsid w:val="01425597"/>
    <w:rsid w:val="01440126"/>
    <w:rsid w:val="01444140"/>
    <w:rsid w:val="0147694D"/>
    <w:rsid w:val="01493B89"/>
    <w:rsid w:val="01610C71"/>
    <w:rsid w:val="01661DBE"/>
    <w:rsid w:val="016641A0"/>
    <w:rsid w:val="01A04F04"/>
    <w:rsid w:val="01AB66B3"/>
    <w:rsid w:val="01B54D66"/>
    <w:rsid w:val="01B75D44"/>
    <w:rsid w:val="01C01EC3"/>
    <w:rsid w:val="01C94F0F"/>
    <w:rsid w:val="01CC1118"/>
    <w:rsid w:val="01D32076"/>
    <w:rsid w:val="01DC6A18"/>
    <w:rsid w:val="01DD6018"/>
    <w:rsid w:val="01EC4492"/>
    <w:rsid w:val="01F4633C"/>
    <w:rsid w:val="01F605BC"/>
    <w:rsid w:val="01FE484E"/>
    <w:rsid w:val="01FF6440"/>
    <w:rsid w:val="020C5AFE"/>
    <w:rsid w:val="020F61E0"/>
    <w:rsid w:val="023E44B4"/>
    <w:rsid w:val="02415800"/>
    <w:rsid w:val="02641279"/>
    <w:rsid w:val="027771BB"/>
    <w:rsid w:val="027B3C35"/>
    <w:rsid w:val="028A38EB"/>
    <w:rsid w:val="02912139"/>
    <w:rsid w:val="02985062"/>
    <w:rsid w:val="02AF3A9F"/>
    <w:rsid w:val="02B6240C"/>
    <w:rsid w:val="02BC7B74"/>
    <w:rsid w:val="02C438FB"/>
    <w:rsid w:val="02C47C66"/>
    <w:rsid w:val="02CF7989"/>
    <w:rsid w:val="02ED27E8"/>
    <w:rsid w:val="02ED75DF"/>
    <w:rsid w:val="02F057AC"/>
    <w:rsid w:val="02F16B21"/>
    <w:rsid w:val="02F22874"/>
    <w:rsid w:val="02F35D07"/>
    <w:rsid w:val="02F814A7"/>
    <w:rsid w:val="02FF1B49"/>
    <w:rsid w:val="03025502"/>
    <w:rsid w:val="03053453"/>
    <w:rsid w:val="031605BE"/>
    <w:rsid w:val="03206FEC"/>
    <w:rsid w:val="032508E4"/>
    <w:rsid w:val="032C6CD4"/>
    <w:rsid w:val="03350B86"/>
    <w:rsid w:val="033855D1"/>
    <w:rsid w:val="033A350E"/>
    <w:rsid w:val="034430B8"/>
    <w:rsid w:val="0348211A"/>
    <w:rsid w:val="034B3AD1"/>
    <w:rsid w:val="035249D2"/>
    <w:rsid w:val="03591D19"/>
    <w:rsid w:val="035C490A"/>
    <w:rsid w:val="03624FED"/>
    <w:rsid w:val="03760439"/>
    <w:rsid w:val="03796E77"/>
    <w:rsid w:val="037A270B"/>
    <w:rsid w:val="037E628A"/>
    <w:rsid w:val="03960776"/>
    <w:rsid w:val="03AB0596"/>
    <w:rsid w:val="03C265E1"/>
    <w:rsid w:val="03C30C4A"/>
    <w:rsid w:val="03C56D44"/>
    <w:rsid w:val="03C9042C"/>
    <w:rsid w:val="03E94A66"/>
    <w:rsid w:val="03EB1540"/>
    <w:rsid w:val="03F24832"/>
    <w:rsid w:val="03FB4959"/>
    <w:rsid w:val="040766A9"/>
    <w:rsid w:val="040A6AAB"/>
    <w:rsid w:val="04112DC0"/>
    <w:rsid w:val="04125B88"/>
    <w:rsid w:val="041D41E4"/>
    <w:rsid w:val="041E2E4C"/>
    <w:rsid w:val="041E5D1B"/>
    <w:rsid w:val="042E6251"/>
    <w:rsid w:val="04300B93"/>
    <w:rsid w:val="04426E26"/>
    <w:rsid w:val="044C6A29"/>
    <w:rsid w:val="0457491C"/>
    <w:rsid w:val="045D09DD"/>
    <w:rsid w:val="045F0A76"/>
    <w:rsid w:val="045F23A0"/>
    <w:rsid w:val="046361B1"/>
    <w:rsid w:val="04643BB7"/>
    <w:rsid w:val="046F625C"/>
    <w:rsid w:val="047D7035"/>
    <w:rsid w:val="04913F58"/>
    <w:rsid w:val="04A824BC"/>
    <w:rsid w:val="04A9423D"/>
    <w:rsid w:val="04AA13E6"/>
    <w:rsid w:val="04B16530"/>
    <w:rsid w:val="04C02116"/>
    <w:rsid w:val="04C04F90"/>
    <w:rsid w:val="04CA1B06"/>
    <w:rsid w:val="04CD6DB1"/>
    <w:rsid w:val="04D33296"/>
    <w:rsid w:val="04F35C29"/>
    <w:rsid w:val="04F75B62"/>
    <w:rsid w:val="04FE6306"/>
    <w:rsid w:val="050F11A2"/>
    <w:rsid w:val="05105915"/>
    <w:rsid w:val="05140CB1"/>
    <w:rsid w:val="05222C3A"/>
    <w:rsid w:val="0523145E"/>
    <w:rsid w:val="054E37D6"/>
    <w:rsid w:val="055336CA"/>
    <w:rsid w:val="055E073C"/>
    <w:rsid w:val="056054A6"/>
    <w:rsid w:val="057370E9"/>
    <w:rsid w:val="05740172"/>
    <w:rsid w:val="057B2C9E"/>
    <w:rsid w:val="0581685A"/>
    <w:rsid w:val="059F6CA3"/>
    <w:rsid w:val="05A21CB9"/>
    <w:rsid w:val="05AC60D1"/>
    <w:rsid w:val="05B523A2"/>
    <w:rsid w:val="05BA793F"/>
    <w:rsid w:val="05BB187B"/>
    <w:rsid w:val="05CC565A"/>
    <w:rsid w:val="05D25822"/>
    <w:rsid w:val="05E313C5"/>
    <w:rsid w:val="05FE6A2E"/>
    <w:rsid w:val="060E14DD"/>
    <w:rsid w:val="062277E6"/>
    <w:rsid w:val="06231298"/>
    <w:rsid w:val="06236C2A"/>
    <w:rsid w:val="06242C9D"/>
    <w:rsid w:val="064601FA"/>
    <w:rsid w:val="066044A4"/>
    <w:rsid w:val="0663473C"/>
    <w:rsid w:val="06680957"/>
    <w:rsid w:val="066C68AA"/>
    <w:rsid w:val="06702443"/>
    <w:rsid w:val="06785DB1"/>
    <w:rsid w:val="0683748C"/>
    <w:rsid w:val="068A002F"/>
    <w:rsid w:val="068C39C9"/>
    <w:rsid w:val="06901CD2"/>
    <w:rsid w:val="069553FE"/>
    <w:rsid w:val="069A7C2F"/>
    <w:rsid w:val="06A54AC8"/>
    <w:rsid w:val="06B07344"/>
    <w:rsid w:val="06C63F44"/>
    <w:rsid w:val="06C65BDD"/>
    <w:rsid w:val="06C84DFA"/>
    <w:rsid w:val="06D87287"/>
    <w:rsid w:val="06DF5548"/>
    <w:rsid w:val="06F3292F"/>
    <w:rsid w:val="070C5D17"/>
    <w:rsid w:val="07282785"/>
    <w:rsid w:val="072F1CD3"/>
    <w:rsid w:val="07323E86"/>
    <w:rsid w:val="073C242D"/>
    <w:rsid w:val="07431C82"/>
    <w:rsid w:val="07481F7B"/>
    <w:rsid w:val="07484281"/>
    <w:rsid w:val="074C5137"/>
    <w:rsid w:val="075432DC"/>
    <w:rsid w:val="075B3ED1"/>
    <w:rsid w:val="07633C00"/>
    <w:rsid w:val="078331AD"/>
    <w:rsid w:val="078F5BDB"/>
    <w:rsid w:val="079535D5"/>
    <w:rsid w:val="07991B53"/>
    <w:rsid w:val="079A3C03"/>
    <w:rsid w:val="07A347A2"/>
    <w:rsid w:val="07AA30B3"/>
    <w:rsid w:val="07AC3D05"/>
    <w:rsid w:val="07B13E87"/>
    <w:rsid w:val="07C6363D"/>
    <w:rsid w:val="07CB33BD"/>
    <w:rsid w:val="07DD7549"/>
    <w:rsid w:val="07FB05B2"/>
    <w:rsid w:val="08046F53"/>
    <w:rsid w:val="083522B3"/>
    <w:rsid w:val="08373DFA"/>
    <w:rsid w:val="083A40A4"/>
    <w:rsid w:val="08440DB3"/>
    <w:rsid w:val="084430E8"/>
    <w:rsid w:val="08476B61"/>
    <w:rsid w:val="08491455"/>
    <w:rsid w:val="0851678C"/>
    <w:rsid w:val="085C6980"/>
    <w:rsid w:val="085E24F3"/>
    <w:rsid w:val="08696F8F"/>
    <w:rsid w:val="08852FF3"/>
    <w:rsid w:val="088C076B"/>
    <w:rsid w:val="08947753"/>
    <w:rsid w:val="089D15ED"/>
    <w:rsid w:val="08A90078"/>
    <w:rsid w:val="08B70DFB"/>
    <w:rsid w:val="08C376C8"/>
    <w:rsid w:val="08D242EA"/>
    <w:rsid w:val="08D63F1F"/>
    <w:rsid w:val="08D830E7"/>
    <w:rsid w:val="08E24961"/>
    <w:rsid w:val="08F47191"/>
    <w:rsid w:val="09102503"/>
    <w:rsid w:val="091C6AF7"/>
    <w:rsid w:val="094B1307"/>
    <w:rsid w:val="095616CC"/>
    <w:rsid w:val="095F703B"/>
    <w:rsid w:val="095F703D"/>
    <w:rsid w:val="096014F4"/>
    <w:rsid w:val="096E277B"/>
    <w:rsid w:val="09730374"/>
    <w:rsid w:val="09735DBE"/>
    <w:rsid w:val="0977121D"/>
    <w:rsid w:val="09842088"/>
    <w:rsid w:val="09867DE0"/>
    <w:rsid w:val="099A40BB"/>
    <w:rsid w:val="099D3930"/>
    <w:rsid w:val="09A121E1"/>
    <w:rsid w:val="09B6703A"/>
    <w:rsid w:val="09B74137"/>
    <w:rsid w:val="09C50013"/>
    <w:rsid w:val="09CE2A21"/>
    <w:rsid w:val="09CF28EB"/>
    <w:rsid w:val="09D33211"/>
    <w:rsid w:val="09DF39D3"/>
    <w:rsid w:val="09E755ED"/>
    <w:rsid w:val="09E953AC"/>
    <w:rsid w:val="09F6302E"/>
    <w:rsid w:val="09FB3384"/>
    <w:rsid w:val="09FE49AC"/>
    <w:rsid w:val="0A020198"/>
    <w:rsid w:val="0A11581A"/>
    <w:rsid w:val="0A141878"/>
    <w:rsid w:val="0A1536D8"/>
    <w:rsid w:val="0A1C52AD"/>
    <w:rsid w:val="0A6744E8"/>
    <w:rsid w:val="0A773C7B"/>
    <w:rsid w:val="0A98262A"/>
    <w:rsid w:val="0ABA169D"/>
    <w:rsid w:val="0ACB44A8"/>
    <w:rsid w:val="0AE01BFC"/>
    <w:rsid w:val="0AE4604A"/>
    <w:rsid w:val="0AE50B01"/>
    <w:rsid w:val="0B031007"/>
    <w:rsid w:val="0B097D0B"/>
    <w:rsid w:val="0B1A625A"/>
    <w:rsid w:val="0B253C09"/>
    <w:rsid w:val="0B3042BA"/>
    <w:rsid w:val="0B406859"/>
    <w:rsid w:val="0B4F2D6C"/>
    <w:rsid w:val="0B563218"/>
    <w:rsid w:val="0B69370D"/>
    <w:rsid w:val="0B7B616B"/>
    <w:rsid w:val="0B836178"/>
    <w:rsid w:val="0B91561C"/>
    <w:rsid w:val="0B9300D7"/>
    <w:rsid w:val="0BB86E27"/>
    <w:rsid w:val="0BBB1002"/>
    <w:rsid w:val="0BC90E16"/>
    <w:rsid w:val="0BCE67E0"/>
    <w:rsid w:val="0BD1264B"/>
    <w:rsid w:val="0BEA0DE1"/>
    <w:rsid w:val="0BEA3D8E"/>
    <w:rsid w:val="0BF002C3"/>
    <w:rsid w:val="0BF34A99"/>
    <w:rsid w:val="0BF80F9C"/>
    <w:rsid w:val="0BFE7CE8"/>
    <w:rsid w:val="0C2363FC"/>
    <w:rsid w:val="0C2A73C8"/>
    <w:rsid w:val="0C2D1989"/>
    <w:rsid w:val="0C35241D"/>
    <w:rsid w:val="0C356FB5"/>
    <w:rsid w:val="0C381CDB"/>
    <w:rsid w:val="0C496C07"/>
    <w:rsid w:val="0C4978E8"/>
    <w:rsid w:val="0C4A1A3D"/>
    <w:rsid w:val="0C4F4F9F"/>
    <w:rsid w:val="0C570B36"/>
    <w:rsid w:val="0C65504A"/>
    <w:rsid w:val="0C7B3D41"/>
    <w:rsid w:val="0C803B6D"/>
    <w:rsid w:val="0C806A8C"/>
    <w:rsid w:val="0C8318A5"/>
    <w:rsid w:val="0CA2544B"/>
    <w:rsid w:val="0CA41A15"/>
    <w:rsid w:val="0CA81F56"/>
    <w:rsid w:val="0CB05927"/>
    <w:rsid w:val="0CB45768"/>
    <w:rsid w:val="0CBA3201"/>
    <w:rsid w:val="0CBB285E"/>
    <w:rsid w:val="0CD74806"/>
    <w:rsid w:val="0CF42D21"/>
    <w:rsid w:val="0CFB2126"/>
    <w:rsid w:val="0D180EB8"/>
    <w:rsid w:val="0D21090A"/>
    <w:rsid w:val="0D212885"/>
    <w:rsid w:val="0D28464C"/>
    <w:rsid w:val="0D4767FF"/>
    <w:rsid w:val="0D494A26"/>
    <w:rsid w:val="0D4F4641"/>
    <w:rsid w:val="0D516BA4"/>
    <w:rsid w:val="0D597712"/>
    <w:rsid w:val="0D626B2B"/>
    <w:rsid w:val="0D652C6F"/>
    <w:rsid w:val="0D675689"/>
    <w:rsid w:val="0D794FAE"/>
    <w:rsid w:val="0D8263BA"/>
    <w:rsid w:val="0D907B84"/>
    <w:rsid w:val="0D942ACE"/>
    <w:rsid w:val="0D9F4952"/>
    <w:rsid w:val="0DAC1AC4"/>
    <w:rsid w:val="0DBA41D8"/>
    <w:rsid w:val="0DD52435"/>
    <w:rsid w:val="0DD84239"/>
    <w:rsid w:val="0DD969BA"/>
    <w:rsid w:val="0DDC023A"/>
    <w:rsid w:val="0DE8475D"/>
    <w:rsid w:val="0E007887"/>
    <w:rsid w:val="0E010051"/>
    <w:rsid w:val="0E08423E"/>
    <w:rsid w:val="0E0905E9"/>
    <w:rsid w:val="0E0D7AD7"/>
    <w:rsid w:val="0E172A8B"/>
    <w:rsid w:val="0E1E2DFD"/>
    <w:rsid w:val="0E2247B0"/>
    <w:rsid w:val="0E390463"/>
    <w:rsid w:val="0E3F5F1F"/>
    <w:rsid w:val="0E423C51"/>
    <w:rsid w:val="0E551B68"/>
    <w:rsid w:val="0E5900D6"/>
    <w:rsid w:val="0E636F31"/>
    <w:rsid w:val="0E6500FE"/>
    <w:rsid w:val="0E696466"/>
    <w:rsid w:val="0E7F5CCD"/>
    <w:rsid w:val="0E930633"/>
    <w:rsid w:val="0E965DCD"/>
    <w:rsid w:val="0E986CC6"/>
    <w:rsid w:val="0E9E5F39"/>
    <w:rsid w:val="0EA06550"/>
    <w:rsid w:val="0EA261ED"/>
    <w:rsid w:val="0EA9384F"/>
    <w:rsid w:val="0EB11A37"/>
    <w:rsid w:val="0EC43154"/>
    <w:rsid w:val="0ECC6107"/>
    <w:rsid w:val="0ECE7381"/>
    <w:rsid w:val="0ED46977"/>
    <w:rsid w:val="0EE66451"/>
    <w:rsid w:val="0EEE617E"/>
    <w:rsid w:val="0EEF5D81"/>
    <w:rsid w:val="0F0E32B5"/>
    <w:rsid w:val="0F1774B6"/>
    <w:rsid w:val="0F1B243E"/>
    <w:rsid w:val="0F356EEF"/>
    <w:rsid w:val="0F3B4E89"/>
    <w:rsid w:val="0F47660A"/>
    <w:rsid w:val="0F5C7FE1"/>
    <w:rsid w:val="0F7A5DAF"/>
    <w:rsid w:val="0F7A7BA7"/>
    <w:rsid w:val="0F810D70"/>
    <w:rsid w:val="0F851150"/>
    <w:rsid w:val="0F8E1916"/>
    <w:rsid w:val="0F8E7546"/>
    <w:rsid w:val="0FA16500"/>
    <w:rsid w:val="0FAF19FD"/>
    <w:rsid w:val="0FB600A3"/>
    <w:rsid w:val="0FB977E6"/>
    <w:rsid w:val="0FC36A25"/>
    <w:rsid w:val="0FCD3C71"/>
    <w:rsid w:val="0FD304CA"/>
    <w:rsid w:val="0FEB580A"/>
    <w:rsid w:val="10022242"/>
    <w:rsid w:val="10196399"/>
    <w:rsid w:val="10286915"/>
    <w:rsid w:val="104B4235"/>
    <w:rsid w:val="104E6C7F"/>
    <w:rsid w:val="1052783C"/>
    <w:rsid w:val="106171AE"/>
    <w:rsid w:val="10631DBE"/>
    <w:rsid w:val="10666ED5"/>
    <w:rsid w:val="106C0A8D"/>
    <w:rsid w:val="106E2A4B"/>
    <w:rsid w:val="107365C6"/>
    <w:rsid w:val="107B08E1"/>
    <w:rsid w:val="107E7253"/>
    <w:rsid w:val="10901DA3"/>
    <w:rsid w:val="109E0D36"/>
    <w:rsid w:val="10BA3AC7"/>
    <w:rsid w:val="10BB7ACD"/>
    <w:rsid w:val="10C35F97"/>
    <w:rsid w:val="10DE1949"/>
    <w:rsid w:val="10F540E8"/>
    <w:rsid w:val="10FD5447"/>
    <w:rsid w:val="110A47C2"/>
    <w:rsid w:val="110E5234"/>
    <w:rsid w:val="11302CDC"/>
    <w:rsid w:val="11325473"/>
    <w:rsid w:val="113D379F"/>
    <w:rsid w:val="11747D22"/>
    <w:rsid w:val="117F3FC5"/>
    <w:rsid w:val="11801E7F"/>
    <w:rsid w:val="118961B0"/>
    <w:rsid w:val="119D35F2"/>
    <w:rsid w:val="119D64C3"/>
    <w:rsid w:val="11C401A4"/>
    <w:rsid w:val="11CE5FFE"/>
    <w:rsid w:val="11DD1022"/>
    <w:rsid w:val="11E6284A"/>
    <w:rsid w:val="11FA65FB"/>
    <w:rsid w:val="11FC18EB"/>
    <w:rsid w:val="121235DD"/>
    <w:rsid w:val="121A6789"/>
    <w:rsid w:val="12265D0C"/>
    <w:rsid w:val="122A68C2"/>
    <w:rsid w:val="122D48DE"/>
    <w:rsid w:val="123D25A3"/>
    <w:rsid w:val="12566309"/>
    <w:rsid w:val="125C3915"/>
    <w:rsid w:val="125D4115"/>
    <w:rsid w:val="12611B38"/>
    <w:rsid w:val="12660D6C"/>
    <w:rsid w:val="126A2CCD"/>
    <w:rsid w:val="12715A28"/>
    <w:rsid w:val="127754A6"/>
    <w:rsid w:val="12883327"/>
    <w:rsid w:val="12917B76"/>
    <w:rsid w:val="129B54E0"/>
    <w:rsid w:val="12AF11F9"/>
    <w:rsid w:val="12B321DE"/>
    <w:rsid w:val="12B40F2E"/>
    <w:rsid w:val="12DF1034"/>
    <w:rsid w:val="12E253B4"/>
    <w:rsid w:val="12F6636E"/>
    <w:rsid w:val="12FB2F87"/>
    <w:rsid w:val="13070D2D"/>
    <w:rsid w:val="131B7B4A"/>
    <w:rsid w:val="131F4F20"/>
    <w:rsid w:val="13307E6F"/>
    <w:rsid w:val="13330107"/>
    <w:rsid w:val="133437DF"/>
    <w:rsid w:val="1338225D"/>
    <w:rsid w:val="13444B6D"/>
    <w:rsid w:val="134452F6"/>
    <w:rsid w:val="134A3822"/>
    <w:rsid w:val="13602886"/>
    <w:rsid w:val="13665751"/>
    <w:rsid w:val="13750414"/>
    <w:rsid w:val="137A6C89"/>
    <w:rsid w:val="138244E3"/>
    <w:rsid w:val="13B93A67"/>
    <w:rsid w:val="13C16CCA"/>
    <w:rsid w:val="13C56476"/>
    <w:rsid w:val="13D0351B"/>
    <w:rsid w:val="13D212A0"/>
    <w:rsid w:val="13DC650B"/>
    <w:rsid w:val="13E16B84"/>
    <w:rsid w:val="13E86489"/>
    <w:rsid w:val="14003594"/>
    <w:rsid w:val="140A1323"/>
    <w:rsid w:val="141E2661"/>
    <w:rsid w:val="14217C3D"/>
    <w:rsid w:val="14382841"/>
    <w:rsid w:val="14402D2E"/>
    <w:rsid w:val="14412BB5"/>
    <w:rsid w:val="144A3DF0"/>
    <w:rsid w:val="144A76CC"/>
    <w:rsid w:val="14545939"/>
    <w:rsid w:val="1456175B"/>
    <w:rsid w:val="14594CF9"/>
    <w:rsid w:val="146F18C7"/>
    <w:rsid w:val="147D02AE"/>
    <w:rsid w:val="1486522B"/>
    <w:rsid w:val="14A1113A"/>
    <w:rsid w:val="14A263F4"/>
    <w:rsid w:val="14AA6D24"/>
    <w:rsid w:val="14B16CE9"/>
    <w:rsid w:val="14B23528"/>
    <w:rsid w:val="14B75536"/>
    <w:rsid w:val="14E43084"/>
    <w:rsid w:val="14E750EF"/>
    <w:rsid w:val="14EC2872"/>
    <w:rsid w:val="14ED4F03"/>
    <w:rsid w:val="14F70AE2"/>
    <w:rsid w:val="14F95B7B"/>
    <w:rsid w:val="14FA08BB"/>
    <w:rsid w:val="15002DA5"/>
    <w:rsid w:val="1523279E"/>
    <w:rsid w:val="1525723B"/>
    <w:rsid w:val="15276929"/>
    <w:rsid w:val="152D1520"/>
    <w:rsid w:val="15375546"/>
    <w:rsid w:val="153C2B43"/>
    <w:rsid w:val="153F6C5F"/>
    <w:rsid w:val="154B6471"/>
    <w:rsid w:val="154F4B46"/>
    <w:rsid w:val="156374D5"/>
    <w:rsid w:val="158124F1"/>
    <w:rsid w:val="1581388C"/>
    <w:rsid w:val="15910AC6"/>
    <w:rsid w:val="159B69D5"/>
    <w:rsid w:val="159D3315"/>
    <w:rsid w:val="159D48DE"/>
    <w:rsid w:val="15A935B9"/>
    <w:rsid w:val="15C17694"/>
    <w:rsid w:val="15C66E36"/>
    <w:rsid w:val="15CF502D"/>
    <w:rsid w:val="15D24E58"/>
    <w:rsid w:val="15D8043E"/>
    <w:rsid w:val="15DA219D"/>
    <w:rsid w:val="15DD18C0"/>
    <w:rsid w:val="15E013AB"/>
    <w:rsid w:val="15E1464B"/>
    <w:rsid w:val="15E70565"/>
    <w:rsid w:val="15F07770"/>
    <w:rsid w:val="15F852DA"/>
    <w:rsid w:val="160D1002"/>
    <w:rsid w:val="16162DC6"/>
    <w:rsid w:val="16251DA8"/>
    <w:rsid w:val="16293369"/>
    <w:rsid w:val="163575E8"/>
    <w:rsid w:val="163E2F74"/>
    <w:rsid w:val="164449A5"/>
    <w:rsid w:val="16524615"/>
    <w:rsid w:val="16701BA9"/>
    <w:rsid w:val="16794789"/>
    <w:rsid w:val="16843805"/>
    <w:rsid w:val="169075C2"/>
    <w:rsid w:val="16921DDE"/>
    <w:rsid w:val="16991717"/>
    <w:rsid w:val="16A40E85"/>
    <w:rsid w:val="16AA5684"/>
    <w:rsid w:val="16AA57F8"/>
    <w:rsid w:val="16AF0BD5"/>
    <w:rsid w:val="16B025E3"/>
    <w:rsid w:val="16B04AB9"/>
    <w:rsid w:val="16CB7192"/>
    <w:rsid w:val="16D349C5"/>
    <w:rsid w:val="16DC700C"/>
    <w:rsid w:val="16EE4390"/>
    <w:rsid w:val="16FA74DB"/>
    <w:rsid w:val="17037007"/>
    <w:rsid w:val="17174465"/>
    <w:rsid w:val="1720658A"/>
    <w:rsid w:val="17367CB7"/>
    <w:rsid w:val="173D190A"/>
    <w:rsid w:val="17475BE6"/>
    <w:rsid w:val="17520200"/>
    <w:rsid w:val="175A7485"/>
    <w:rsid w:val="1778066E"/>
    <w:rsid w:val="177F7F07"/>
    <w:rsid w:val="1782058A"/>
    <w:rsid w:val="178D7FDF"/>
    <w:rsid w:val="179E3CBA"/>
    <w:rsid w:val="17A57C34"/>
    <w:rsid w:val="17A8422E"/>
    <w:rsid w:val="17B51634"/>
    <w:rsid w:val="17D038FA"/>
    <w:rsid w:val="17E54428"/>
    <w:rsid w:val="17F43268"/>
    <w:rsid w:val="17FB4456"/>
    <w:rsid w:val="1824197B"/>
    <w:rsid w:val="183E01F2"/>
    <w:rsid w:val="18561071"/>
    <w:rsid w:val="185D641B"/>
    <w:rsid w:val="185E211E"/>
    <w:rsid w:val="186D0D78"/>
    <w:rsid w:val="187B731C"/>
    <w:rsid w:val="187F0185"/>
    <w:rsid w:val="187F0946"/>
    <w:rsid w:val="18891E1A"/>
    <w:rsid w:val="188E011E"/>
    <w:rsid w:val="188F14F6"/>
    <w:rsid w:val="18960714"/>
    <w:rsid w:val="189E58C0"/>
    <w:rsid w:val="18A35005"/>
    <w:rsid w:val="18A37861"/>
    <w:rsid w:val="18AC4F24"/>
    <w:rsid w:val="18B03BF6"/>
    <w:rsid w:val="18C82345"/>
    <w:rsid w:val="18F61349"/>
    <w:rsid w:val="18F7565A"/>
    <w:rsid w:val="1908280D"/>
    <w:rsid w:val="190C431C"/>
    <w:rsid w:val="191614C1"/>
    <w:rsid w:val="191E699B"/>
    <w:rsid w:val="1927228A"/>
    <w:rsid w:val="192E2B17"/>
    <w:rsid w:val="19353CCB"/>
    <w:rsid w:val="19410865"/>
    <w:rsid w:val="194A3718"/>
    <w:rsid w:val="194A7961"/>
    <w:rsid w:val="194B59C6"/>
    <w:rsid w:val="194E79EF"/>
    <w:rsid w:val="19547046"/>
    <w:rsid w:val="195A7360"/>
    <w:rsid w:val="195C0726"/>
    <w:rsid w:val="196A09A6"/>
    <w:rsid w:val="1976312B"/>
    <w:rsid w:val="198617D1"/>
    <w:rsid w:val="198E64AB"/>
    <w:rsid w:val="19B57DC5"/>
    <w:rsid w:val="19CA2FF3"/>
    <w:rsid w:val="19DB2E4B"/>
    <w:rsid w:val="19E437EC"/>
    <w:rsid w:val="19F040D4"/>
    <w:rsid w:val="19F22D31"/>
    <w:rsid w:val="19F347CD"/>
    <w:rsid w:val="1A0502D0"/>
    <w:rsid w:val="1A0A479E"/>
    <w:rsid w:val="1A1421E2"/>
    <w:rsid w:val="1A347BC0"/>
    <w:rsid w:val="1A3E45F5"/>
    <w:rsid w:val="1A4153CC"/>
    <w:rsid w:val="1A432C43"/>
    <w:rsid w:val="1A442221"/>
    <w:rsid w:val="1A4A0750"/>
    <w:rsid w:val="1A4F3A44"/>
    <w:rsid w:val="1A6F4932"/>
    <w:rsid w:val="1A841AED"/>
    <w:rsid w:val="1A9A3DF9"/>
    <w:rsid w:val="1A9C1F29"/>
    <w:rsid w:val="1AA6610E"/>
    <w:rsid w:val="1AAB32D7"/>
    <w:rsid w:val="1AB418D6"/>
    <w:rsid w:val="1AC47E1C"/>
    <w:rsid w:val="1ACB52E2"/>
    <w:rsid w:val="1AD25554"/>
    <w:rsid w:val="1AEC5F6F"/>
    <w:rsid w:val="1AEC6044"/>
    <w:rsid w:val="1AF556A9"/>
    <w:rsid w:val="1AFF4BEF"/>
    <w:rsid w:val="1B0105DC"/>
    <w:rsid w:val="1B056BDE"/>
    <w:rsid w:val="1B2E6873"/>
    <w:rsid w:val="1B3B6F2D"/>
    <w:rsid w:val="1B5E524A"/>
    <w:rsid w:val="1B7645BD"/>
    <w:rsid w:val="1B8505BB"/>
    <w:rsid w:val="1BA40B28"/>
    <w:rsid w:val="1BAB6B24"/>
    <w:rsid w:val="1BB51192"/>
    <w:rsid w:val="1BBE6C1F"/>
    <w:rsid w:val="1BBE79FF"/>
    <w:rsid w:val="1BC269E9"/>
    <w:rsid w:val="1BC5549C"/>
    <w:rsid w:val="1BCE554E"/>
    <w:rsid w:val="1BD01AC1"/>
    <w:rsid w:val="1BD521D9"/>
    <w:rsid w:val="1BD779EE"/>
    <w:rsid w:val="1BEB10A7"/>
    <w:rsid w:val="1BF645FF"/>
    <w:rsid w:val="1C136E0E"/>
    <w:rsid w:val="1C1628DD"/>
    <w:rsid w:val="1C1712E8"/>
    <w:rsid w:val="1C242DCF"/>
    <w:rsid w:val="1C287FC6"/>
    <w:rsid w:val="1C305A31"/>
    <w:rsid w:val="1C3128FB"/>
    <w:rsid w:val="1C3363C0"/>
    <w:rsid w:val="1C3D42F9"/>
    <w:rsid w:val="1C435D8B"/>
    <w:rsid w:val="1C4759D0"/>
    <w:rsid w:val="1C48648E"/>
    <w:rsid w:val="1C517FEA"/>
    <w:rsid w:val="1C537EFD"/>
    <w:rsid w:val="1C5A4FE9"/>
    <w:rsid w:val="1C611D83"/>
    <w:rsid w:val="1C621DBD"/>
    <w:rsid w:val="1C6B630D"/>
    <w:rsid w:val="1C72235E"/>
    <w:rsid w:val="1C757DE2"/>
    <w:rsid w:val="1C765B97"/>
    <w:rsid w:val="1C8F3458"/>
    <w:rsid w:val="1CA4234F"/>
    <w:rsid w:val="1CA65D2F"/>
    <w:rsid w:val="1CAB24DD"/>
    <w:rsid w:val="1CC74C91"/>
    <w:rsid w:val="1CC776CF"/>
    <w:rsid w:val="1CD1143A"/>
    <w:rsid w:val="1CDE69BB"/>
    <w:rsid w:val="1CF84623"/>
    <w:rsid w:val="1D0D07DD"/>
    <w:rsid w:val="1D144D60"/>
    <w:rsid w:val="1D19097E"/>
    <w:rsid w:val="1D216AA0"/>
    <w:rsid w:val="1D2A6930"/>
    <w:rsid w:val="1D30369F"/>
    <w:rsid w:val="1D404CFC"/>
    <w:rsid w:val="1D4659D2"/>
    <w:rsid w:val="1D4C2F4E"/>
    <w:rsid w:val="1D545E6D"/>
    <w:rsid w:val="1D635A07"/>
    <w:rsid w:val="1D641FF9"/>
    <w:rsid w:val="1D68791B"/>
    <w:rsid w:val="1D6D6525"/>
    <w:rsid w:val="1D730460"/>
    <w:rsid w:val="1D783B20"/>
    <w:rsid w:val="1D871C7B"/>
    <w:rsid w:val="1DB0250E"/>
    <w:rsid w:val="1DB75C76"/>
    <w:rsid w:val="1DBC64C3"/>
    <w:rsid w:val="1DC9080C"/>
    <w:rsid w:val="1DCF0929"/>
    <w:rsid w:val="1DD61E17"/>
    <w:rsid w:val="1DE56517"/>
    <w:rsid w:val="1DE81930"/>
    <w:rsid w:val="1DE859B2"/>
    <w:rsid w:val="1DEF24E3"/>
    <w:rsid w:val="1E065FA6"/>
    <w:rsid w:val="1E0B5C4D"/>
    <w:rsid w:val="1E497368"/>
    <w:rsid w:val="1E4A0082"/>
    <w:rsid w:val="1E4D58FF"/>
    <w:rsid w:val="1E623AEF"/>
    <w:rsid w:val="1E696EFE"/>
    <w:rsid w:val="1E6F1A07"/>
    <w:rsid w:val="1E71635E"/>
    <w:rsid w:val="1E73212B"/>
    <w:rsid w:val="1E86065F"/>
    <w:rsid w:val="1E8A1711"/>
    <w:rsid w:val="1E9E63C3"/>
    <w:rsid w:val="1EA03AE4"/>
    <w:rsid w:val="1EA32125"/>
    <w:rsid w:val="1EB352BA"/>
    <w:rsid w:val="1EB80895"/>
    <w:rsid w:val="1EC129A3"/>
    <w:rsid w:val="1EC20D27"/>
    <w:rsid w:val="1ED924A1"/>
    <w:rsid w:val="1EDC014A"/>
    <w:rsid w:val="1EE1117B"/>
    <w:rsid w:val="1EEF497C"/>
    <w:rsid w:val="1EF10513"/>
    <w:rsid w:val="1EFB3095"/>
    <w:rsid w:val="1EFD2FF2"/>
    <w:rsid w:val="1EFE67CA"/>
    <w:rsid w:val="1F0B52B8"/>
    <w:rsid w:val="1F0D6828"/>
    <w:rsid w:val="1F0E1616"/>
    <w:rsid w:val="1F120F51"/>
    <w:rsid w:val="1F141C75"/>
    <w:rsid w:val="1F143617"/>
    <w:rsid w:val="1F195127"/>
    <w:rsid w:val="1F1C351E"/>
    <w:rsid w:val="1F327509"/>
    <w:rsid w:val="1F393A9B"/>
    <w:rsid w:val="1F3C37C6"/>
    <w:rsid w:val="1F476402"/>
    <w:rsid w:val="1F482973"/>
    <w:rsid w:val="1F4829BD"/>
    <w:rsid w:val="1F4E3E93"/>
    <w:rsid w:val="1F4F5AA4"/>
    <w:rsid w:val="1F552C22"/>
    <w:rsid w:val="1F702A36"/>
    <w:rsid w:val="1F715ABB"/>
    <w:rsid w:val="1F7A3059"/>
    <w:rsid w:val="1F7D396E"/>
    <w:rsid w:val="1F9956BE"/>
    <w:rsid w:val="1FAA1920"/>
    <w:rsid w:val="1FAF73A8"/>
    <w:rsid w:val="1FB60B25"/>
    <w:rsid w:val="1FBC01FC"/>
    <w:rsid w:val="1FBE3BD4"/>
    <w:rsid w:val="1FE830B3"/>
    <w:rsid w:val="1FEC6997"/>
    <w:rsid w:val="1FF25F59"/>
    <w:rsid w:val="20053D71"/>
    <w:rsid w:val="20061D4F"/>
    <w:rsid w:val="20151B20"/>
    <w:rsid w:val="2018326F"/>
    <w:rsid w:val="20280E55"/>
    <w:rsid w:val="203516D6"/>
    <w:rsid w:val="20432CC6"/>
    <w:rsid w:val="205556A6"/>
    <w:rsid w:val="205B1BCE"/>
    <w:rsid w:val="20717E33"/>
    <w:rsid w:val="207A07EE"/>
    <w:rsid w:val="208067F9"/>
    <w:rsid w:val="20810FF8"/>
    <w:rsid w:val="208308D1"/>
    <w:rsid w:val="20902C21"/>
    <w:rsid w:val="209E6190"/>
    <w:rsid w:val="209F65E0"/>
    <w:rsid w:val="20A7662F"/>
    <w:rsid w:val="20A80C2E"/>
    <w:rsid w:val="20AC10A4"/>
    <w:rsid w:val="20C52073"/>
    <w:rsid w:val="20D5589C"/>
    <w:rsid w:val="20D94F7C"/>
    <w:rsid w:val="20E735AE"/>
    <w:rsid w:val="20F42971"/>
    <w:rsid w:val="20FE4BAD"/>
    <w:rsid w:val="21066149"/>
    <w:rsid w:val="21091C23"/>
    <w:rsid w:val="210B0E50"/>
    <w:rsid w:val="210B524F"/>
    <w:rsid w:val="21111408"/>
    <w:rsid w:val="211613D7"/>
    <w:rsid w:val="21275AA7"/>
    <w:rsid w:val="212A08D7"/>
    <w:rsid w:val="21330E5C"/>
    <w:rsid w:val="21390658"/>
    <w:rsid w:val="213F5D23"/>
    <w:rsid w:val="2158438A"/>
    <w:rsid w:val="215B18A7"/>
    <w:rsid w:val="216C4FD7"/>
    <w:rsid w:val="216F33D7"/>
    <w:rsid w:val="21783236"/>
    <w:rsid w:val="217B30D5"/>
    <w:rsid w:val="21812470"/>
    <w:rsid w:val="218F4F0D"/>
    <w:rsid w:val="21A14D44"/>
    <w:rsid w:val="21A33405"/>
    <w:rsid w:val="21A81ECD"/>
    <w:rsid w:val="21C02B28"/>
    <w:rsid w:val="21C20B66"/>
    <w:rsid w:val="21E07C15"/>
    <w:rsid w:val="21E9664D"/>
    <w:rsid w:val="21FE0CAD"/>
    <w:rsid w:val="22025729"/>
    <w:rsid w:val="22064ED0"/>
    <w:rsid w:val="22073E87"/>
    <w:rsid w:val="220E6563"/>
    <w:rsid w:val="222A0719"/>
    <w:rsid w:val="2233173D"/>
    <w:rsid w:val="22381D17"/>
    <w:rsid w:val="223A0571"/>
    <w:rsid w:val="223A76C7"/>
    <w:rsid w:val="224221C2"/>
    <w:rsid w:val="22432B66"/>
    <w:rsid w:val="22467543"/>
    <w:rsid w:val="225557C8"/>
    <w:rsid w:val="225F0BDC"/>
    <w:rsid w:val="2263327C"/>
    <w:rsid w:val="2264736F"/>
    <w:rsid w:val="226D013D"/>
    <w:rsid w:val="22711E7F"/>
    <w:rsid w:val="227F4672"/>
    <w:rsid w:val="227F4D36"/>
    <w:rsid w:val="229B20DF"/>
    <w:rsid w:val="22A6336D"/>
    <w:rsid w:val="22D060E4"/>
    <w:rsid w:val="22EF0CB2"/>
    <w:rsid w:val="22EF1A78"/>
    <w:rsid w:val="23061058"/>
    <w:rsid w:val="230E6747"/>
    <w:rsid w:val="23134A2D"/>
    <w:rsid w:val="2327473A"/>
    <w:rsid w:val="232C305D"/>
    <w:rsid w:val="232D7428"/>
    <w:rsid w:val="233B6AEB"/>
    <w:rsid w:val="2341464B"/>
    <w:rsid w:val="234402A6"/>
    <w:rsid w:val="2346717A"/>
    <w:rsid w:val="234D2FD0"/>
    <w:rsid w:val="23612E31"/>
    <w:rsid w:val="236B2559"/>
    <w:rsid w:val="236D2C9D"/>
    <w:rsid w:val="23710682"/>
    <w:rsid w:val="2372245C"/>
    <w:rsid w:val="23756876"/>
    <w:rsid w:val="238118BF"/>
    <w:rsid w:val="23891F57"/>
    <w:rsid w:val="239350BF"/>
    <w:rsid w:val="23960E81"/>
    <w:rsid w:val="23980920"/>
    <w:rsid w:val="23A44B45"/>
    <w:rsid w:val="23A92C46"/>
    <w:rsid w:val="23C05295"/>
    <w:rsid w:val="23CE38FD"/>
    <w:rsid w:val="23CF32AD"/>
    <w:rsid w:val="23D224DF"/>
    <w:rsid w:val="23D91BE6"/>
    <w:rsid w:val="23EE665D"/>
    <w:rsid w:val="23F72BC0"/>
    <w:rsid w:val="24054024"/>
    <w:rsid w:val="24091AB2"/>
    <w:rsid w:val="241B7E01"/>
    <w:rsid w:val="242458A4"/>
    <w:rsid w:val="242E4F6D"/>
    <w:rsid w:val="24414DE4"/>
    <w:rsid w:val="24517377"/>
    <w:rsid w:val="2457410E"/>
    <w:rsid w:val="245B7C86"/>
    <w:rsid w:val="245E5E32"/>
    <w:rsid w:val="24777DF3"/>
    <w:rsid w:val="24847883"/>
    <w:rsid w:val="249043DD"/>
    <w:rsid w:val="24A51870"/>
    <w:rsid w:val="24AB54E2"/>
    <w:rsid w:val="24C452E5"/>
    <w:rsid w:val="24C84B01"/>
    <w:rsid w:val="24C9797B"/>
    <w:rsid w:val="24D90DFC"/>
    <w:rsid w:val="24E453B8"/>
    <w:rsid w:val="24F61E72"/>
    <w:rsid w:val="24FA0C5C"/>
    <w:rsid w:val="24FA3230"/>
    <w:rsid w:val="2501552E"/>
    <w:rsid w:val="25114559"/>
    <w:rsid w:val="251E49B7"/>
    <w:rsid w:val="25290886"/>
    <w:rsid w:val="25332FA7"/>
    <w:rsid w:val="253753B9"/>
    <w:rsid w:val="253A2C9B"/>
    <w:rsid w:val="25414779"/>
    <w:rsid w:val="254636EF"/>
    <w:rsid w:val="25470C0F"/>
    <w:rsid w:val="254961D1"/>
    <w:rsid w:val="255D6D2E"/>
    <w:rsid w:val="255F19AC"/>
    <w:rsid w:val="25664D94"/>
    <w:rsid w:val="25696E13"/>
    <w:rsid w:val="256F70BC"/>
    <w:rsid w:val="25930AB5"/>
    <w:rsid w:val="259C4FA8"/>
    <w:rsid w:val="25AE0027"/>
    <w:rsid w:val="25B14144"/>
    <w:rsid w:val="25BA1F37"/>
    <w:rsid w:val="25C36387"/>
    <w:rsid w:val="25C80604"/>
    <w:rsid w:val="25CB4114"/>
    <w:rsid w:val="25D747B1"/>
    <w:rsid w:val="25DB0EF7"/>
    <w:rsid w:val="25DC0DEC"/>
    <w:rsid w:val="25E011EB"/>
    <w:rsid w:val="25E82AE5"/>
    <w:rsid w:val="25F62AA2"/>
    <w:rsid w:val="260F2A81"/>
    <w:rsid w:val="26273FAE"/>
    <w:rsid w:val="26300CB4"/>
    <w:rsid w:val="263675F0"/>
    <w:rsid w:val="263A03D9"/>
    <w:rsid w:val="26416248"/>
    <w:rsid w:val="264230C0"/>
    <w:rsid w:val="264E2125"/>
    <w:rsid w:val="26514638"/>
    <w:rsid w:val="2657379F"/>
    <w:rsid w:val="265C6D9A"/>
    <w:rsid w:val="26670521"/>
    <w:rsid w:val="26720E4B"/>
    <w:rsid w:val="267C1FE6"/>
    <w:rsid w:val="269D7D78"/>
    <w:rsid w:val="26A16EC1"/>
    <w:rsid w:val="26AF2033"/>
    <w:rsid w:val="26B31B9A"/>
    <w:rsid w:val="26B4797A"/>
    <w:rsid w:val="26B57392"/>
    <w:rsid w:val="26B841B1"/>
    <w:rsid w:val="26E41A5D"/>
    <w:rsid w:val="26F77994"/>
    <w:rsid w:val="26FC1279"/>
    <w:rsid w:val="270547E6"/>
    <w:rsid w:val="27151B96"/>
    <w:rsid w:val="27160939"/>
    <w:rsid w:val="271B578E"/>
    <w:rsid w:val="27293FBE"/>
    <w:rsid w:val="272E4BB4"/>
    <w:rsid w:val="27354CE4"/>
    <w:rsid w:val="273D1050"/>
    <w:rsid w:val="27422ECA"/>
    <w:rsid w:val="27431C3B"/>
    <w:rsid w:val="2754193C"/>
    <w:rsid w:val="2763714F"/>
    <w:rsid w:val="276E48B6"/>
    <w:rsid w:val="277746F3"/>
    <w:rsid w:val="277D2593"/>
    <w:rsid w:val="27807086"/>
    <w:rsid w:val="278248B5"/>
    <w:rsid w:val="27842E5F"/>
    <w:rsid w:val="279575D6"/>
    <w:rsid w:val="27996D24"/>
    <w:rsid w:val="27A667D8"/>
    <w:rsid w:val="27AB2A25"/>
    <w:rsid w:val="27C269CB"/>
    <w:rsid w:val="27CA63AB"/>
    <w:rsid w:val="27CD694A"/>
    <w:rsid w:val="27CD6E04"/>
    <w:rsid w:val="27DA471A"/>
    <w:rsid w:val="27E075AF"/>
    <w:rsid w:val="27E9323F"/>
    <w:rsid w:val="27EF0D71"/>
    <w:rsid w:val="27FA2975"/>
    <w:rsid w:val="27FF3AE6"/>
    <w:rsid w:val="280C61B4"/>
    <w:rsid w:val="28137D80"/>
    <w:rsid w:val="28162577"/>
    <w:rsid w:val="28287997"/>
    <w:rsid w:val="282E1558"/>
    <w:rsid w:val="28306A54"/>
    <w:rsid w:val="28532506"/>
    <w:rsid w:val="28560B47"/>
    <w:rsid w:val="28743687"/>
    <w:rsid w:val="287B765A"/>
    <w:rsid w:val="2881095C"/>
    <w:rsid w:val="289E576E"/>
    <w:rsid w:val="28A10091"/>
    <w:rsid w:val="28C86F37"/>
    <w:rsid w:val="28D225E7"/>
    <w:rsid w:val="28D65D4A"/>
    <w:rsid w:val="28DA15AF"/>
    <w:rsid w:val="28E72400"/>
    <w:rsid w:val="28FB2479"/>
    <w:rsid w:val="29035772"/>
    <w:rsid w:val="2904155F"/>
    <w:rsid w:val="290C5344"/>
    <w:rsid w:val="29273901"/>
    <w:rsid w:val="293442B6"/>
    <w:rsid w:val="29482844"/>
    <w:rsid w:val="295A2087"/>
    <w:rsid w:val="295B5152"/>
    <w:rsid w:val="296F63CA"/>
    <w:rsid w:val="2985148D"/>
    <w:rsid w:val="298B0DD7"/>
    <w:rsid w:val="299A420A"/>
    <w:rsid w:val="29A7157B"/>
    <w:rsid w:val="29B11809"/>
    <w:rsid w:val="29C523A8"/>
    <w:rsid w:val="29CD2984"/>
    <w:rsid w:val="29D94FC7"/>
    <w:rsid w:val="29DC169B"/>
    <w:rsid w:val="29E61469"/>
    <w:rsid w:val="29F0565C"/>
    <w:rsid w:val="29FE00CD"/>
    <w:rsid w:val="29FF036D"/>
    <w:rsid w:val="2A023A68"/>
    <w:rsid w:val="2A065779"/>
    <w:rsid w:val="2A0D68E0"/>
    <w:rsid w:val="2A1635F2"/>
    <w:rsid w:val="2A1C2699"/>
    <w:rsid w:val="2A2B37C7"/>
    <w:rsid w:val="2A316808"/>
    <w:rsid w:val="2A537D9A"/>
    <w:rsid w:val="2A564000"/>
    <w:rsid w:val="2A604C1E"/>
    <w:rsid w:val="2A681678"/>
    <w:rsid w:val="2A844DD4"/>
    <w:rsid w:val="2A8B576B"/>
    <w:rsid w:val="2A8E2D68"/>
    <w:rsid w:val="2AA702AC"/>
    <w:rsid w:val="2AAD2A1A"/>
    <w:rsid w:val="2AB85135"/>
    <w:rsid w:val="2AB93B63"/>
    <w:rsid w:val="2ACA05F3"/>
    <w:rsid w:val="2ADE4343"/>
    <w:rsid w:val="2AE237F9"/>
    <w:rsid w:val="2AE2591E"/>
    <w:rsid w:val="2AED5B62"/>
    <w:rsid w:val="2AF4559E"/>
    <w:rsid w:val="2AFE7150"/>
    <w:rsid w:val="2B0345FB"/>
    <w:rsid w:val="2B207F6E"/>
    <w:rsid w:val="2B2B6155"/>
    <w:rsid w:val="2B3C38EC"/>
    <w:rsid w:val="2B4D4A32"/>
    <w:rsid w:val="2B5D615F"/>
    <w:rsid w:val="2B6A1E80"/>
    <w:rsid w:val="2B6E4708"/>
    <w:rsid w:val="2B747708"/>
    <w:rsid w:val="2B800728"/>
    <w:rsid w:val="2B9A373F"/>
    <w:rsid w:val="2BA45D17"/>
    <w:rsid w:val="2BA94D08"/>
    <w:rsid w:val="2BC7506C"/>
    <w:rsid w:val="2BCA5537"/>
    <w:rsid w:val="2BE06FA5"/>
    <w:rsid w:val="2BE84C9C"/>
    <w:rsid w:val="2BF72A76"/>
    <w:rsid w:val="2BF916D2"/>
    <w:rsid w:val="2C0A14F9"/>
    <w:rsid w:val="2C0D042C"/>
    <w:rsid w:val="2C1A6E5F"/>
    <w:rsid w:val="2C266660"/>
    <w:rsid w:val="2C2A2678"/>
    <w:rsid w:val="2C324F13"/>
    <w:rsid w:val="2C4146BD"/>
    <w:rsid w:val="2C5E1B4B"/>
    <w:rsid w:val="2C686FE6"/>
    <w:rsid w:val="2C9E2F5E"/>
    <w:rsid w:val="2CB31E6F"/>
    <w:rsid w:val="2CB636BD"/>
    <w:rsid w:val="2CC6358E"/>
    <w:rsid w:val="2CCC698B"/>
    <w:rsid w:val="2CCE23EC"/>
    <w:rsid w:val="2CDD76A9"/>
    <w:rsid w:val="2CEB77C6"/>
    <w:rsid w:val="2CF82424"/>
    <w:rsid w:val="2CFE2CF4"/>
    <w:rsid w:val="2D101C12"/>
    <w:rsid w:val="2D1C44F8"/>
    <w:rsid w:val="2D311133"/>
    <w:rsid w:val="2D453A57"/>
    <w:rsid w:val="2D4A6565"/>
    <w:rsid w:val="2D5006CE"/>
    <w:rsid w:val="2D612F9E"/>
    <w:rsid w:val="2D84402B"/>
    <w:rsid w:val="2D917917"/>
    <w:rsid w:val="2DAC7415"/>
    <w:rsid w:val="2DB12F00"/>
    <w:rsid w:val="2DD01141"/>
    <w:rsid w:val="2DD25CCB"/>
    <w:rsid w:val="2DE978C7"/>
    <w:rsid w:val="2DEA255A"/>
    <w:rsid w:val="2DEB4C91"/>
    <w:rsid w:val="2DF33AF2"/>
    <w:rsid w:val="2DFF4CFA"/>
    <w:rsid w:val="2E0133FE"/>
    <w:rsid w:val="2E151341"/>
    <w:rsid w:val="2E1E06AB"/>
    <w:rsid w:val="2E304CC0"/>
    <w:rsid w:val="2E381AD1"/>
    <w:rsid w:val="2E3844D1"/>
    <w:rsid w:val="2E393818"/>
    <w:rsid w:val="2E445433"/>
    <w:rsid w:val="2E55148C"/>
    <w:rsid w:val="2E5B0394"/>
    <w:rsid w:val="2E5F4CA5"/>
    <w:rsid w:val="2E655918"/>
    <w:rsid w:val="2E754938"/>
    <w:rsid w:val="2E763022"/>
    <w:rsid w:val="2E831C60"/>
    <w:rsid w:val="2E857BDC"/>
    <w:rsid w:val="2E8A4604"/>
    <w:rsid w:val="2E8C4766"/>
    <w:rsid w:val="2EA353BD"/>
    <w:rsid w:val="2EAC10FB"/>
    <w:rsid w:val="2EAE7740"/>
    <w:rsid w:val="2EB2130D"/>
    <w:rsid w:val="2EB5696D"/>
    <w:rsid w:val="2EBB5B75"/>
    <w:rsid w:val="2EC11F4F"/>
    <w:rsid w:val="2EC73F77"/>
    <w:rsid w:val="2ECD3158"/>
    <w:rsid w:val="2ED03C68"/>
    <w:rsid w:val="2EDC4868"/>
    <w:rsid w:val="2EE45409"/>
    <w:rsid w:val="2EEC0082"/>
    <w:rsid w:val="2EF61DBE"/>
    <w:rsid w:val="2F126A73"/>
    <w:rsid w:val="2F156431"/>
    <w:rsid w:val="2F181C7E"/>
    <w:rsid w:val="2F4602D3"/>
    <w:rsid w:val="2F4A277D"/>
    <w:rsid w:val="2F4A46E9"/>
    <w:rsid w:val="2F4B73F1"/>
    <w:rsid w:val="2F50336E"/>
    <w:rsid w:val="2F521F21"/>
    <w:rsid w:val="2F5321AB"/>
    <w:rsid w:val="2F5B11F5"/>
    <w:rsid w:val="2F817B51"/>
    <w:rsid w:val="2F8B32A0"/>
    <w:rsid w:val="2FAB0990"/>
    <w:rsid w:val="2FBF367F"/>
    <w:rsid w:val="2FD26051"/>
    <w:rsid w:val="300C18A8"/>
    <w:rsid w:val="300F27D8"/>
    <w:rsid w:val="3017746C"/>
    <w:rsid w:val="301B1325"/>
    <w:rsid w:val="301B4CF6"/>
    <w:rsid w:val="301D24FA"/>
    <w:rsid w:val="30256E3F"/>
    <w:rsid w:val="302841D6"/>
    <w:rsid w:val="30292E85"/>
    <w:rsid w:val="302A06C7"/>
    <w:rsid w:val="30362963"/>
    <w:rsid w:val="304B4971"/>
    <w:rsid w:val="30520FC4"/>
    <w:rsid w:val="305B2986"/>
    <w:rsid w:val="305E3B01"/>
    <w:rsid w:val="3070799F"/>
    <w:rsid w:val="30710641"/>
    <w:rsid w:val="307B065A"/>
    <w:rsid w:val="308B6243"/>
    <w:rsid w:val="308F10C1"/>
    <w:rsid w:val="30980B55"/>
    <w:rsid w:val="30B16DF8"/>
    <w:rsid w:val="30BF2013"/>
    <w:rsid w:val="30BF4E67"/>
    <w:rsid w:val="30C3257A"/>
    <w:rsid w:val="30C9549B"/>
    <w:rsid w:val="30D039CC"/>
    <w:rsid w:val="30E84A92"/>
    <w:rsid w:val="30EB6EBF"/>
    <w:rsid w:val="30F739EB"/>
    <w:rsid w:val="30FF2B17"/>
    <w:rsid w:val="31000077"/>
    <w:rsid w:val="310A2EE4"/>
    <w:rsid w:val="311077EE"/>
    <w:rsid w:val="311957EC"/>
    <w:rsid w:val="313823C3"/>
    <w:rsid w:val="313E3E0A"/>
    <w:rsid w:val="31424A0E"/>
    <w:rsid w:val="31474093"/>
    <w:rsid w:val="31494D48"/>
    <w:rsid w:val="314D12E7"/>
    <w:rsid w:val="31577DAE"/>
    <w:rsid w:val="31593915"/>
    <w:rsid w:val="31610DA1"/>
    <w:rsid w:val="31692C68"/>
    <w:rsid w:val="3186050C"/>
    <w:rsid w:val="3187330F"/>
    <w:rsid w:val="318C2A8A"/>
    <w:rsid w:val="319308DB"/>
    <w:rsid w:val="31A139F0"/>
    <w:rsid w:val="31A149C5"/>
    <w:rsid w:val="31A34738"/>
    <w:rsid w:val="31AD5CE4"/>
    <w:rsid w:val="31B71852"/>
    <w:rsid w:val="31C451E8"/>
    <w:rsid w:val="31C70633"/>
    <w:rsid w:val="31CF1A9E"/>
    <w:rsid w:val="31E46DB6"/>
    <w:rsid w:val="31E85255"/>
    <w:rsid w:val="31EE0C5B"/>
    <w:rsid w:val="31F37B1C"/>
    <w:rsid w:val="32072786"/>
    <w:rsid w:val="320E6CF6"/>
    <w:rsid w:val="323D5285"/>
    <w:rsid w:val="323D67F9"/>
    <w:rsid w:val="323F59AD"/>
    <w:rsid w:val="324F564D"/>
    <w:rsid w:val="325775DD"/>
    <w:rsid w:val="3258194B"/>
    <w:rsid w:val="327634A0"/>
    <w:rsid w:val="32824AF4"/>
    <w:rsid w:val="32915C25"/>
    <w:rsid w:val="329279D1"/>
    <w:rsid w:val="3295039F"/>
    <w:rsid w:val="32A37C4C"/>
    <w:rsid w:val="32A7038B"/>
    <w:rsid w:val="32A848D9"/>
    <w:rsid w:val="32BD332D"/>
    <w:rsid w:val="32CA3F4B"/>
    <w:rsid w:val="32F11374"/>
    <w:rsid w:val="32FB78DA"/>
    <w:rsid w:val="330D04C5"/>
    <w:rsid w:val="330F0C82"/>
    <w:rsid w:val="332751AA"/>
    <w:rsid w:val="334A1FE6"/>
    <w:rsid w:val="33810DC8"/>
    <w:rsid w:val="338C5077"/>
    <w:rsid w:val="33966234"/>
    <w:rsid w:val="33B27CF3"/>
    <w:rsid w:val="33BF30F0"/>
    <w:rsid w:val="33CF622E"/>
    <w:rsid w:val="33DF5C1B"/>
    <w:rsid w:val="33E4244E"/>
    <w:rsid w:val="33EC6BC6"/>
    <w:rsid w:val="33F63D7A"/>
    <w:rsid w:val="34054362"/>
    <w:rsid w:val="34086A59"/>
    <w:rsid w:val="341969BC"/>
    <w:rsid w:val="34477671"/>
    <w:rsid w:val="3449658B"/>
    <w:rsid w:val="345067DD"/>
    <w:rsid w:val="34554D46"/>
    <w:rsid w:val="34642720"/>
    <w:rsid w:val="34666EA3"/>
    <w:rsid w:val="34700B8F"/>
    <w:rsid w:val="3471199C"/>
    <w:rsid w:val="347501DA"/>
    <w:rsid w:val="347A0AD0"/>
    <w:rsid w:val="348F4A38"/>
    <w:rsid w:val="34971508"/>
    <w:rsid w:val="34A76556"/>
    <w:rsid w:val="34B075DB"/>
    <w:rsid w:val="34CC5A05"/>
    <w:rsid w:val="34CC608D"/>
    <w:rsid w:val="34D45800"/>
    <w:rsid w:val="34E45775"/>
    <w:rsid w:val="34F3356F"/>
    <w:rsid w:val="34F4750F"/>
    <w:rsid w:val="34F96737"/>
    <w:rsid w:val="350364BB"/>
    <w:rsid w:val="350A0E15"/>
    <w:rsid w:val="350B4D71"/>
    <w:rsid w:val="35197DDC"/>
    <w:rsid w:val="351C0E12"/>
    <w:rsid w:val="35223A79"/>
    <w:rsid w:val="352A0116"/>
    <w:rsid w:val="353D755D"/>
    <w:rsid w:val="354E10AF"/>
    <w:rsid w:val="355364BE"/>
    <w:rsid w:val="3554088B"/>
    <w:rsid w:val="355A704E"/>
    <w:rsid w:val="35647120"/>
    <w:rsid w:val="356C444C"/>
    <w:rsid w:val="356D22CC"/>
    <w:rsid w:val="3587562B"/>
    <w:rsid w:val="35911275"/>
    <w:rsid w:val="359204B6"/>
    <w:rsid w:val="35B80F44"/>
    <w:rsid w:val="35BC7667"/>
    <w:rsid w:val="35BF4BFA"/>
    <w:rsid w:val="35C07A92"/>
    <w:rsid w:val="35C16A58"/>
    <w:rsid w:val="35D60026"/>
    <w:rsid w:val="35D970A0"/>
    <w:rsid w:val="35DF1F80"/>
    <w:rsid w:val="35E03266"/>
    <w:rsid w:val="35ED1DA3"/>
    <w:rsid w:val="35F57242"/>
    <w:rsid w:val="3609636F"/>
    <w:rsid w:val="36100AC6"/>
    <w:rsid w:val="361449F7"/>
    <w:rsid w:val="36191A75"/>
    <w:rsid w:val="361A3C0A"/>
    <w:rsid w:val="36246A1A"/>
    <w:rsid w:val="362A29AD"/>
    <w:rsid w:val="362A529C"/>
    <w:rsid w:val="362E2FF7"/>
    <w:rsid w:val="363A1021"/>
    <w:rsid w:val="364524A3"/>
    <w:rsid w:val="365F20A8"/>
    <w:rsid w:val="3677203A"/>
    <w:rsid w:val="36805DE1"/>
    <w:rsid w:val="368603C1"/>
    <w:rsid w:val="369317CD"/>
    <w:rsid w:val="36960542"/>
    <w:rsid w:val="36966417"/>
    <w:rsid w:val="369C3305"/>
    <w:rsid w:val="36A431A7"/>
    <w:rsid w:val="36A46566"/>
    <w:rsid w:val="36A93106"/>
    <w:rsid w:val="36BB4E2F"/>
    <w:rsid w:val="36C202A4"/>
    <w:rsid w:val="36C37F35"/>
    <w:rsid w:val="36C43BE4"/>
    <w:rsid w:val="36C73607"/>
    <w:rsid w:val="36D12E82"/>
    <w:rsid w:val="36D137CD"/>
    <w:rsid w:val="36E310B3"/>
    <w:rsid w:val="36E97A73"/>
    <w:rsid w:val="36F229AD"/>
    <w:rsid w:val="36F80431"/>
    <w:rsid w:val="36FA57F1"/>
    <w:rsid w:val="37045205"/>
    <w:rsid w:val="370F2E10"/>
    <w:rsid w:val="371053A5"/>
    <w:rsid w:val="37106A83"/>
    <w:rsid w:val="371D1E88"/>
    <w:rsid w:val="372E3150"/>
    <w:rsid w:val="3737285D"/>
    <w:rsid w:val="373B24C7"/>
    <w:rsid w:val="37421535"/>
    <w:rsid w:val="375C1107"/>
    <w:rsid w:val="37632D71"/>
    <w:rsid w:val="376578D6"/>
    <w:rsid w:val="378E050F"/>
    <w:rsid w:val="379527C3"/>
    <w:rsid w:val="37A6191B"/>
    <w:rsid w:val="37A7325C"/>
    <w:rsid w:val="37D0588E"/>
    <w:rsid w:val="37D16F71"/>
    <w:rsid w:val="37EE11A1"/>
    <w:rsid w:val="37F27393"/>
    <w:rsid w:val="37F563CA"/>
    <w:rsid w:val="37F63A3F"/>
    <w:rsid w:val="37FB57D9"/>
    <w:rsid w:val="380072F1"/>
    <w:rsid w:val="38082360"/>
    <w:rsid w:val="3834750B"/>
    <w:rsid w:val="38351A1F"/>
    <w:rsid w:val="383B7C51"/>
    <w:rsid w:val="383E689A"/>
    <w:rsid w:val="383F0735"/>
    <w:rsid w:val="384168A1"/>
    <w:rsid w:val="385A6D31"/>
    <w:rsid w:val="385A7990"/>
    <w:rsid w:val="38637F7C"/>
    <w:rsid w:val="386B1498"/>
    <w:rsid w:val="386D0656"/>
    <w:rsid w:val="386E63BD"/>
    <w:rsid w:val="38962B4F"/>
    <w:rsid w:val="389A11B9"/>
    <w:rsid w:val="389C68F4"/>
    <w:rsid w:val="38A60649"/>
    <w:rsid w:val="38CF3B3E"/>
    <w:rsid w:val="38D918E5"/>
    <w:rsid w:val="38E362A9"/>
    <w:rsid w:val="38F24D37"/>
    <w:rsid w:val="38F91C2B"/>
    <w:rsid w:val="390B179A"/>
    <w:rsid w:val="39160B95"/>
    <w:rsid w:val="391A1B9F"/>
    <w:rsid w:val="391E27D1"/>
    <w:rsid w:val="391E4B97"/>
    <w:rsid w:val="392158C6"/>
    <w:rsid w:val="39323ED5"/>
    <w:rsid w:val="393A035D"/>
    <w:rsid w:val="393E79E0"/>
    <w:rsid w:val="394D0D95"/>
    <w:rsid w:val="3950436C"/>
    <w:rsid w:val="39590185"/>
    <w:rsid w:val="39630FCA"/>
    <w:rsid w:val="39755A7B"/>
    <w:rsid w:val="398D750B"/>
    <w:rsid w:val="399667F8"/>
    <w:rsid w:val="39A60F8F"/>
    <w:rsid w:val="39A930EA"/>
    <w:rsid w:val="39A94B13"/>
    <w:rsid w:val="39AD709A"/>
    <w:rsid w:val="39BC0456"/>
    <w:rsid w:val="39C81A74"/>
    <w:rsid w:val="39E96C25"/>
    <w:rsid w:val="39EA595C"/>
    <w:rsid w:val="39EC072D"/>
    <w:rsid w:val="39F277C5"/>
    <w:rsid w:val="3A171719"/>
    <w:rsid w:val="3A2511AB"/>
    <w:rsid w:val="3A304388"/>
    <w:rsid w:val="3A3046B1"/>
    <w:rsid w:val="3A3A0BCE"/>
    <w:rsid w:val="3A3F4C6F"/>
    <w:rsid w:val="3A565B5A"/>
    <w:rsid w:val="3A5E319F"/>
    <w:rsid w:val="3A772C10"/>
    <w:rsid w:val="3A773392"/>
    <w:rsid w:val="3A7E7FFF"/>
    <w:rsid w:val="3A85074A"/>
    <w:rsid w:val="3AA4304A"/>
    <w:rsid w:val="3AAE31E1"/>
    <w:rsid w:val="3AB80019"/>
    <w:rsid w:val="3AC13F33"/>
    <w:rsid w:val="3AC41449"/>
    <w:rsid w:val="3AD53D1B"/>
    <w:rsid w:val="3ADB00DA"/>
    <w:rsid w:val="3AEF15C3"/>
    <w:rsid w:val="3AF67951"/>
    <w:rsid w:val="3AFB0FB0"/>
    <w:rsid w:val="3B0B0D5C"/>
    <w:rsid w:val="3B3D5135"/>
    <w:rsid w:val="3B5B214E"/>
    <w:rsid w:val="3B5C1ABC"/>
    <w:rsid w:val="3B6972E8"/>
    <w:rsid w:val="3B786DFC"/>
    <w:rsid w:val="3B7F7062"/>
    <w:rsid w:val="3B8713E1"/>
    <w:rsid w:val="3B8760F9"/>
    <w:rsid w:val="3B995E32"/>
    <w:rsid w:val="3B9B0169"/>
    <w:rsid w:val="3BAD0C35"/>
    <w:rsid w:val="3BAD57FC"/>
    <w:rsid w:val="3BB2539E"/>
    <w:rsid w:val="3BCE1BFE"/>
    <w:rsid w:val="3BD00655"/>
    <w:rsid w:val="3BD27353"/>
    <w:rsid w:val="3BF578D5"/>
    <w:rsid w:val="3BFA407E"/>
    <w:rsid w:val="3BFC208A"/>
    <w:rsid w:val="3BFD5FC7"/>
    <w:rsid w:val="3C10041E"/>
    <w:rsid w:val="3C15723C"/>
    <w:rsid w:val="3C3B69DC"/>
    <w:rsid w:val="3C3F332A"/>
    <w:rsid w:val="3C446F2E"/>
    <w:rsid w:val="3C563770"/>
    <w:rsid w:val="3C5D40D9"/>
    <w:rsid w:val="3C630D25"/>
    <w:rsid w:val="3C656812"/>
    <w:rsid w:val="3C742F52"/>
    <w:rsid w:val="3C7D5B9F"/>
    <w:rsid w:val="3CAB5880"/>
    <w:rsid w:val="3CB14D44"/>
    <w:rsid w:val="3CC30FAF"/>
    <w:rsid w:val="3CC43831"/>
    <w:rsid w:val="3CC67F3B"/>
    <w:rsid w:val="3CD429F1"/>
    <w:rsid w:val="3CD74BC1"/>
    <w:rsid w:val="3CDB47E8"/>
    <w:rsid w:val="3CEB4E99"/>
    <w:rsid w:val="3CEC6214"/>
    <w:rsid w:val="3CF25AF7"/>
    <w:rsid w:val="3CF4022F"/>
    <w:rsid w:val="3D097326"/>
    <w:rsid w:val="3D1171DC"/>
    <w:rsid w:val="3D1C2E1B"/>
    <w:rsid w:val="3D26069C"/>
    <w:rsid w:val="3D2D4347"/>
    <w:rsid w:val="3D335830"/>
    <w:rsid w:val="3D350FB8"/>
    <w:rsid w:val="3D360D5E"/>
    <w:rsid w:val="3D3D3D80"/>
    <w:rsid w:val="3D567BB9"/>
    <w:rsid w:val="3D5D7621"/>
    <w:rsid w:val="3D601A8E"/>
    <w:rsid w:val="3D786A50"/>
    <w:rsid w:val="3D8278ED"/>
    <w:rsid w:val="3D91271E"/>
    <w:rsid w:val="3D942E91"/>
    <w:rsid w:val="3D9527E7"/>
    <w:rsid w:val="3D987C96"/>
    <w:rsid w:val="3D9952BC"/>
    <w:rsid w:val="3DA7199B"/>
    <w:rsid w:val="3DC84882"/>
    <w:rsid w:val="3DD17D69"/>
    <w:rsid w:val="3DE74C30"/>
    <w:rsid w:val="3DEA4197"/>
    <w:rsid w:val="3E0F49F1"/>
    <w:rsid w:val="3E101F39"/>
    <w:rsid w:val="3E23422B"/>
    <w:rsid w:val="3E2349E5"/>
    <w:rsid w:val="3E284047"/>
    <w:rsid w:val="3E5F1A5F"/>
    <w:rsid w:val="3E65711D"/>
    <w:rsid w:val="3E8640EB"/>
    <w:rsid w:val="3E933F56"/>
    <w:rsid w:val="3EA45C07"/>
    <w:rsid w:val="3EA52B18"/>
    <w:rsid w:val="3EBE3B9F"/>
    <w:rsid w:val="3EC10D4C"/>
    <w:rsid w:val="3EC27F50"/>
    <w:rsid w:val="3EC34067"/>
    <w:rsid w:val="3EDC2138"/>
    <w:rsid w:val="3EEC1B95"/>
    <w:rsid w:val="3EED2D3A"/>
    <w:rsid w:val="3EF92D40"/>
    <w:rsid w:val="3F0A4BFF"/>
    <w:rsid w:val="3F0E1B3F"/>
    <w:rsid w:val="3F1D6EFD"/>
    <w:rsid w:val="3F1E1B6E"/>
    <w:rsid w:val="3F2D6B02"/>
    <w:rsid w:val="3F350D9A"/>
    <w:rsid w:val="3F405413"/>
    <w:rsid w:val="3F4F3B43"/>
    <w:rsid w:val="3F5A0448"/>
    <w:rsid w:val="3F655D4D"/>
    <w:rsid w:val="3F693C39"/>
    <w:rsid w:val="3F864B86"/>
    <w:rsid w:val="3F8B3E4C"/>
    <w:rsid w:val="3F8E32BE"/>
    <w:rsid w:val="3F9D3E1A"/>
    <w:rsid w:val="3FA20748"/>
    <w:rsid w:val="3FA23C42"/>
    <w:rsid w:val="3FC011B9"/>
    <w:rsid w:val="3FC11602"/>
    <w:rsid w:val="3FC4553B"/>
    <w:rsid w:val="3FC614EC"/>
    <w:rsid w:val="3FCB13DC"/>
    <w:rsid w:val="3FD42AD5"/>
    <w:rsid w:val="3FD75712"/>
    <w:rsid w:val="3FDF77E5"/>
    <w:rsid w:val="3FED13C3"/>
    <w:rsid w:val="3FF619ED"/>
    <w:rsid w:val="3FF652B4"/>
    <w:rsid w:val="3FFB58BF"/>
    <w:rsid w:val="40004DE6"/>
    <w:rsid w:val="40464B2B"/>
    <w:rsid w:val="404B06C7"/>
    <w:rsid w:val="40572F9B"/>
    <w:rsid w:val="406C1B43"/>
    <w:rsid w:val="40705D1E"/>
    <w:rsid w:val="408758C7"/>
    <w:rsid w:val="409964D5"/>
    <w:rsid w:val="409A7830"/>
    <w:rsid w:val="40B951D8"/>
    <w:rsid w:val="40BB7D44"/>
    <w:rsid w:val="40CE500D"/>
    <w:rsid w:val="40D836BF"/>
    <w:rsid w:val="40FA466F"/>
    <w:rsid w:val="41015A0F"/>
    <w:rsid w:val="412A6A9B"/>
    <w:rsid w:val="412C2A45"/>
    <w:rsid w:val="413A5FA0"/>
    <w:rsid w:val="413F1449"/>
    <w:rsid w:val="41534931"/>
    <w:rsid w:val="415A7457"/>
    <w:rsid w:val="4166382E"/>
    <w:rsid w:val="416956C1"/>
    <w:rsid w:val="41704598"/>
    <w:rsid w:val="417B0A08"/>
    <w:rsid w:val="417D18C0"/>
    <w:rsid w:val="41807296"/>
    <w:rsid w:val="418568F9"/>
    <w:rsid w:val="418B7B0A"/>
    <w:rsid w:val="418D038B"/>
    <w:rsid w:val="419040E9"/>
    <w:rsid w:val="419E22C8"/>
    <w:rsid w:val="419F7FFF"/>
    <w:rsid w:val="41AB50B6"/>
    <w:rsid w:val="41AE7777"/>
    <w:rsid w:val="41CA342F"/>
    <w:rsid w:val="41DC7498"/>
    <w:rsid w:val="41EE6C78"/>
    <w:rsid w:val="41F87050"/>
    <w:rsid w:val="421776D6"/>
    <w:rsid w:val="421A1EB5"/>
    <w:rsid w:val="42214E5D"/>
    <w:rsid w:val="42257DCD"/>
    <w:rsid w:val="423839F3"/>
    <w:rsid w:val="42512B04"/>
    <w:rsid w:val="42522153"/>
    <w:rsid w:val="426106D0"/>
    <w:rsid w:val="42617EC7"/>
    <w:rsid w:val="42691AED"/>
    <w:rsid w:val="426E67ED"/>
    <w:rsid w:val="42732B26"/>
    <w:rsid w:val="42791A6F"/>
    <w:rsid w:val="427C3B39"/>
    <w:rsid w:val="428356E3"/>
    <w:rsid w:val="4287406F"/>
    <w:rsid w:val="42890113"/>
    <w:rsid w:val="428E5556"/>
    <w:rsid w:val="429B1C31"/>
    <w:rsid w:val="42A2687A"/>
    <w:rsid w:val="42A35576"/>
    <w:rsid w:val="42B64818"/>
    <w:rsid w:val="42C430EF"/>
    <w:rsid w:val="42C93E22"/>
    <w:rsid w:val="42F25F9F"/>
    <w:rsid w:val="42F81DEB"/>
    <w:rsid w:val="42FF4424"/>
    <w:rsid w:val="43005FD9"/>
    <w:rsid w:val="430302FB"/>
    <w:rsid w:val="43073B70"/>
    <w:rsid w:val="43097B75"/>
    <w:rsid w:val="43105754"/>
    <w:rsid w:val="4312547F"/>
    <w:rsid w:val="43182F26"/>
    <w:rsid w:val="431A10DB"/>
    <w:rsid w:val="431C09D6"/>
    <w:rsid w:val="431F4B36"/>
    <w:rsid w:val="4322387C"/>
    <w:rsid w:val="43244F12"/>
    <w:rsid w:val="432C4996"/>
    <w:rsid w:val="43324C9E"/>
    <w:rsid w:val="433930F9"/>
    <w:rsid w:val="4339404A"/>
    <w:rsid w:val="433B550A"/>
    <w:rsid w:val="43414C7C"/>
    <w:rsid w:val="434E25EB"/>
    <w:rsid w:val="43572350"/>
    <w:rsid w:val="4370249A"/>
    <w:rsid w:val="438F366B"/>
    <w:rsid w:val="439D5A2D"/>
    <w:rsid w:val="43A64918"/>
    <w:rsid w:val="43A95D07"/>
    <w:rsid w:val="43B264C6"/>
    <w:rsid w:val="43BE2882"/>
    <w:rsid w:val="43C477CD"/>
    <w:rsid w:val="43D6693D"/>
    <w:rsid w:val="43E32679"/>
    <w:rsid w:val="43E44F04"/>
    <w:rsid w:val="43F34C77"/>
    <w:rsid w:val="44147A93"/>
    <w:rsid w:val="44205D33"/>
    <w:rsid w:val="44237ED6"/>
    <w:rsid w:val="44326C2C"/>
    <w:rsid w:val="445021E7"/>
    <w:rsid w:val="445050D2"/>
    <w:rsid w:val="4459336D"/>
    <w:rsid w:val="445A7145"/>
    <w:rsid w:val="44600537"/>
    <w:rsid w:val="44644010"/>
    <w:rsid w:val="44670581"/>
    <w:rsid w:val="446D2735"/>
    <w:rsid w:val="44754E3F"/>
    <w:rsid w:val="447A612A"/>
    <w:rsid w:val="4485081B"/>
    <w:rsid w:val="448E52A9"/>
    <w:rsid w:val="44993477"/>
    <w:rsid w:val="44B35DC3"/>
    <w:rsid w:val="44B50E39"/>
    <w:rsid w:val="44BC3256"/>
    <w:rsid w:val="44C4523D"/>
    <w:rsid w:val="44DB7CD4"/>
    <w:rsid w:val="44DE731A"/>
    <w:rsid w:val="44EE4DB9"/>
    <w:rsid w:val="44F055C9"/>
    <w:rsid w:val="44F473A5"/>
    <w:rsid w:val="44F81AB0"/>
    <w:rsid w:val="44FC05B7"/>
    <w:rsid w:val="45063781"/>
    <w:rsid w:val="45115C7D"/>
    <w:rsid w:val="451F55F6"/>
    <w:rsid w:val="452164DA"/>
    <w:rsid w:val="454A103E"/>
    <w:rsid w:val="454C649A"/>
    <w:rsid w:val="4555043F"/>
    <w:rsid w:val="4557682D"/>
    <w:rsid w:val="455834B3"/>
    <w:rsid w:val="455B2173"/>
    <w:rsid w:val="45750187"/>
    <w:rsid w:val="45922380"/>
    <w:rsid w:val="459F5DE9"/>
    <w:rsid w:val="459F618D"/>
    <w:rsid w:val="45A6579D"/>
    <w:rsid w:val="45C60A76"/>
    <w:rsid w:val="45CD6658"/>
    <w:rsid w:val="45D518AD"/>
    <w:rsid w:val="45D907B0"/>
    <w:rsid w:val="45E97367"/>
    <w:rsid w:val="45FD628E"/>
    <w:rsid w:val="461546E5"/>
    <w:rsid w:val="461B6FB9"/>
    <w:rsid w:val="46224C2F"/>
    <w:rsid w:val="46240D2F"/>
    <w:rsid w:val="46246A71"/>
    <w:rsid w:val="46453FD7"/>
    <w:rsid w:val="464630A4"/>
    <w:rsid w:val="46514F31"/>
    <w:rsid w:val="467E09F8"/>
    <w:rsid w:val="467E0B8A"/>
    <w:rsid w:val="46B21C76"/>
    <w:rsid w:val="46B764F5"/>
    <w:rsid w:val="46BC74F6"/>
    <w:rsid w:val="46C11156"/>
    <w:rsid w:val="46C14716"/>
    <w:rsid w:val="46CD1987"/>
    <w:rsid w:val="46CE5B9F"/>
    <w:rsid w:val="46EA14FA"/>
    <w:rsid w:val="46ED4F79"/>
    <w:rsid w:val="46EE2792"/>
    <w:rsid w:val="46F20091"/>
    <w:rsid w:val="47060F51"/>
    <w:rsid w:val="47070532"/>
    <w:rsid w:val="470B5748"/>
    <w:rsid w:val="470F469A"/>
    <w:rsid w:val="471606B9"/>
    <w:rsid w:val="471773E3"/>
    <w:rsid w:val="471819C8"/>
    <w:rsid w:val="471F1F93"/>
    <w:rsid w:val="47297BEE"/>
    <w:rsid w:val="472D7470"/>
    <w:rsid w:val="4735473E"/>
    <w:rsid w:val="47364094"/>
    <w:rsid w:val="47411A53"/>
    <w:rsid w:val="47476282"/>
    <w:rsid w:val="475124F9"/>
    <w:rsid w:val="475E2886"/>
    <w:rsid w:val="47646398"/>
    <w:rsid w:val="47683E8B"/>
    <w:rsid w:val="476A58DF"/>
    <w:rsid w:val="476C1C7B"/>
    <w:rsid w:val="477E757D"/>
    <w:rsid w:val="478853AA"/>
    <w:rsid w:val="47912C51"/>
    <w:rsid w:val="479A0746"/>
    <w:rsid w:val="479C34F1"/>
    <w:rsid w:val="47B90D9F"/>
    <w:rsid w:val="47BF7D43"/>
    <w:rsid w:val="47C46749"/>
    <w:rsid w:val="47C77976"/>
    <w:rsid w:val="47CE5620"/>
    <w:rsid w:val="47F7400A"/>
    <w:rsid w:val="480B0449"/>
    <w:rsid w:val="480B2598"/>
    <w:rsid w:val="48104718"/>
    <w:rsid w:val="48246C4E"/>
    <w:rsid w:val="483530F5"/>
    <w:rsid w:val="484A5C59"/>
    <w:rsid w:val="484B7ACC"/>
    <w:rsid w:val="484C1E6F"/>
    <w:rsid w:val="4864580F"/>
    <w:rsid w:val="486D41B9"/>
    <w:rsid w:val="487C273C"/>
    <w:rsid w:val="48836610"/>
    <w:rsid w:val="48A77D11"/>
    <w:rsid w:val="48A92D9D"/>
    <w:rsid w:val="48AC2A9C"/>
    <w:rsid w:val="48C07892"/>
    <w:rsid w:val="48C10052"/>
    <w:rsid w:val="48C4711F"/>
    <w:rsid w:val="48C7651D"/>
    <w:rsid w:val="48DD6FEE"/>
    <w:rsid w:val="48EA1749"/>
    <w:rsid w:val="48F168ED"/>
    <w:rsid w:val="48F718CD"/>
    <w:rsid w:val="49160155"/>
    <w:rsid w:val="49222217"/>
    <w:rsid w:val="492C5766"/>
    <w:rsid w:val="493A43B2"/>
    <w:rsid w:val="494E212D"/>
    <w:rsid w:val="4953683C"/>
    <w:rsid w:val="498C1A0A"/>
    <w:rsid w:val="499823B2"/>
    <w:rsid w:val="499932BE"/>
    <w:rsid w:val="499C248C"/>
    <w:rsid w:val="49A76E9E"/>
    <w:rsid w:val="49AF3014"/>
    <w:rsid w:val="49BA2B53"/>
    <w:rsid w:val="49D0242A"/>
    <w:rsid w:val="49DD3120"/>
    <w:rsid w:val="49DF1B73"/>
    <w:rsid w:val="49E750CA"/>
    <w:rsid w:val="49FF151C"/>
    <w:rsid w:val="4A074858"/>
    <w:rsid w:val="4A085D4A"/>
    <w:rsid w:val="4A08733C"/>
    <w:rsid w:val="4A09697A"/>
    <w:rsid w:val="4A131B33"/>
    <w:rsid w:val="4A16632C"/>
    <w:rsid w:val="4A17291D"/>
    <w:rsid w:val="4A204FC8"/>
    <w:rsid w:val="4A221703"/>
    <w:rsid w:val="4A25364E"/>
    <w:rsid w:val="4A4D0894"/>
    <w:rsid w:val="4A521756"/>
    <w:rsid w:val="4A5A2B72"/>
    <w:rsid w:val="4A946456"/>
    <w:rsid w:val="4A9C5949"/>
    <w:rsid w:val="4A9E0807"/>
    <w:rsid w:val="4AA91124"/>
    <w:rsid w:val="4AB312AE"/>
    <w:rsid w:val="4AB7761B"/>
    <w:rsid w:val="4ABA3FE1"/>
    <w:rsid w:val="4ABD1CC4"/>
    <w:rsid w:val="4AC73167"/>
    <w:rsid w:val="4AD23401"/>
    <w:rsid w:val="4AD742EA"/>
    <w:rsid w:val="4AE97E3C"/>
    <w:rsid w:val="4AEB6B60"/>
    <w:rsid w:val="4AF146F8"/>
    <w:rsid w:val="4AFC6385"/>
    <w:rsid w:val="4B091D9C"/>
    <w:rsid w:val="4B1528B6"/>
    <w:rsid w:val="4B1A387B"/>
    <w:rsid w:val="4B1C620C"/>
    <w:rsid w:val="4B233B2C"/>
    <w:rsid w:val="4B2F21F7"/>
    <w:rsid w:val="4B3E6D01"/>
    <w:rsid w:val="4B4464E9"/>
    <w:rsid w:val="4B46404B"/>
    <w:rsid w:val="4B8663B1"/>
    <w:rsid w:val="4B8C02F4"/>
    <w:rsid w:val="4B9134D2"/>
    <w:rsid w:val="4BA62602"/>
    <w:rsid w:val="4BA66027"/>
    <w:rsid w:val="4BB62114"/>
    <w:rsid w:val="4BD57D35"/>
    <w:rsid w:val="4BF14D6B"/>
    <w:rsid w:val="4C0939BD"/>
    <w:rsid w:val="4C096458"/>
    <w:rsid w:val="4C152E95"/>
    <w:rsid w:val="4C1A60AC"/>
    <w:rsid w:val="4C1B7234"/>
    <w:rsid w:val="4C200212"/>
    <w:rsid w:val="4C30278B"/>
    <w:rsid w:val="4C4E338F"/>
    <w:rsid w:val="4C5217FA"/>
    <w:rsid w:val="4C6F1D6F"/>
    <w:rsid w:val="4C75032D"/>
    <w:rsid w:val="4C7E54BB"/>
    <w:rsid w:val="4C80365B"/>
    <w:rsid w:val="4C87183D"/>
    <w:rsid w:val="4C875F65"/>
    <w:rsid w:val="4C97029B"/>
    <w:rsid w:val="4CAA07CD"/>
    <w:rsid w:val="4CBC5845"/>
    <w:rsid w:val="4CD2214C"/>
    <w:rsid w:val="4CD47BD0"/>
    <w:rsid w:val="4CD61D1C"/>
    <w:rsid w:val="4CE270E9"/>
    <w:rsid w:val="4CF673A5"/>
    <w:rsid w:val="4CF8209D"/>
    <w:rsid w:val="4CF853C4"/>
    <w:rsid w:val="4D141F9E"/>
    <w:rsid w:val="4D1C4530"/>
    <w:rsid w:val="4D1F1761"/>
    <w:rsid w:val="4D252B66"/>
    <w:rsid w:val="4D415DB5"/>
    <w:rsid w:val="4D4B69DE"/>
    <w:rsid w:val="4D51380D"/>
    <w:rsid w:val="4D5A0B71"/>
    <w:rsid w:val="4D5D04BF"/>
    <w:rsid w:val="4D6B6151"/>
    <w:rsid w:val="4D6E2F4E"/>
    <w:rsid w:val="4D79111E"/>
    <w:rsid w:val="4DC91378"/>
    <w:rsid w:val="4DCA15F4"/>
    <w:rsid w:val="4DDE15B7"/>
    <w:rsid w:val="4DFB1D6D"/>
    <w:rsid w:val="4DFD10EF"/>
    <w:rsid w:val="4E2548E3"/>
    <w:rsid w:val="4E270BBF"/>
    <w:rsid w:val="4E29156D"/>
    <w:rsid w:val="4E2C05D5"/>
    <w:rsid w:val="4E351D34"/>
    <w:rsid w:val="4E3D60D1"/>
    <w:rsid w:val="4E401902"/>
    <w:rsid w:val="4E44435D"/>
    <w:rsid w:val="4E45226D"/>
    <w:rsid w:val="4E5249BD"/>
    <w:rsid w:val="4E5665ED"/>
    <w:rsid w:val="4E604D48"/>
    <w:rsid w:val="4E724E31"/>
    <w:rsid w:val="4E754426"/>
    <w:rsid w:val="4E7E0B80"/>
    <w:rsid w:val="4E8014FC"/>
    <w:rsid w:val="4E804A6C"/>
    <w:rsid w:val="4E8152DE"/>
    <w:rsid w:val="4E946EFE"/>
    <w:rsid w:val="4E956876"/>
    <w:rsid w:val="4EAA6069"/>
    <w:rsid w:val="4EB46B16"/>
    <w:rsid w:val="4EBE6BD2"/>
    <w:rsid w:val="4EC22B74"/>
    <w:rsid w:val="4ED23CBC"/>
    <w:rsid w:val="4EFC0A46"/>
    <w:rsid w:val="4F0D3774"/>
    <w:rsid w:val="4F1412DB"/>
    <w:rsid w:val="4F161150"/>
    <w:rsid w:val="4F1877CA"/>
    <w:rsid w:val="4F1A03D8"/>
    <w:rsid w:val="4F1A3129"/>
    <w:rsid w:val="4F1C1AD4"/>
    <w:rsid w:val="4F226B09"/>
    <w:rsid w:val="4F227121"/>
    <w:rsid w:val="4F2D1BFD"/>
    <w:rsid w:val="4F521455"/>
    <w:rsid w:val="4F5350B2"/>
    <w:rsid w:val="4F5467AA"/>
    <w:rsid w:val="4F582B20"/>
    <w:rsid w:val="4F6C2F2F"/>
    <w:rsid w:val="4F757409"/>
    <w:rsid w:val="4F78259D"/>
    <w:rsid w:val="4F812689"/>
    <w:rsid w:val="4F87455E"/>
    <w:rsid w:val="4F990284"/>
    <w:rsid w:val="4FA36059"/>
    <w:rsid w:val="4FC753FE"/>
    <w:rsid w:val="4FC95D41"/>
    <w:rsid w:val="4FCD18E2"/>
    <w:rsid w:val="4FD56B33"/>
    <w:rsid w:val="4FD9314B"/>
    <w:rsid w:val="4FDC3F40"/>
    <w:rsid w:val="4FE0190B"/>
    <w:rsid w:val="4FE721EF"/>
    <w:rsid w:val="50131AFC"/>
    <w:rsid w:val="50185E7E"/>
    <w:rsid w:val="502878FD"/>
    <w:rsid w:val="502D1483"/>
    <w:rsid w:val="5030233F"/>
    <w:rsid w:val="503A5AE3"/>
    <w:rsid w:val="504B40A1"/>
    <w:rsid w:val="504C50EC"/>
    <w:rsid w:val="504D542C"/>
    <w:rsid w:val="505C071C"/>
    <w:rsid w:val="505F5681"/>
    <w:rsid w:val="506605C8"/>
    <w:rsid w:val="50972560"/>
    <w:rsid w:val="50A20529"/>
    <w:rsid w:val="50B9123C"/>
    <w:rsid w:val="50C2167A"/>
    <w:rsid w:val="50C41A18"/>
    <w:rsid w:val="50D6311B"/>
    <w:rsid w:val="50E83CA8"/>
    <w:rsid w:val="50EE066A"/>
    <w:rsid w:val="50FB7070"/>
    <w:rsid w:val="51116D0D"/>
    <w:rsid w:val="5114375A"/>
    <w:rsid w:val="511F190F"/>
    <w:rsid w:val="51293E6D"/>
    <w:rsid w:val="512D72BE"/>
    <w:rsid w:val="513401B7"/>
    <w:rsid w:val="514778B9"/>
    <w:rsid w:val="5159639B"/>
    <w:rsid w:val="515E38A8"/>
    <w:rsid w:val="515E3A76"/>
    <w:rsid w:val="51655873"/>
    <w:rsid w:val="517B76BC"/>
    <w:rsid w:val="51961962"/>
    <w:rsid w:val="51AA47DA"/>
    <w:rsid w:val="51AC2E8C"/>
    <w:rsid w:val="51B42B15"/>
    <w:rsid w:val="51B46DC2"/>
    <w:rsid w:val="51C71F8F"/>
    <w:rsid w:val="51C80059"/>
    <w:rsid w:val="51D5513E"/>
    <w:rsid w:val="51ED371D"/>
    <w:rsid w:val="51F2103E"/>
    <w:rsid w:val="51F2292C"/>
    <w:rsid w:val="51FF7252"/>
    <w:rsid w:val="5202212C"/>
    <w:rsid w:val="5204214D"/>
    <w:rsid w:val="52062B39"/>
    <w:rsid w:val="522A38F0"/>
    <w:rsid w:val="5234309E"/>
    <w:rsid w:val="523F7142"/>
    <w:rsid w:val="524477AD"/>
    <w:rsid w:val="52474118"/>
    <w:rsid w:val="52485AE6"/>
    <w:rsid w:val="5258647E"/>
    <w:rsid w:val="52596D46"/>
    <w:rsid w:val="526C671A"/>
    <w:rsid w:val="526D06C2"/>
    <w:rsid w:val="52711EC1"/>
    <w:rsid w:val="52876485"/>
    <w:rsid w:val="528E7BD2"/>
    <w:rsid w:val="529621D1"/>
    <w:rsid w:val="529846C1"/>
    <w:rsid w:val="52A938AF"/>
    <w:rsid w:val="52AD4641"/>
    <w:rsid w:val="52BA30B2"/>
    <w:rsid w:val="52C01154"/>
    <w:rsid w:val="52C5295F"/>
    <w:rsid w:val="52C97720"/>
    <w:rsid w:val="52D46DB1"/>
    <w:rsid w:val="52D54555"/>
    <w:rsid w:val="52D81888"/>
    <w:rsid w:val="52E25373"/>
    <w:rsid w:val="52E751D4"/>
    <w:rsid w:val="52EE4293"/>
    <w:rsid w:val="530468B4"/>
    <w:rsid w:val="53061CE2"/>
    <w:rsid w:val="5315554A"/>
    <w:rsid w:val="5322591F"/>
    <w:rsid w:val="53256D61"/>
    <w:rsid w:val="53334415"/>
    <w:rsid w:val="5336041E"/>
    <w:rsid w:val="534D0495"/>
    <w:rsid w:val="53530BC1"/>
    <w:rsid w:val="535A0C05"/>
    <w:rsid w:val="53692EBE"/>
    <w:rsid w:val="536F5969"/>
    <w:rsid w:val="537331C3"/>
    <w:rsid w:val="538D2E3C"/>
    <w:rsid w:val="53947E72"/>
    <w:rsid w:val="53951E48"/>
    <w:rsid w:val="53997366"/>
    <w:rsid w:val="539E4B69"/>
    <w:rsid w:val="53C22543"/>
    <w:rsid w:val="53CC5D58"/>
    <w:rsid w:val="53D00D9B"/>
    <w:rsid w:val="53D31937"/>
    <w:rsid w:val="53D67C28"/>
    <w:rsid w:val="53DC5C25"/>
    <w:rsid w:val="53E26036"/>
    <w:rsid w:val="53FE72EE"/>
    <w:rsid w:val="54084DE3"/>
    <w:rsid w:val="541A5CEA"/>
    <w:rsid w:val="541F0535"/>
    <w:rsid w:val="541F0C6F"/>
    <w:rsid w:val="542B3768"/>
    <w:rsid w:val="542C6255"/>
    <w:rsid w:val="542F6A04"/>
    <w:rsid w:val="543C1CB5"/>
    <w:rsid w:val="54515B99"/>
    <w:rsid w:val="545E58E8"/>
    <w:rsid w:val="54766916"/>
    <w:rsid w:val="547D5E17"/>
    <w:rsid w:val="54834817"/>
    <w:rsid w:val="54A12E5C"/>
    <w:rsid w:val="54A83E6A"/>
    <w:rsid w:val="54AA5664"/>
    <w:rsid w:val="54AE57E8"/>
    <w:rsid w:val="54C60643"/>
    <w:rsid w:val="54D43C89"/>
    <w:rsid w:val="54EE47F0"/>
    <w:rsid w:val="54F443F9"/>
    <w:rsid w:val="55074553"/>
    <w:rsid w:val="551768EA"/>
    <w:rsid w:val="551F6E81"/>
    <w:rsid w:val="55217233"/>
    <w:rsid w:val="552A516F"/>
    <w:rsid w:val="552F41B1"/>
    <w:rsid w:val="553075EA"/>
    <w:rsid w:val="5542741F"/>
    <w:rsid w:val="55630D94"/>
    <w:rsid w:val="557C23DB"/>
    <w:rsid w:val="558D12DE"/>
    <w:rsid w:val="558F6CFE"/>
    <w:rsid w:val="559B2E10"/>
    <w:rsid w:val="559E3636"/>
    <w:rsid w:val="559F6F57"/>
    <w:rsid w:val="55AD5A96"/>
    <w:rsid w:val="55B31D11"/>
    <w:rsid w:val="55BA2C36"/>
    <w:rsid w:val="55BD5C72"/>
    <w:rsid w:val="55CA0784"/>
    <w:rsid w:val="55CB109E"/>
    <w:rsid w:val="55DF5F75"/>
    <w:rsid w:val="55EC07F5"/>
    <w:rsid w:val="55F5138D"/>
    <w:rsid w:val="56036695"/>
    <w:rsid w:val="56071EAD"/>
    <w:rsid w:val="561B51E4"/>
    <w:rsid w:val="562F70B9"/>
    <w:rsid w:val="563B11F8"/>
    <w:rsid w:val="563C1030"/>
    <w:rsid w:val="56422960"/>
    <w:rsid w:val="56453443"/>
    <w:rsid w:val="564A2212"/>
    <w:rsid w:val="564F2EBA"/>
    <w:rsid w:val="565866B9"/>
    <w:rsid w:val="565F447E"/>
    <w:rsid w:val="56647A61"/>
    <w:rsid w:val="56705E14"/>
    <w:rsid w:val="568E5C9F"/>
    <w:rsid w:val="569658B4"/>
    <w:rsid w:val="56AC2851"/>
    <w:rsid w:val="56AF4030"/>
    <w:rsid w:val="56B7039F"/>
    <w:rsid w:val="56BD5E6D"/>
    <w:rsid w:val="56C234DF"/>
    <w:rsid w:val="56C5432B"/>
    <w:rsid w:val="56C65098"/>
    <w:rsid w:val="56D52C93"/>
    <w:rsid w:val="56DA3734"/>
    <w:rsid w:val="56DF57EC"/>
    <w:rsid w:val="571058DD"/>
    <w:rsid w:val="571C65C9"/>
    <w:rsid w:val="571F5B5A"/>
    <w:rsid w:val="57224F8C"/>
    <w:rsid w:val="572815BA"/>
    <w:rsid w:val="572A2E6B"/>
    <w:rsid w:val="572B31F4"/>
    <w:rsid w:val="57303225"/>
    <w:rsid w:val="573B31CB"/>
    <w:rsid w:val="574524DB"/>
    <w:rsid w:val="57691E0C"/>
    <w:rsid w:val="577401F6"/>
    <w:rsid w:val="57813DF0"/>
    <w:rsid w:val="579256E8"/>
    <w:rsid w:val="57940984"/>
    <w:rsid w:val="57C1468C"/>
    <w:rsid w:val="57E00E5D"/>
    <w:rsid w:val="57E1665C"/>
    <w:rsid w:val="57ED2DCC"/>
    <w:rsid w:val="57F22B8C"/>
    <w:rsid w:val="57F475F0"/>
    <w:rsid w:val="57FB7F2C"/>
    <w:rsid w:val="580832B2"/>
    <w:rsid w:val="5825771C"/>
    <w:rsid w:val="58313850"/>
    <w:rsid w:val="583226A7"/>
    <w:rsid w:val="58475EFB"/>
    <w:rsid w:val="585F7CDE"/>
    <w:rsid w:val="586E21E8"/>
    <w:rsid w:val="586E4AAF"/>
    <w:rsid w:val="58862F12"/>
    <w:rsid w:val="58864DC1"/>
    <w:rsid w:val="588A5AB0"/>
    <w:rsid w:val="588D5381"/>
    <w:rsid w:val="588F551A"/>
    <w:rsid w:val="58AA7C48"/>
    <w:rsid w:val="58B05341"/>
    <w:rsid w:val="58C1057C"/>
    <w:rsid w:val="58CA1EA3"/>
    <w:rsid w:val="58DA4A8A"/>
    <w:rsid w:val="58E855CC"/>
    <w:rsid w:val="590C39EF"/>
    <w:rsid w:val="59133278"/>
    <w:rsid w:val="59156F40"/>
    <w:rsid w:val="591E1677"/>
    <w:rsid w:val="591F0A27"/>
    <w:rsid w:val="59240002"/>
    <w:rsid w:val="59343448"/>
    <w:rsid w:val="593A48D8"/>
    <w:rsid w:val="593D3535"/>
    <w:rsid w:val="59437788"/>
    <w:rsid w:val="5945431F"/>
    <w:rsid w:val="59540A66"/>
    <w:rsid w:val="59626CE0"/>
    <w:rsid w:val="596C7163"/>
    <w:rsid w:val="596E6C4E"/>
    <w:rsid w:val="5972419C"/>
    <w:rsid w:val="59770C93"/>
    <w:rsid w:val="597946A3"/>
    <w:rsid w:val="59802D3D"/>
    <w:rsid w:val="59BA4B8E"/>
    <w:rsid w:val="59BF634D"/>
    <w:rsid w:val="59BF7033"/>
    <w:rsid w:val="59C278FC"/>
    <w:rsid w:val="59CE295F"/>
    <w:rsid w:val="59DF2E55"/>
    <w:rsid w:val="59EC2DF7"/>
    <w:rsid w:val="5A037718"/>
    <w:rsid w:val="5A156337"/>
    <w:rsid w:val="5A246CCF"/>
    <w:rsid w:val="5A333542"/>
    <w:rsid w:val="5A362920"/>
    <w:rsid w:val="5A3C3839"/>
    <w:rsid w:val="5A405799"/>
    <w:rsid w:val="5A4B2AB3"/>
    <w:rsid w:val="5A531455"/>
    <w:rsid w:val="5A6C5E24"/>
    <w:rsid w:val="5A930D03"/>
    <w:rsid w:val="5A967C1F"/>
    <w:rsid w:val="5A9765C9"/>
    <w:rsid w:val="5AB021D3"/>
    <w:rsid w:val="5ABC4163"/>
    <w:rsid w:val="5ACD1BC7"/>
    <w:rsid w:val="5AD51BD0"/>
    <w:rsid w:val="5AD779BF"/>
    <w:rsid w:val="5AE5632B"/>
    <w:rsid w:val="5B0068FE"/>
    <w:rsid w:val="5B0D6ED3"/>
    <w:rsid w:val="5B122D67"/>
    <w:rsid w:val="5B157ABE"/>
    <w:rsid w:val="5B1C6887"/>
    <w:rsid w:val="5B2063BD"/>
    <w:rsid w:val="5B217C8E"/>
    <w:rsid w:val="5B22015C"/>
    <w:rsid w:val="5B310D69"/>
    <w:rsid w:val="5B345ACB"/>
    <w:rsid w:val="5B3D3D26"/>
    <w:rsid w:val="5B4179A6"/>
    <w:rsid w:val="5B43701C"/>
    <w:rsid w:val="5B4B4F65"/>
    <w:rsid w:val="5B590224"/>
    <w:rsid w:val="5B62239A"/>
    <w:rsid w:val="5BAD24B9"/>
    <w:rsid w:val="5BB43545"/>
    <w:rsid w:val="5BC43DCB"/>
    <w:rsid w:val="5BEA230F"/>
    <w:rsid w:val="5BFB00EF"/>
    <w:rsid w:val="5C08285D"/>
    <w:rsid w:val="5C204F86"/>
    <w:rsid w:val="5C252CF2"/>
    <w:rsid w:val="5C261918"/>
    <w:rsid w:val="5C341A7F"/>
    <w:rsid w:val="5C4908AC"/>
    <w:rsid w:val="5C540DC2"/>
    <w:rsid w:val="5C7B68E3"/>
    <w:rsid w:val="5C95475A"/>
    <w:rsid w:val="5CAE7E3A"/>
    <w:rsid w:val="5CC569DD"/>
    <w:rsid w:val="5CD11443"/>
    <w:rsid w:val="5CD509BF"/>
    <w:rsid w:val="5CD527B5"/>
    <w:rsid w:val="5CD9261F"/>
    <w:rsid w:val="5CDE2769"/>
    <w:rsid w:val="5CDF0049"/>
    <w:rsid w:val="5CE644D1"/>
    <w:rsid w:val="5CF14A80"/>
    <w:rsid w:val="5CFB4A8B"/>
    <w:rsid w:val="5CFC4DA4"/>
    <w:rsid w:val="5D003C43"/>
    <w:rsid w:val="5D1C5176"/>
    <w:rsid w:val="5D3075CB"/>
    <w:rsid w:val="5D317DBB"/>
    <w:rsid w:val="5D3B28F1"/>
    <w:rsid w:val="5D5314BF"/>
    <w:rsid w:val="5D5B468C"/>
    <w:rsid w:val="5D5D60BB"/>
    <w:rsid w:val="5D6566C7"/>
    <w:rsid w:val="5D715B19"/>
    <w:rsid w:val="5D7375E4"/>
    <w:rsid w:val="5D850102"/>
    <w:rsid w:val="5D8E62F9"/>
    <w:rsid w:val="5D905D21"/>
    <w:rsid w:val="5DA06A86"/>
    <w:rsid w:val="5DA51C01"/>
    <w:rsid w:val="5DAB45A8"/>
    <w:rsid w:val="5DB1129C"/>
    <w:rsid w:val="5DBB4B59"/>
    <w:rsid w:val="5DD37132"/>
    <w:rsid w:val="5DFD6514"/>
    <w:rsid w:val="5E0405C2"/>
    <w:rsid w:val="5E05060B"/>
    <w:rsid w:val="5E0C109C"/>
    <w:rsid w:val="5E21460A"/>
    <w:rsid w:val="5E2D49EB"/>
    <w:rsid w:val="5E3762FC"/>
    <w:rsid w:val="5E3E4FCD"/>
    <w:rsid w:val="5E5513EE"/>
    <w:rsid w:val="5E954988"/>
    <w:rsid w:val="5E9D44AB"/>
    <w:rsid w:val="5EC467BF"/>
    <w:rsid w:val="5EC6439C"/>
    <w:rsid w:val="5ECA06C9"/>
    <w:rsid w:val="5ECB5834"/>
    <w:rsid w:val="5ED71DD2"/>
    <w:rsid w:val="5EDB4108"/>
    <w:rsid w:val="5EE0188F"/>
    <w:rsid w:val="5EFE2186"/>
    <w:rsid w:val="5F043004"/>
    <w:rsid w:val="5F0E115B"/>
    <w:rsid w:val="5F245458"/>
    <w:rsid w:val="5F2B77F8"/>
    <w:rsid w:val="5F4E2489"/>
    <w:rsid w:val="5F5A393A"/>
    <w:rsid w:val="5F7C1C9D"/>
    <w:rsid w:val="5F96141C"/>
    <w:rsid w:val="5F9B4482"/>
    <w:rsid w:val="5FA927EC"/>
    <w:rsid w:val="5FAA37F1"/>
    <w:rsid w:val="5FB70E9F"/>
    <w:rsid w:val="5FCE587A"/>
    <w:rsid w:val="5FD0635F"/>
    <w:rsid w:val="5FD1073A"/>
    <w:rsid w:val="5FDD6F10"/>
    <w:rsid w:val="5FE23EDF"/>
    <w:rsid w:val="5FE946CA"/>
    <w:rsid w:val="600B551D"/>
    <w:rsid w:val="60173367"/>
    <w:rsid w:val="603462BD"/>
    <w:rsid w:val="603D3043"/>
    <w:rsid w:val="6058341E"/>
    <w:rsid w:val="607B34E8"/>
    <w:rsid w:val="608F51FD"/>
    <w:rsid w:val="60931327"/>
    <w:rsid w:val="60B87BF5"/>
    <w:rsid w:val="60BF3E25"/>
    <w:rsid w:val="60CD577A"/>
    <w:rsid w:val="60D542A9"/>
    <w:rsid w:val="60D8001D"/>
    <w:rsid w:val="60DD40B6"/>
    <w:rsid w:val="60E54540"/>
    <w:rsid w:val="61021073"/>
    <w:rsid w:val="610B778E"/>
    <w:rsid w:val="611943E2"/>
    <w:rsid w:val="611D611B"/>
    <w:rsid w:val="611E249E"/>
    <w:rsid w:val="612D3F7A"/>
    <w:rsid w:val="61322C7F"/>
    <w:rsid w:val="61370DAE"/>
    <w:rsid w:val="613A1D8E"/>
    <w:rsid w:val="613E38A1"/>
    <w:rsid w:val="61423DAA"/>
    <w:rsid w:val="61475D20"/>
    <w:rsid w:val="616639CE"/>
    <w:rsid w:val="6168711C"/>
    <w:rsid w:val="61707560"/>
    <w:rsid w:val="6174444F"/>
    <w:rsid w:val="617606D2"/>
    <w:rsid w:val="61824910"/>
    <w:rsid w:val="61861C7B"/>
    <w:rsid w:val="618A0632"/>
    <w:rsid w:val="61923556"/>
    <w:rsid w:val="61964BBA"/>
    <w:rsid w:val="61BE151C"/>
    <w:rsid w:val="61C267EB"/>
    <w:rsid w:val="61D6604E"/>
    <w:rsid w:val="61DF5747"/>
    <w:rsid w:val="61E179C0"/>
    <w:rsid w:val="61E31697"/>
    <w:rsid w:val="61EB6F38"/>
    <w:rsid w:val="61ED559F"/>
    <w:rsid w:val="61F22960"/>
    <w:rsid w:val="620927BB"/>
    <w:rsid w:val="6211180C"/>
    <w:rsid w:val="62197E62"/>
    <w:rsid w:val="623B0B0D"/>
    <w:rsid w:val="628649FC"/>
    <w:rsid w:val="62887128"/>
    <w:rsid w:val="628A7E20"/>
    <w:rsid w:val="628C1CEE"/>
    <w:rsid w:val="62947294"/>
    <w:rsid w:val="62987A85"/>
    <w:rsid w:val="62B04E2C"/>
    <w:rsid w:val="62B86DCA"/>
    <w:rsid w:val="62BC5D4C"/>
    <w:rsid w:val="62D2359D"/>
    <w:rsid w:val="62DB4986"/>
    <w:rsid w:val="62E003B4"/>
    <w:rsid w:val="62E5655C"/>
    <w:rsid w:val="62FB2250"/>
    <w:rsid w:val="62FC15D1"/>
    <w:rsid w:val="62FC7371"/>
    <w:rsid w:val="62FD4584"/>
    <w:rsid w:val="630C4E92"/>
    <w:rsid w:val="631A02D5"/>
    <w:rsid w:val="631A4E8C"/>
    <w:rsid w:val="6336375D"/>
    <w:rsid w:val="6337128B"/>
    <w:rsid w:val="63475ADC"/>
    <w:rsid w:val="63532674"/>
    <w:rsid w:val="63583B00"/>
    <w:rsid w:val="63692B77"/>
    <w:rsid w:val="636E576D"/>
    <w:rsid w:val="63740B9C"/>
    <w:rsid w:val="63832028"/>
    <w:rsid w:val="6386247F"/>
    <w:rsid w:val="63AB14A3"/>
    <w:rsid w:val="63AD1FEC"/>
    <w:rsid w:val="63AD2509"/>
    <w:rsid w:val="63AF0DC9"/>
    <w:rsid w:val="63B40CC9"/>
    <w:rsid w:val="63C704B1"/>
    <w:rsid w:val="63C878D5"/>
    <w:rsid w:val="63DC182A"/>
    <w:rsid w:val="63E83651"/>
    <w:rsid w:val="63EB1164"/>
    <w:rsid w:val="63EE65DD"/>
    <w:rsid w:val="63F15B80"/>
    <w:rsid w:val="63FE0D8E"/>
    <w:rsid w:val="640065E9"/>
    <w:rsid w:val="6400709A"/>
    <w:rsid w:val="64241D77"/>
    <w:rsid w:val="64260851"/>
    <w:rsid w:val="642713CA"/>
    <w:rsid w:val="642E4E68"/>
    <w:rsid w:val="643117B3"/>
    <w:rsid w:val="64362218"/>
    <w:rsid w:val="643C740F"/>
    <w:rsid w:val="64447A72"/>
    <w:rsid w:val="6445660C"/>
    <w:rsid w:val="644970CE"/>
    <w:rsid w:val="645662BA"/>
    <w:rsid w:val="64614FFF"/>
    <w:rsid w:val="64700F14"/>
    <w:rsid w:val="647048C7"/>
    <w:rsid w:val="647E2F61"/>
    <w:rsid w:val="6480754E"/>
    <w:rsid w:val="6481297D"/>
    <w:rsid w:val="6483287F"/>
    <w:rsid w:val="64842BE4"/>
    <w:rsid w:val="64923FF1"/>
    <w:rsid w:val="649E1FAE"/>
    <w:rsid w:val="64C7248D"/>
    <w:rsid w:val="64C80EE8"/>
    <w:rsid w:val="64CE1EAF"/>
    <w:rsid w:val="64D06A95"/>
    <w:rsid w:val="64D412AD"/>
    <w:rsid w:val="64DA3FEF"/>
    <w:rsid w:val="64EA4FF5"/>
    <w:rsid w:val="64EB13F6"/>
    <w:rsid w:val="64F811D0"/>
    <w:rsid w:val="650B7CAC"/>
    <w:rsid w:val="652F2275"/>
    <w:rsid w:val="654976AF"/>
    <w:rsid w:val="654C5F99"/>
    <w:rsid w:val="654F01A2"/>
    <w:rsid w:val="65651414"/>
    <w:rsid w:val="656A4688"/>
    <w:rsid w:val="65801F08"/>
    <w:rsid w:val="658D360B"/>
    <w:rsid w:val="658F488F"/>
    <w:rsid w:val="6591466C"/>
    <w:rsid w:val="65923450"/>
    <w:rsid w:val="65932FF4"/>
    <w:rsid w:val="65BC10AE"/>
    <w:rsid w:val="65C95302"/>
    <w:rsid w:val="65DA7202"/>
    <w:rsid w:val="65DE716F"/>
    <w:rsid w:val="65E61C71"/>
    <w:rsid w:val="65E85162"/>
    <w:rsid w:val="65EB71F2"/>
    <w:rsid w:val="65EE1A6A"/>
    <w:rsid w:val="65FC1992"/>
    <w:rsid w:val="65FE3860"/>
    <w:rsid w:val="66162885"/>
    <w:rsid w:val="6618644F"/>
    <w:rsid w:val="662F24E1"/>
    <w:rsid w:val="66342074"/>
    <w:rsid w:val="66406464"/>
    <w:rsid w:val="665B19AE"/>
    <w:rsid w:val="666631CD"/>
    <w:rsid w:val="666E22F8"/>
    <w:rsid w:val="668B6131"/>
    <w:rsid w:val="66987E5F"/>
    <w:rsid w:val="66AA3B2B"/>
    <w:rsid w:val="66B328D1"/>
    <w:rsid w:val="66D746E5"/>
    <w:rsid w:val="66E3221B"/>
    <w:rsid w:val="66F772E6"/>
    <w:rsid w:val="67017D20"/>
    <w:rsid w:val="67297C78"/>
    <w:rsid w:val="672D67F2"/>
    <w:rsid w:val="673068B3"/>
    <w:rsid w:val="673424E3"/>
    <w:rsid w:val="673E0144"/>
    <w:rsid w:val="67447638"/>
    <w:rsid w:val="67575FA0"/>
    <w:rsid w:val="675D686A"/>
    <w:rsid w:val="675F2079"/>
    <w:rsid w:val="67780F4A"/>
    <w:rsid w:val="677957B2"/>
    <w:rsid w:val="67AD7D24"/>
    <w:rsid w:val="67BD4BB1"/>
    <w:rsid w:val="67C51A18"/>
    <w:rsid w:val="67CC63DD"/>
    <w:rsid w:val="67CF5EDA"/>
    <w:rsid w:val="67D621D3"/>
    <w:rsid w:val="67EB5383"/>
    <w:rsid w:val="67F57A64"/>
    <w:rsid w:val="67F61C36"/>
    <w:rsid w:val="68056183"/>
    <w:rsid w:val="680F52D7"/>
    <w:rsid w:val="683E50A4"/>
    <w:rsid w:val="684700F8"/>
    <w:rsid w:val="68502E02"/>
    <w:rsid w:val="685D0CF7"/>
    <w:rsid w:val="688C46DA"/>
    <w:rsid w:val="688F0625"/>
    <w:rsid w:val="68905401"/>
    <w:rsid w:val="68981523"/>
    <w:rsid w:val="689D2F69"/>
    <w:rsid w:val="689F0C6A"/>
    <w:rsid w:val="689F2448"/>
    <w:rsid w:val="68A147D7"/>
    <w:rsid w:val="68A170FB"/>
    <w:rsid w:val="68A60070"/>
    <w:rsid w:val="68C47095"/>
    <w:rsid w:val="68C47F22"/>
    <w:rsid w:val="68CC60A0"/>
    <w:rsid w:val="68F51926"/>
    <w:rsid w:val="68F9790C"/>
    <w:rsid w:val="69030392"/>
    <w:rsid w:val="6912095B"/>
    <w:rsid w:val="69170515"/>
    <w:rsid w:val="691D6303"/>
    <w:rsid w:val="69211004"/>
    <w:rsid w:val="692B762A"/>
    <w:rsid w:val="693039C3"/>
    <w:rsid w:val="693251FC"/>
    <w:rsid w:val="694D15C7"/>
    <w:rsid w:val="696C4A2C"/>
    <w:rsid w:val="696E51DA"/>
    <w:rsid w:val="69751E9D"/>
    <w:rsid w:val="697E1185"/>
    <w:rsid w:val="697F7E06"/>
    <w:rsid w:val="69874544"/>
    <w:rsid w:val="69913019"/>
    <w:rsid w:val="699416CF"/>
    <w:rsid w:val="699A582F"/>
    <w:rsid w:val="699C5038"/>
    <w:rsid w:val="69A20872"/>
    <w:rsid w:val="69B0016E"/>
    <w:rsid w:val="69BD42EA"/>
    <w:rsid w:val="69C51C63"/>
    <w:rsid w:val="69C67F2B"/>
    <w:rsid w:val="69D2457F"/>
    <w:rsid w:val="69D856A9"/>
    <w:rsid w:val="69EF0143"/>
    <w:rsid w:val="69F20709"/>
    <w:rsid w:val="6A11097F"/>
    <w:rsid w:val="6A1C5B2D"/>
    <w:rsid w:val="6A2F502A"/>
    <w:rsid w:val="6A32513D"/>
    <w:rsid w:val="6A335258"/>
    <w:rsid w:val="6A3B7B32"/>
    <w:rsid w:val="6A645025"/>
    <w:rsid w:val="6A650735"/>
    <w:rsid w:val="6A6C6EB1"/>
    <w:rsid w:val="6A715DD9"/>
    <w:rsid w:val="6A733F37"/>
    <w:rsid w:val="6A760FFD"/>
    <w:rsid w:val="6A773E5C"/>
    <w:rsid w:val="6A8010AE"/>
    <w:rsid w:val="6A8C251A"/>
    <w:rsid w:val="6A96598F"/>
    <w:rsid w:val="6A9E3662"/>
    <w:rsid w:val="6A9F20EC"/>
    <w:rsid w:val="6AA12499"/>
    <w:rsid w:val="6AAE1CA9"/>
    <w:rsid w:val="6AB1772E"/>
    <w:rsid w:val="6AB33145"/>
    <w:rsid w:val="6ABD2FD0"/>
    <w:rsid w:val="6ACC6A41"/>
    <w:rsid w:val="6AE97A8B"/>
    <w:rsid w:val="6AF344A7"/>
    <w:rsid w:val="6B096264"/>
    <w:rsid w:val="6B125C42"/>
    <w:rsid w:val="6B1E3E21"/>
    <w:rsid w:val="6B237FFE"/>
    <w:rsid w:val="6B4A4140"/>
    <w:rsid w:val="6B4A7688"/>
    <w:rsid w:val="6B5B6612"/>
    <w:rsid w:val="6B5D0DEE"/>
    <w:rsid w:val="6B653CA2"/>
    <w:rsid w:val="6B736933"/>
    <w:rsid w:val="6B876871"/>
    <w:rsid w:val="6B8A7F5C"/>
    <w:rsid w:val="6B946FF1"/>
    <w:rsid w:val="6B99247A"/>
    <w:rsid w:val="6B9E6435"/>
    <w:rsid w:val="6BA04488"/>
    <w:rsid w:val="6BA35DFC"/>
    <w:rsid w:val="6BBC60C6"/>
    <w:rsid w:val="6BD27101"/>
    <w:rsid w:val="6BFC5A35"/>
    <w:rsid w:val="6C081A7D"/>
    <w:rsid w:val="6C0E196E"/>
    <w:rsid w:val="6C116D89"/>
    <w:rsid w:val="6C1B2F19"/>
    <w:rsid w:val="6C2C40EA"/>
    <w:rsid w:val="6C416145"/>
    <w:rsid w:val="6C437DE9"/>
    <w:rsid w:val="6C506D5A"/>
    <w:rsid w:val="6C5C6F8F"/>
    <w:rsid w:val="6C723EFB"/>
    <w:rsid w:val="6C7271BB"/>
    <w:rsid w:val="6C831604"/>
    <w:rsid w:val="6C887DB6"/>
    <w:rsid w:val="6CBA2BDC"/>
    <w:rsid w:val="6CC070DD"/>
    <w:rsid w:val="6CC221FE"/>
    <w:rsid w:val="6CCA5285"/>
    <w:rsid w:val="6CCF5658"/>
    <w:rsid w:val="6CD04BAA"/>
    <w:rsid w:val="6CD75ED3"/>
    <w:rsid w:val="6CD86C7E"/>
    <w:rsid w:val="6CE32EE9"/>
    <w:rsid w:val="6CEF6C3F"/>
    <w:rsid w:val="6CF4295E"/>
    <w:rsid w:val="6D0D6793"/>
    <w:rsid w:val="6D150790"/>
    <w:rsid w:val="6D1D080D"/>
    <w:rsid w:val="6D27226C"/>
    <w:rsid w:val="6D2B099E"/>
    <w:rsid w:val="6D2E4DF9"/>
    <w:rsid w:val="6D2F3758"/>
    <w:rsid w:val="6D310195"/>
    <w:rsid w:val="6D320E73"/>
    <w:rsid w:val="6D370C76"/>
    <w:rsid w:val="6D571D1A"/>
    <w:rsid w:val="6D5D1154"/>
    <w:rsid w:val="6D614258"/>
    <w:rsid w:val="6D676F2E"/>
    <w:rsid w:val="6D6854AA"/>
    <w:rsid w:val="6D7116B3"/>
    <w:rsid w:val="6D766187"/>
    <w:rsid w:val="6D800D98"/>
    <w:rsid w:val="6D9D0526"/>
    <w:rsid w:val="6DA15902"/>
    <w:rsid w:val="6DA73FB8"/>
    <w:rsid w:val="6DBB1693"/>
    <w:rsid w:val="6DBB2266"/>
    <w:rsid w:val="6DBC7151"/>
    <w:rsid w:val="6DF13458"/>
    <w:rsid w:val="6DF3281E"/>
    <w:rsid w:val="6DF822EF"/>
    <w:rsid w:val="6E08194C"/>
    <w:rsid w:val="6E1169B2"/>
    <w:rsid w:val="6E135579"/>
    <w:rsid w:val="6E1A2BF8"/>
    <w:rsid w:val="6E1F1C20"/>
    <w:rsid w:val="6E277F66"/>
    <w:rsid w:val="6E382511"/>
    <w:rsid w:val="6E456A0F"/>
    <w:rsid w:val="6E50216D"/>
    <w:rsid w:val="6E587B0D"/>
    <w:rsid w:val="6E5C53DF"/>
    <w:rsid w:val="6E6A3684"/>
    <w:rsid w:val="6E71738C"/>
    <w:rsid w:val="6E8D1D4C"/>
    <w:rsid w:val="6E8F384F"/>
    <w:rsid w:val="6E931D5E"/>
    <w:rsid w:val="6E9364CE"/>
    <w:rsid w:val="6EA23AD7"/>
    <w:rsid w:val="6EA71894"/>
    <w:rsid w:val="6EA7722A"/>
    <w:rsid w:val="6EA84EB8"/>
    <w:rsid w:val="6EAF69F3"/>
    <w:rsid w:val="6EB94801"/>
    <w:rsid w:val="6EC656E0"/>
    <w:rsid w:val="6EEE1D37"/>
    <w:rsid w:val="6EF22142"/>
    <w:rsid w:val="6EF92CCB"/>
    <w:rsid w:val="6EFB029B"/>
    <w:rsid w:val="6EFE2226"/>
    <w:rsid w:val="6F026036"/>
    <w:rsid w:val="6F080943"/>
    <w:rsid w:val="6F204CA4"/>
    <w:rsid w:val="6F205BEB"/>
    <w:rsid w:val="6F2530BF"/>
    <w:rsid w:val="6F263E90"/>
    <w:rsid w:val="6F271467"/>
    <w:rsid w:val="6F30737F"/>
    <w:rsid w:val="6F470F86"/>
    <w:rsid w:val="6F4B3207"/>
    <w:rsid w:val="6F5800CA"/>
    <w:rsid w:val="6F612896"/>
    <w:rsid w:val="6F631252"/>
    <w:rsid w:val="6F6318FD"/>
    <w:rsid w:val="6F6C2C28"/>
    <w:rsid w:val="6F6E2C13"/>
    <w:rsid w:val="6F7A6B4A"/>
    <w:rsid w:val="6F7F425F"/>
    <w:rsid w:val="6F846C4D"/>
    <w:rsid w:val="6F8824B2"/>
    <w:rsid w:val="6F884152"/>
    <w:rsid w:val="6F8E7095"/>
    <w:rsid w:val="6F8F6B51"/>
    <w:rsid w:val="6F9D2B1E"/>
    <w:rsid w:val="6F9E3B36"/>
    <w:rsid w:val="6FB96D02"/>
    <w:rsid w:val="6FBC744B"/>
    <w:rsid w:val="6FC93E6A"/>
    <w:rsid w:val="6FD06C9D"/>
    <w:rsid w:val="6FD07463"/>
    <w:rsid w:val="6FD34B9D"/>
    <w:rsid w:val="6FD81043"/>
    <w:rsid w:val="6FE10EE4"/>
    <w:rsid w:val="6FEF312F"/>
    <w:rsid w:val="6FF256AD"/>
    <w:rsid w:val="6FF26390"/>
    <w:rsid w:val="6FFB66B5"/>
    <w:rsid w:val="700707E5"/>
    <w:rsid w:val="7022337C"/>
    <w:rsid w:val="702463BE"/>
    <w:rsid w:val="70253B98"/>
    <w:rsid w:val="70271BB1"/>
    <w:rsid w:val="703D2EC5"/>
    <w:rsid w:val="70557DC2"/>
    <w:rsid w:val="70584F1B"/>
    <w:rsid w:val="707000BE"/>
    <w:rsid w:val="70780FAF"/>
    <w:rsid w:val="709C2A5E"/>
    <w:rsid w:val="709C525F"/>
    <w:rsid w:val="709E15B3"/>
    <w:rsid w:val="70B0255F"/>
    <w:rsid w:val="70C36F91"/>
    <w:rsid w:val="70D2086A"/>
    <w:rsid w:val="70D41955"/>
    <w:rsid w:val="70D42D40"/>
    <w:rsid w:val="70DD34AA"/>
    <w:rsid w:val="70E66CE2"/>
    <w:rsid w:val="70E806B6"/>
    <w:rsid w:val="70F21DF1"/>
    <w:rsid w:val="710465F1"/>
    <w:rsid w:val="71180ADC"/>
    <w:rsid w:val="711E447D"/>
    <w:rsid w:val="712433C1"/>
    <w:rsid w:val="71262388"/>
    <w:rsid w:val="712C39E2"/>
    <w:rsid w:val="713B7A34"/>
    <w:rsid w:val="713F0065"/>
    <w:rsid w:val="71454C62"/>
    <w:rsid w:val="71460587"/>
    <w:rsid w:val="714F3F2F"/>
    <w:rsid w:val="71566A77"/>
    <w:rsid w:val="71625AD0"/>
    <w:rsid w:val="718F26A9"/>
    <w:rsid w:val="71904702"/>
    <w:rsid w:val="7197447C"/>
    <w:rsid w:val="71974B74"/>
    <w:rsid w:val="71B85063"/>
    <w:rsid w:val="71C35EF7"/>
    <w:rsid w:val="71CB511C"/>
    <w:rsid w:val="71CC57C2"/>
    <w:rsid w:val="71CF57FA"/>
    <w:rsid w:val="71D049A9"/>
    <w:rsid w:val="72084D50"/>
    <w:rsid w:val="723212AA"/>
    <w:rsid w:val="723B7798"/>
    <w:rsid w:val="7245163B"/>
    <w:rsid w:val="7252522D"/>
    <w:rsid w:val="72601C97"/>
    <w:rsid w:val="72626D7C"/>
    <w:rsid w:val="72633E09"/>
    <w:rsid w:val="72690D2B"/>
    <w:rsid w:val="726C3030"/>
    <w:rsid w:val="727F10DC"/>
    <w:rsid w:val="72837818"/>
    <w:rsid w:val="728F36A7"/>
    <w:rsid w:val="72A74B54"/>
    <w:rsid w:val="72A83B28"/>
    <w:rsid w:val="72AF789E"/>
    <w:rsid w:val="72B42419"/>
    <w:rsid w:val="72C549F6"/>
    <w:rsid w:val="72C73943"/>
    <w:rsid w:val="72DB7B32"/>
    <w:rsid w:val="72DD072C"/>
    <w:rsid w:val="72E017B4"/>
    <w:rsid w:val="72FE30F0"/>
    <w:rsid w:val="730C3209"/>
    <w:rsid w:val="731A2097"/>
    <w:rsid w:val="73312F3A"/>
    <w:rsid w:val="73436E06"/>
    <w:rsid w:val="73473F4E"/>
    <w:rsid w:val="735C0820"/>
    <w:rsid w:val="73727E59"/>
    <w:rsid w:val="737B7D79"/>
    <w:rsid w:val="737C3A39"/>
    <w:rsid w:val="73844C27"/>
    <w:rsid w:val="73856223"/>
    <w:rsid w:val="738D78F9"/>
    <w:rsid w:val="739D01E2"/>
    <w:rsid w:val="73B23EB3"/>
    <w:rsid w:val="73BE764E"/>
    <w:rsid w:val="73C250E6"/>
    <w:rsid w:val="73C52D7F"/>
    <w:rsid w:val="73E87C54"/>
    <w:rsid w:val="73EC62EE"/>
    <w:rsid w:val="73F12838"/>
    <w:rsid w:val="73F2152A"/>
    <w:rsid w:val="73F26CEF"/>
    <w:rsid w:val="73F501BC"/>
    <w:rsid w:val="73F52D2D"/>
    <w:rsid w:val="73F76C68"/>
    <w:rsid w:val="74130656"/>
    <w:rsid w:val="74147BFC"/>
    <w:rsid w:val="743566E9"/>
    <w:rsid w:val="743D2267"/>
    <w:rsid w:val="74413A8A"/>
    <w:rsid w:val="744327FF"/>
    <w:rsid w:val="744B38B4"/>
    <w:rsid w:val="74574E86"/>
    <w:rsid w:val="745E226E"/>
    <w:rsid w:val="745F6019"/>
    <w:rsid w:val="746347FB"/>
    <w:rsid w:val="746F6CD7"/>
    <w:rsid w:val="747129EE"/>
    <w:rsid w:val="74733E94"/>
    <w:rsid w:val="74870313"/>
    <w:rsid w:val="74896E09"/>
    <w:rsid w:val="74A505AF"/>
    <w:rsid w:val="74AE46F8"/>
    <w:rsid w:val="74C06272"/>
    <w:rsid w:val="74CE4E91"/>
    <w:rsid w:val="74F52AA8"/>
    <w:rsid w:val="74FE777A"/>
    <w:rsid w:val="75063135"/>
    <w:rsid w:val="750843AC"/>
    <w:rsid w:val="750E1A31"/>
    <w:rsid w:val="751436C4"/>
    <w:rsid w:val="75300F6C"/>
    <w:rsid w:val="75310D68"/>
    <w:rsid w:val="753520D6"/>
    <w:rsid w:val="75385133"/>
    <w:rsid w:val="75536999"/>
    <w:rsid w:val="75614CC5"/>
    <w:rsid w:val="75686A30"/>
    <w:rsid w:val="757A4679"/>
    <w:rsid w:val="75881B0A"/>
    <w:rsid w:val="75A3687C"/>
    <w:rsid w:val="75AA6491"/>
    <w:rsid w:val="75AC1900"/>
    <w:rsid w:val="75AC436E"/>
    <w:rsid w:val="75AC7683"/>
    <w:rsid w:val="75BB4BD7"/>
    <w:rsid w:val="75C32CD4"/>
    <w:rsid w:val="75F7614D"/>
    <w:rsid w:val="76083C27"/>
    <w:rsid w:val="760C346F"/>
    <w:rsid w:val="761168C7"/>
    <w:rsid w:val="761E59A4"/>
    <w:rsid w:val="7636099E"/>
    <w:rsid w:val="764243EB"/>
    <w:rsid w:val="76451B5D"/>
    <w:rsid w:val="76456A33"/>
    <w:rsid w:val="764C5AA8"/>
    <w:rsid w:val="76557361"/>
    <w:rsid w:val="765D483E"/>
    <w:rsid w:val="76605B74"/>
    <w:rsid w:val="766A66A1"/>
    <w:rsid w:val="76702214"/>
    <w:rsid w:val="767C552E"/>
    <w:rsid w:val="76812326"/>
    <w:rsid w:val="76962ECD"/>
    <w:rsid w:val="76A33CBF"/>
    <w:rsid w:val="76B17E7A"/>
    <w:rsid w:val="76B64D56"/>
    <w:rsid w:val="76BA39D6"/>
    <w:rsid w:val="76C104EF"/>
    <w:rsid w:val="76C55654"/>
    <w:rsid w:val="76CE5A36"/>
    <w:rsid w:val="76D45858"/>
    <w:rsid w:val="76DA4840"/>
    <w:rsid w:val="76DD5459"/>
    <w:rsid w:val="76E32FF2"/>
    <w:rsid w:val="76EA7926"/>
    <w:rsid w:val="76F27C81"/>
    <w:rsid w:val="77067269"/>
    <w:rsid w:val="7713237F"/>
    <w:rsid w:val="771675C6"/>
    <w:rsid w:val="77196705"/>
    <w:rsid w:val="771B09B9"/>
    <w:rsid w:val="771E393B"/>
    <w:rsid w:val="772269B9"/>
    <w:rsid w:val="772657CE"/>
    <w:rsid w:val="7728418E"/>
    <w:rsid w:val="77300F79"/>
    <w:rsid w:val="7735217B"/>
    <w:rsid w:val="773A7C67"/>
    <w:rsid w:val="773F24F9"/>
    <w:rsid w:val="77477711"/>
    <w:rsid w:val="777A2998"/>
    <w:rsid w:val="77867B8E"/>
    <w:rsid w:val="77993781"/>
    <w:rsid w:val="77A72E89"/>
    <w:rsid w:val="77CD7B1F"/>
    <w:rsid w:val="77D812F1"/>
    <w:rsid w:val="77F63242"/>
    <w:rsid w:val="78082EC0"/>
    <w:rsid w:val="78112092"/>
    <w:rsid w:val="7815300D"/>
    <w:rsid w:val="781D2150"/>
    <w:rsid w:val="781F13EF"/>
    <w:rsid w:val="782861B7"/>
    <w:rsid w:val="783641F2"/>
    <w:rsid w:val="784123C0"/>
    <w:rsid w:val="78454FDA"/>
    <w:rsid w:val="78586741"/>
    <w:rsid w:val="785A5C1A"/>
    <w:rsid w:val="78627258"/>
    <w:rsid w:val="787B4A22"/>
    <w:rsid w:val="78806A0A"/>
    <w:rsid w:val="78963DE8"/>
    <w:rsid w:val="789642E2"/>
    <w:rsid w:val="7898287D"/>
    <w:rsid w:val="789A19CB"/>
    <w:rsid w:val="789F1076"/>
    <w:rsid w:val="78A44C4F"/>
    <w:rsid w:val="78BB0489"/>
    <w:rsid w:val="78BC06EC"/>
    <w:rsid w:val="78D324AC"/>
    <w:rsid w:val="78E11DC7"/>
    <w:rsid w:val="78EA40F0"/>
    <w:rsid w:val="78FF57B8"/>
    <w:rsid w:val="79161D20"/>
    <w:rsid w:val="791959D6"/>
    <w:rsid w:val="793C0300"/>
    <w:rsid w:val="79414F44"/>
    <w:rsid w:val="794362FF"/>
    <w:rsid w:val="79474159"/>
    <w:rsid w:val="794A1C30"/>
    <w:rsid w:val="79516BA8"/>
    <w:rsid w:val="796710E8"/>
    <w:rsid w:val="796D385C"/>
    <w:rsid w:val="7970509D"/>
    <w:rsid w:val="79746734"/>
    <w:rsid w:val="797870F6"/>
    <w:rsid w:val="797A1232"/>
    <w:rsid w:val="797F3637"/>
    <w:rsid w:val="79822E9B"/>
    <w:rsid w:val="798D404A"/>
    <w:rsid w:val="799169A8"/>
    <w:rsid w:val="79AA3B37"/>
    <w:rsid w:val="79B0143B"/>
    <w:rsid w:val="79BD312D"/>
    <w:rsid w:val="79C37D4B"/>
    <w:rsid w:val="79CD4000"/>
    <w:rsid w:val="79D76B6C"/>
    <w:rsid w:val="79D83F84"/>
    <w:rsid w:val="79EE552E"/>
    <w:rsid w:val="79F72506"/>
    <w:rsid w:val="79FA574A"/>
    <w:rsid w:val="79FA5CA2"/>
    <w:rsid w:val="7A06485F"/>
    <w:rsid w:val="7A064E15"/>
    <w:rsid w:val="7A0F2404"/>
    <w:rsid w:val="7A107DCE"/>
    <w:rsid w:val="7A206BC0"/>
    <w:rsid w:val="7A3C76E9"/>
    <w:rsid w:val="7A5B6F02"/>
    <w:rsid w:val="7A5C25DF"/>
    <w:rsid w:val="7A6F4253"/>
    <w:rsid w:val="7A7065ED"/>
    <w:rsid w:val="7A7137CC"/>
    <w:rsid w:val="7A7466D5"/>
    <w:rsid w:val="7A7B4F8A"/>
    <w:rsid w:val="7A7F5D6D"/>
    <w:rsid w:val="7A80030A"/>
    <w:rsid w:val="7A9F7947"/>
    <w:rsid w:val="7AA21CCC"/>
    <w:rsid w:val="7AA866CF"/>
    <w:rsid w:val="7AC56AE5"/>
    <w:rsid w:val="7ADA6691"/>
    <w:rsid w:val="7AEE6F96"/>
    <w:rsid w:val="7B0A4634"/>
    <w:rsid w:val="7B297C48"/>
    <w:rsid w:val="7B2A6E1F"/>
    <w:rsid w:val="7B324FC7"/>
    <w:rsid w:val="7B3403FC"/>
    <w:rsid w:val="7B344807"/>
    <w:rsid w:val="7B383ECE"/>
    <w:rsid w:val="7B3B0F58"/>
    <w:rsid w:val="7B57514C"/>
    <w:rsid w:val="7B6B402E"/>
    <w:rsid w:val="7B8C05A2"/>
    <w:rsid w:val="7BA750B6"/>
    <w:rsid w:val="7BAC1144"/>
    <w:rsid w:val="7BBD254D"/>
    <w:rsid w:val="7BC74D41"/>
    <w:rsid w:val="7BCF694D"/>
    <w:rsid w:val="7BD62EB9"/>
    <w:rsid w:val="7BDE03DF"/>
    <w:rsid w:val="7BE16859"/>
    <w:rsid w:val="7BE32B70"/>
    <w:rsid w:val="7BF03DA8"/>
    <w:rsid w:val="7BF529DC"/>
    <w:rsid w:val="7C055988"/>
    <w:rsid w:val="7C0626EA"/>
    <w:rsid w:val="7C084BFA"/>
    <w:rsid w:val="7C0B0F9A"/>
    <w:rsid w:val="7C0C46C9"/>
    <w:rsid w:val="7C192D07"/>
    <w:rsid w:val="7C435704"/>
    <w:rsid w:val="7C5415FC"/>
    <w:rsid w:val="7C645001"/>
    <w:rsid w:val="7C64660B"/>
    <w:rsid w:val="7C647F38"/>
    <w:rsid w:val="7C752BEE"/>
    <w:rsid w:val="7C8401DD"/>
    <w:rsid w:val="7C9D0DFA"/>
    <w:rsid w:val="7CA840C4"/>
    <w:rsid w:val="7CAE1811"/>
    <w:rsid w:val="7CBF4788"/>
    <w:rsid w:val="7CC273CC"/>
    <w:rsid w:val="7CC8565D"/>
    <w:rsid w:val="7CDE4C97"/>
    <w:rsid w:val="7CE0651C"/>
    <w:rsid w:val="7D025C92"/>
    <w:rsid w:val="7D0649D4"/>
    <w:rsid w:val="7D0844A1"/>
    <w:rsid w:val="7D1876D7"/>
    <w:rsid w:val="7D2624F6"/>
    <w:rsid w:val="7D3572BC"/>
    <w:rsid w:val="7D3E5FBA"/>
    <w:rsid w:val="7D4870CB"/>
    <w:rsid w:val="7D5701A0"/>
    <w:rsid w:val="7D5B37DD"/>
    <w:rsid w:val="7D6B0800"/>
    <w:rsid w:val="7D703E8C"/>
    <w:rsid w:val="7D776120"/>
    <w:rsid w:val="7D7D5E1A"/>
    <w:rsid w:val="7D815044"/>
    <w:rsid w:val="7D84661D"/>
    <w:rsid w:val="7D8D0581"/>
    <w:rsid w:val="7D90158A"/>
    <w:rsid w:val="7D92106B"/>
    <w:rsid w:val="7DBE4004"/>
    <w:rsid w:val="7DD00AC6"/>
    <w:rsid w:val="7DD023CD"/>
    <w:rsid w:val="7DEB1B42"/>
    <w:rsid w:val="7DEE4986"/>
    <w:rsid w:val="7E01168B"/>
    <w:rsid w:val="7E03383C"/>
    <w:rsid w:val="7E0530F8"/>
    <w:rsid w:val="7E077AAE"/>
    <w:rsid w:val="7E0B6BFC"/>
    <w:rsid w:val="7E1015C0"/>
    <w:rsid w:val="7E160AE4"/>
    <w:rsid w:val="7E16279A"/>
    <w:rsid w:val="7E243C70"/>
    <w:rsid w:val="7E283B75"/>
    <w:rsid w:val="7E2D1C88"/>
    <w:rsid w:val="7E34598F"/>
    <w:rsid w:val="7E3C70E5"/>
    <w:rsid w:val="7E3F4BA8"/>
    <w:rsid w:val="7E4571F2"/>
    <w:rsid w:val="7E4F1483"/>
    <w:rsid w:val="7E5323FC"/>
    <w:rsid w:val="7E596B42"/>
    <w:rsid w:val="7E6173BF"/>
    <w:rsid w:val="7E6C7410"/>
    <w:rsid w:val="7E72557D"/>
    <w:rsid w:val="7E732301"/>
    <w:rsid w:val="7E7D1AE7"/>
    <w:rsid w:val="7E835211"/>
    <w:rsid w:val="7E9010DA"/>
    <w:rsid w:val="7E9064D8"/>
    <w:rsid w:val="7E930E85"/>
    <w:rsid w:val="7E9D7BBD"/>
    <w:rsid w:val="7EB56BBD"/>
    <w:rsid w:val="7EC46720"/>
    <w:rsid w:val="7EC50641"/>
    <w:rsid w:val="7EC8668D"/>
    <w:rsid w:val="7EC9193C"/>
    <w:rsid w:val="7ECC7880"/>
    <w:rsid w:val="7ECD31D0"/>
    <w:rsid w:val="7ED838F6"/>
    <w:rsid w:val="7EDA3843"/>
    <w:rsid w:val="7EDC3276"/>
    <w:rsid w:val="7EF40A48"/>
    <w:rsid w:val="7F1A1886"/>
    <w:rsid w:val="7F1C0B67"/>
    <w:rsid w:val="7F2723CC"/>
    <w:rsid w:val="7F28278F"/>
    <w:rsid w:val="7F387AFF"/>
    <w:rsid w:val="7F3D0843"/>
    <w:rsid w:val="7F51366B"/>
    <w:rsid w:val="7F5311B9"/>
    <w:rsid w:val="7F531892"/>
    <w:rsid w:val="7F6556F6"/>
    <w:rsid w:val="7F671FC5"/>
    <w:rsid w:val="7F6B2BB4"/>
    <w:rsid w:val="7F722BB1"/>
    <w:rsid w:val="7F734713"/>
    <w:rsid w:val="7F8077BA"/>
    <w:rsid w:val="7F8A0A29"/>
    <w:rsid w:val="7F9073B3"/>
    <w:rsid w:val="7F9677A5"/>
    <w:rsid w:val="7F9A0EB1"/>
    <w:rsid w:val="7F9D42B1"/>
    <w:rsid w:val="7FA646B7"/>
    <w:rsid w:val="7FB8212C"/>
    <w:rsid w:val="7FC12DB8"/>
    <w:rsid w:val="7FC56BE7"/>
    <w:rsid w:val="7FCC1F9D"/>
    <w:rsid w:val="7FE43F02"/>
    <w:rsid w:val="7FED1FD2"/>
    <w:rsid w:val="7FEE4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adjustRightInd w:val="0"/>
      <w:snapToGrid w:val="0"/>
      <w:spacing w:line="600" w:lineRule="exact"/>
      <w:ind w:firstLine="200" w:firstLineChars="200"/>
      <w:outlineLvl w:val="0"/>
    </w:pPr>
    <w:rPr>
      <w:rFonts w:eastAsia="黑体"/>
      <w:b/>
      <w:bCs/>
      <w:kern w:val="44"/>
      <w:sz w:val="32"/>
      <w:szCs w:val="44"/>
    </w:rPr>
  </w:style>
  <w:style w:type="paragraph" w:styleId="4">
    <w:name w:val="heading 2"/>
    <w:basedOn w:val="1"/>
    <w:next w:val="1"/>
    <w:unhideWhenUsed/>
    <w:qFormat/>
    <w:uiPriority w:val="0"/>
    <w:pPr>
      <w:adjustRightInd w:val="0"/>
      <w:snapToGrid w:val="0"/>
      <w:spacing w:line="600" w:lineRule="exact"/>
      <w:ind w:firstLine="200" w:firstLineChars="200"/>
      <w:outlineLvl w:val="1"/>
    </w:pPr>
    <w:rPr>
      <w:rFonts w:ascii="Times New Roman" w:hAnsi="Times New Roman" w:eastAsia="楷体_GB2312" w:cs="Times New Roman"/>
      <w:b/>
      <w:sz w:val="32"/>
      <w:szCs w:val="32"/>
    </w:rPr>
  </w:style>
  <w:style w:type="paragraph" w:styleId="5">
    <w:name w:val="heading 3"/>
    <w:basedOn w:val="1"/>
    <w:next w:val="1"/>
    <w:unhideWhenUsed/>
    <w:qFormat/>
    <w:uiPriority w:val="9"/>
    <w:pPr>
      <w:keepNext/>
      <w:keepLines/>
      <w:spacing w:line="600" w:lineRule="exact"/>
      <w:ind w:firstLine="200" w:firstLineChars="200"/>
      <w:outlineLvl w:val="2"/>
    </w:pPr>
    <w:rPr>
      <w:rFonts w:ascii="Times New Roman" w:hAnsi="Times New Roman" w:eastAsia="仿宋"/>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6">
    <w:name w:val="Document Map"/>
    <w:basedOn w:val="1"/>
    <w:link w:val="41"/>
    <w:semiHidden/>
    <w:unhideWhenUsed/>
    <w:qFormat/>
    <w:uiPriority w:val="0"/>
    <w:rPr>
      <w:rFonts w:ascii="宋体" w:eastAsia="宋体"/>
      <w:sz w:val="18"/>
      <w:szCs w:val="18"/>
    </w:rPr>
  </w:style>
  <w:style w:type="paragraph" w:styleId="7">
    <w:name w:val="annotation text"/>
    <w:basedOn w:val="1"/>
    <w:qFormat/>
    <w:uiPriority w:val="0"/>
    <w:pPr>
      <w:jc w:val="left"/>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endnote text"/>
    <w:basedOn w:val="1"/>
    <w:link w:val="32"/>
    <w:qFormat/>
    <w:uiPriority w:val="0"/>
    <w:pPr>
      <w:snapToGrid w:val="0"/>
      <w:jc w:val="left"/>
    </w:pPr>
  </w:style>
  <w:style w:type="paragraph" w:styleId="10">
    <w:name w:val="Balloon Text"/>
    <w:basedOn w:val="1"/>
    <w:link w:val="30"/>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footnote text"/>
    <w:basedOn w:val="1"/>
    <w:link w:val="31"/>
    <w:qFormat/>
    <w:uiPriority w:val="0"/>
    <w:pPr>
      <w:snapToGrid w:val="0"/>
      <w:jc w:val="left"/>
    </w:pPr>
    <w:rPr>
      <w:sz w:val="18"/>
      <w:szCs w:val="18"/>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Normal (Web)"/>
    <w:basedOn w:val="1"/>
    <w:qFormat/>
    <w:uiPriority w:val="99"/>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endnote reference"/>
    <w:basedOn w:val="19"/>
    <w:qFormat/>
    <w:uiPriority w:val="0"/>
    <w:rPr>
      <w:vertAlign w:val="superscript"/>
    </w:rPr>
  </w:style>
  <w:style w:type="character" w:styleId="22">
    <w:name w:val="Hyperlink"/>
    <w:basedOn w:val="19"/>
    <w:unhideWhenUsed/>
    <w:qFormat/>
    <w:uiPriority w:val="99"/>
    <w:rPr>
      <w:color w:val="0563C1" w:themeColor="hyperlink"/>
      <w:u w:val="single"/>
    </w:rPr>
  </w:style>
  <w:style w:type="character" w:styleId="23">
    <w:name w:val="annotation reference"/>
    <w:basedOn w:val="19"/>
    <w:qFormat/>
    <w:uiPriority w:val="0"/>
    <w:rPr>
      <w:sz w:val="21"/>
      <w:szCs w:val="21"/>
    </w:rPr>
  </w:style>
  <w:style w:type="character" w:styleId="24">
    <w:name w:val="footnote reference"/>
    <w:basedOn w:val="19"/>
    <w:qFormat/>
    <w:uiPriority w:val="0"/>
    <w:rPr>
      <w:vertAlign w:val="superscript"/>
    </w:rPr>
  </w:style>
  <w:style w:type="paragraph" w:customStyle="1" w:styleId="2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5" w:themeColor="accent1" w:themeShade="BF"/>
      <w:kern w:val="0"/>
      <w:szCs w:val="32"/>
    </w:rPr>
  </w:style>
  <w:style w:type="paragraph" w:customStyle="1" w:styleId="26">
    <w:name w:val="p0"/>
    <w:basedOn w:val="1"/>
    <w:qFormat/>
    <w:uiPriority w:val="0"/>
    <w:pPr>
      <w:spacing w:line="560" w:lineRule="exact"/>
      <w:ind w:firstLine="482"/>
      <w:jc w:val="center"/>
    </w:pPr>
    <w:rPr>
      <w:rFonts w:ascii="Times New Roman" w:hAnsi="Times New Roman" w:eastAsia="宋体" w:cs="Times New Roman"/>
      <w:b/>
      <w:szCs w:val="21"/>
    </w:rPr>
  </w:style>
  <w:style w:type="paragraph" w:customStyle="1" w:styleId="27">
    <w:name w:val="Default"/>
    <w:basedOn w:val="1"/>
    <w:qFormat/>
    <w:uiPriority w:val="0"/>
    <w:rPr>
      <w:rFonts w:ascii="Times New Roman" w:hAnsi="Times New Roman" w:eastAsia="宋体" w:cs="Times New Roman"/>
      <w:kern w:val="0"/>
      <w:szCs w:val="21"/>
    </w:rPr>
  </w:style>
  <w:style w:type="paragraph" w:customStyle="1" w:styleId="28">
    <w:name w:val="p15"/>
    <w:basedOn w:val="1"/>
    <w:qFormat/>
    <w:uiPriority w:val="0"/>
    <w:pPr>
      <w:spacing w:line="360" w:lineRule="auto"/>
      <w:ind w:firstLine="200" w:firstLineChars="200"/>
    </w:pPr>
    <w:rPr>
      <w:sz w:val="24"/>
      <w:szCs w:val="28"/>
    </w:rPr>
  </w:style>
  <w:style w:type="character" w:customStyle="1" w:styleId="29">
    <w:name w:val="NormalCharacter"/>
    <w:qFormat/>
    <w:uiPriority w:val="0"/>
  </w:style>
  <w:style w:type="character" w:customStyle="1" w:styleId="30">
    <w:name w:val="批注框文本 Char"/>
    <w:basedOn w:val="19"/>
    <w:link w:val="10"/>
    <w:qFormat/>
    <w:uiPriority w:val="0"/>
    <w:rPr>
      <w:rFonts w:asciiTheme="minorHAnsi" w:hAnsiTheme="minorHAnsi" w:eastAsiaTheme="minorEastAsia" w:cstheme="minorBidi"/>
      <w:kern w:val="2"/>
      <w:sz w:val="18"/>
      <w:szCs w:val="18"/>
    </w:rPr>
  </w:style>
  <w:style w:type="character" w:customStyle="1" w:styleId="31">
    <w:name w:val="脚注文本 Char"/>
    <w:basedOn w:val="19"/>
    <w:link w:val="14"/>
    <w:qFormat/>
    <w:uiPriority w:val="0"/>
    <w:rPr>
      <w:rFonts w:asciiTheme="minorHAnsi" w:hAnsiTheme="minorHAnsi" w:eastAsiaTheme="minorEastAsia" w:cstheme="minorBidi"/>
      <w:kern w:val="2"/>
      <w:sz w:val="18"/>
      <w:szCs w:val="18"/>
    </w:rPr>
  </w:style>
  <w:style w:type="character" w:customStyle="1" w:styleId="32">
    <w:name w:val="尾注文本 Char"/>
    <w:basedOn w:val="19"/>
    <w:link w:val="9"/>
    <w:qFormat/>
    <w:uiPriority w:val="0"/>
    <w:rPr>
      <w:rFonts w:asciiTheme="minorHAnsi" w:hAnsiTheme="minorHAnsi" w:eastAsiaTheme="minorEastAsia" w:cstheme="minorBidi"/>
      <w:kern w:val="2"/>
      <w:sz w:val="21"/>
      <w:szCs w:val="24"/>
    </w:rPr>
  </w:style>
  <w:style w:type="character" w:customStyle="1" w:styleId="33">
    <w:name w:val="font21"/>
    <w:basedOn w:val="19"/>
    <w:qFormat/>
    <w:uiPriority w:val="0"/>
    <w:rPr>
      <w:rFonts w:hint="default" w:ascii="Times New Roman" w:hAnsi="Times New Roman" w:cs="Times New Roman"/>
      <w:color w:val="000000"/>
      <w:sz w:val="15"/>
      <w:szCs w:val="15"/>
      <w:u w:val="none"/>
    </w:rPr>
  </w:style>
  <w:style w:type="character" w:customStyle="1" w:styleId="34">
    <w:name w:val="font11"/>
    <w:basedOn w:val="19"/>
    <w:qFormat/>
    <w:uiPriority w:val="0"/>
    <w:rPr>
      <w:rFonts w:hint="eastAsia" w:ascii="宋体" w:hAnsi="宋体" w:eastAsia="宋体"/>
      <w:color w:val="000000"/>
      <w:sz w:val="15"/>
      <w:szCs w:val="15"/>
      <w:u w:val="none"/>
    </w:rPr>
  </w:style>
  <w:style w:type="character" w:customStyle="1" w:styleId="35">
    <w:name w:val="bjh-strong"/>
    <w:basedOn w:val="19"/>
    <w:qFormat/>
    <w:uiPriority w:val="0"/>
  </w:style>
  <w:style w:type="character" w:customStyle="1" w:styleId="36">
    <w:name w:val="15"/>
    <w:basedOn w:val="19"/>
    <w:qFormat/>
    <w:uiPriority w:val="0"/>
    <w:rPr>
      <w:rFonts w:hint="default" w:ascii="Calibri" w:hAnsi="Calibri" w:eastAsia="仿宋_GB2312" w:cs="Calibri"/>
      <w:kern w:val="2"/>
      <w:sz w:val="32"/>
      <w:szCs w:val="32"/>
    </w:rPr>
  </w:style>
  <w:style w:type="paragraph" w:customStyle="1" w:styleId="37">
    <w:name w:val="正文1"/>
    <w:qFormat/>
    <w:uiPriority w:val="0"/>
    <w:pPr>
      <w:jc w:val="both"/>
    </w:pPr>
    <w:rPr>
      <w:rFonts w:ascii="Calibri" w:hAnsi="Calibri" w:eastAsia="宋体" w:cs="Calibri"/>
      <w:kern w:val="2"/>
      <w:sz w:val="21"/>
      <w:szCs w:val="21"/>
      <w:lang w:val="en-US" w:eastAsia="zh-CN" w:bidi="ar-SA"/>
    </w:rPr>
  </w:style>
  <w:style w:type="paragraph" w:customStyle="1" w:styleId="38">
    <w:name w:val="列出段落1"/>
    <w:basedOn w:val="1"/>
    <w:qFormat/>
    <w:uiPriority w:val="0"/>
    <w:pPr>
      <w:ind w:firstLine="420" w:firstLineChars="200"/>
    </w:pPr>
    <w:rPr>
      <w:rFonts w:ascii="宋体" w:hAnsi="Calibri" w:eastAsia="宋体" w:cs="Times New Roman"/>
      <w:sz w:val="24"/>
    </w:rPr>
  </w:style>
  <w:style w:type="character" w:customStyle="1" w:styleId="39">
    <w:name w:val="font31"/>
    <w:basedOn w:val="19"/>
    <w:qFormat/>
    <w:uiPriority w:val="0"/>
    <w:rPr>
      <w:rFonts w:hint="eastAsia" w:ascii="仿宋" w:hAnsi="仿宋" w:eastAsia="仿宋"/>
      <w:color w:val="000000"/>
      <w:sz w:val="15"/>
      <w:szCs w:val="15"/>
      <w:u w:val="none"/>
    </w:rPr>
  </w:style>
  <w:style w:type="paragraph" w:styleId="40">
    <w:name w:val="List Paragraph"/>
    <w:basedOn w:val="1"/>
    <w:qFormat/>
    <w:uiPriority w:val="99"/>
    <w:pPr>
      <w:ind w:firstLine="420" w:firstLineChars="200"/>
    </w:pPr>
  </w:style>
  <w:style w:type="character" w:customStyle="1" w:styleId="41">
    <w:name w:val="文档结构图 Char"/>
    <w:basedOn w:val="19"/>
    <w:link w:val="6"/>
    <w:semiHidden/>
    <w:qFormat/>
    <w:uiPriority w:val="0"/>
    <w:rPr>
      <w:rFonts w:ascii="宋体" w:eastAsia="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chart" Target="charts/chart28.xml"/><Relationship Id="rId34" Type="http://schemas.openxmlformats.org/officeDocument/2006/relationships/chart" Target="charts/chart27.xml"/><Relationship Id="rId33" Type="http://schemas.openxmlformats.org/officeDocument/2006/relationships/chart" Target="charts/chart26.xml"/><Relationship Id="rId32" Type="http://schemas.openxmlformats.org/officeDocument/2006/relationships/chart" Target="charts/chart25.xml"/><Relationship Id="rId31" Type="http://schemas.openxmlformats.org/officeDocument/2006/relationships/chart" Target="charts/chart24.xml"/><Relationship Id="rId30" Type="http://schemas.openxmlformats.org/officeDocument/2006/relationships/chart" Target="charts/chart23.xml"/><Relationship Id="rId3" Type="http://schemas.openxmlformats.org/officeDocument/2006/relationships/footnotes" Target="footnotes.xml"/><Relationship Id="rId29" Type="http://schemas.openxmlformats.org/officeDocument/2006/relationships/chart" Target="charts/chart22.xml"/><Relationship Id="rId28" Type="http://schemas.openxmlformats.org/officeDocument/2006/relationships/chart" Target="charts/chart21.xml"/><Relationship Id="rId27" Type="http://schemas.openxmlformats.org/officeDocument/2006/relationships/chart" Target="charts/chart20.xml"/><Relationship Id="rId26" Type="http://schemas.openxmlformats.org/officeDocument/2006/relationships/chart" Target="charts/chart19.xml"/><Relationship Id="rId25" Type="http://schemas.openxmlformats.org/officeDocument/2006/relationships/chart" Target="charts/chart18.xml"/><Relationship Id="rId24" Type="http://schemas.openxmlformats.org/officeDocument/2006/relationships/chart" Target="charts/chart17.xml"/><Relationship Id="rId23" Type="http://schemas.openxmlformats.org/officeDocument/2006/relationships/chart" Target="charts/chart16.xml"/><Relationship Id="rId22" Type="http://schemas.openxmlformats.org/officeDocument/2006/relationships/chart" Target="charts/chart15.xml"/><Relationship Id="rId21" Type="http://schemas.openxmlformats.org/officeDocument/2006/relationships/chart" Target="charts/chart14.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60420\Desktop\&#26032;&#24314;%20Microsoft%20Excel%20&#24037;&#20316;&#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60420\Desktop\&#26032;&#24314;%20Microsoft%20Excel%20&#24037;&#20316;&#349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60420\Desktop\&#26032;&#24314;%20Microsoft%20Excel%20&#24037;&#20316;&#349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60420\Desktop\&#26032;&#24314;%20Microsoft%20Excel%20&#24037;&#20316;&#349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60420\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dong\Desktop\&#24037;&#20316;&#31807;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dong\Desktop\&#35268;&#21010;&#35838;&#2021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30%</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Sheet1!$B$1:$G$1</c:f>
              <c:numCache>
                <c:formatCode>General</c:formatCode>
                <c:ptCount val="6"/>
                <c:pt idx="0">
                  <c:v>2020</c:v>
                </c:pt>
                <c:pt idx="1">
                  <c:v>2021</c:v>
                </c:pt>
                <c:pt idx="2">
                  <c:v>2022</c:v>
                </c:pt>
                <c:pt idx="3">
                  <c:v>2023</c:v>
                </c:pt>
                <c:pt idx="4">
                  <c:v>2024</c:v>
                </c:pt>
                <c:pt idx="5">
                  <c:v>2025</c:v>
                </c:pt>
              </c:numCache>
            </c:numRef>
          </c:cat>
          <c:val>
            <c:numRef>
              <c:f>Sheet1!$B$2:$G$2</c:f>
              <c:numCache>
                <c:formatCode>General</c:formatCode>
                <c:ptCount val="6"/>
                <c:pt idx="0">
                  <c:v>12.3</c:v>
                </c:pt>
                <c:pt idx="1">
                  <c:v>16</c:v>
                </c:pt>
                <c:pt idx="2">
                  <c:v>20.8</c:v>
                </c:pt>
                <c:pt idx="3">
                  <c:v>27.1</c:v>
                </c:pt>
                <c:pt idx="4">
                  <c:v>35.2</c:v>
                </c:pt>
                <c:pt idx="5">
                  <c:v>45.7</c:v>
                </c:pt>
              </c:numCache>
            </c:numRef>
          </c:val>
        </c:ser>
        <c:ser>
          <c:idx val="1"/>
          <c:order val="1"/>
          <c:tx>
            <c:strRef>
              <c:f>Sheet1!$A$3</c:f>
              <c:strCache>
                <c:ptCount val="1"/>
                <c:pt idx="0">
                  <c:v>40%</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Sheet1!$B$1:$G$1</c:f>
              <c:numCache>
                <c:formatCode>General</c:formatCode>
                <c:ptCount val="6"/>
                <c:pt idx="0">
                  <c:v>2020</c:v>
                </c:pt>
                <c:pt idx="1">
                  <c:v>2021</c:v>
                </c:pt>
                <c:pt idx="2">
                  <c:v>2022</c:v>
                </c:pt>
                <c:pt idx="3">
                  <c:v>2023</c:v>
                </c:pt>
                <c:pt idx="4">
                  <c:v>2024</c:v>
                </c:pt>
                <c:pt idx="5">
                  <c:v>2025</c:v>
                </c:pt>
              </c:numCache>
            </c:numRef>
          </c:cat>
          <c:val>
            <c:numRef>
              <c:f>Sheet1!$B$3:$G$3</c:f>
              <c:numCache>
                <c:formatCode>General</c:formatCode>
                <c:ptCount val="6"/>
                <c:pt idx="0">
                  <c:v>12.3</c:v>
                </c:pt>
                <c:pt idx="1">
                  <c:v>17.2</c:v>
                </c:pt>
                <c:pt idx="2">
                  <c:v>24.1</c:v>
                </c:pt>
                <c:pt idx="3">
                  <c:v>33.8</c:v>
                </c:pt>
                <c:pt idx="4">
                  <c:v>47.3</c:v>
                </c:pt>
                <c:pt idx="5">
                  <c:v>66.2</c:v>
                </c:pt>
              </c:numCache>
            </c:numRef>
          </c:val>
        </c:ser>
        <c:ser>
          <c:idx val="2"/>
          <c:order val="2"/>
          <c:tx>
            <c:strRef>
              <c:f>Sheet1!$A$4</c:f>
              <c:strCache>
                <c:ptCount val="1"/>
                <c:pt idx="0">
                  <c:v>50%</c:v>
                </c:pt>
              </c:strCache>
            </c:strRef>
          </c:tx>
          <c:spPr>
            <a:solidFill>
              <a:srgbClr val="008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Sheet1!$B$1:$G$1</c:f>
              <c:numCache>
                <c:formatCode>General</c:formatCode>
                <c:ptCount val="6"/>
                <c:pt idx="0">
                  <c:v>2020</c:v>
                </c:pt>
                <c:pt idx="1">
                  <c:v>2021</c:v>
                </c:pt>
                <c:pt idx="2">
                  <c:v>2022</c:v>
                </c:pt>
                <c:pt idx="3">
                  <c:v>2023</c:v>
                </c:pt>
                <c:pt idx="4">
                  <c:v>2024</c:v>
                </c:pt>
                <c:pt idx="5">
                  <c:v>2025</c:v>
                </c:pt>
              </c:numCache>
            </c:numRef>
          </c:cat>
          <c:val>
            <c:numRef>
              <c:f>Sheet1!$B$4:$G$4</c:f>
              <c:numCache>
                <c:formatCode>General</c:formatCode>
                <c:ptCount val="6"/>
                <c:pt idx="0">
                  <c:v>12.3</c:v>
                </c:pt>
                <c:pt idx="1">
                  <c:v>18.5</c:v>
                </c:pt>
                <c:pt idx="2">
                  <c:v>27.7</c:v>
                </c:pt>
                <c:pt idx="3">
                  <c:v>41.5</c:v>
                </c:pt>
                <c:pt idx="4">
                  <c:v>62.3</c:v>
                </c:pt>
                <c:pt idx="5">
                  <c:v>93.5</c:v>
                </c:pt>
              </c:numCache>
            </c:numRef>
          </c:val>
        </c:ser>
        <c:dLbls>
          <c:showLegendKey val="0"/>
          <c:showVal val="1"/>
          <c:showCatName val="0"/>
          <c:showSerName val="0"/>
          <c:showPercent val="0"/>
          <c:showBubbleSize val="0"/>
        </c:dLbls>
        <c:gapWidth val="219"/>
        <c:overlap val="-27"/>
        <c:axId val="282151936"/>
        <c:axId val="282195072"/>
      </c:barChart>
      <c:catAx>
        <c:axId val="28215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282195072"/>
        <c:crosses val="autoZero"/>
        <c:auto val="1"/>
        <c:lblAlgn val="ctr"/>
        <c:lblOffset val="100"/>
        <c:noMultiLvlLbl val="0"/>
      </c:catAx>
      <c:valAx>
        <c:axId val="28219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282151936"/>
        <c:crosses val="autoZero"/>
        <c:crossBetween val="between"/>
      </c:valAx>
      <c:spPr>
        <a:noFill/>
        <a:ln>
          <a:noFill/>
        </a:ln>
        <a:effectLst/>
      </c:spPr>
    </c:plotArea>
    <c:legend>
      <c:legendPos val="b"/>
      <c:layout>
        <c:manualLayout>
          <c:xMode val="edge"/>
          <c:yMode val="edge"/>
          <c:x val="0.399574037141064"/>
          <c:y val="0.860910718766003"/>
          <c:w val="0.200851753193428"/>
          <c:h val="0.069250782761713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Sheet1!$D$559</c:f>
              <c:strCache>
                <c:ptCount val="1"/>
                <c:pt idx="0">
                  <c:v>预计销量</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Sheet1!$E$558:$I$558</c:f>
              <c:numCache>
                <c:formatCode>General</c:formatCode>
                <c:ptCount val="5"/>
                <c:pt idx="0">
                  <c:v>2021</c:v>
                </c:pt>
                <c:pt idx="1">
                  <c:v>2022</c:v>
                </c:pt>
                <c:pt idx="2">
                  <c:v>2023</c:v>
                </c:pt>
                <c:pt idx="3">
                  <c:v>2024</c:v>
                </c:pt>
                <c:pt idx="4">
                  <c:v>2025</c:v>
                </c:pt>
              </c:numCache>
            </c:numRef>
          </c:cat>
          <c:val>
            <c:numRef>
              <c:f>Sheet1!$E$559:$I$559</c:f>
              <c:numCache>
                <c:formatCode>General</c:formatCode>
                <c:ptCount val="5"/>
                <c:pt idx="0">
                  <c:v>2568</c:v>
                </c:pt>
                <c:pt idx="1">
                  <c:v>2607</c:v>
                </c:pt>
                <c:pt idx="2">
                  <c:v>2646</c:v>
                </c:pt>
                <c:pt idx="3">
                  <c:v>2699</c:v>
                </c:pt>
                <c:pt idx="4">
                  <c:v>2753</c:v>
                </c:pt>
              </c:numCache>
            </c:numRef>
          </c:val>
        </c:ser>
        <c:dLbls>
          <c:showLegendKey val="0"/>
          <c:showVal val="1"/>
          <c:showCatName val="0"/>
          <c:showSerName val="0"/>
          <c:showPercent val="0"/>
          <c:showBubbleSize val="0"/>
        </c:dLbls>
        <c:gapWidth val="219"/>
        <c:overlap val="-27"/>
        <c:axId val="312731904"/>
        <c:axId val="313069952"/>
      </c:barChart>
      <c:catAx>
        <c:axId val="3127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crossAx val="313069952"/>
        <c:crosses val="autoZero"/>
        <c:auto val="1"/>
        <c:lblAlgn val="ctr"/>
        <c:lblOffset val="100"/>
        <c:noMultiLvlLbl val="0"/>
      </c:catAx>
      <c:valAx>
        <c:axId val="313069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crossAx val="312731904"/>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baseline="0">
          <a:latin typeface="Times New Roman" panose="02020603050405020304" charset="0"/>
          <a:ea typeface="微软雅黑" panose="020B0503020204020204" pitchFamily="34"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Sheet1!$D$573</c:f>
              <c:strCache>
                <c:ptCount val="1"/>
                <c:pt idx="0">
                  <c:v>新能源汽车销量</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Sheet1!$E$572:$I$572</c:f>
              <c:numCache>
                <c:formatCode>General</c:formatCode>
                <c:ptCount val="5"/>
                <c:pt idx="0">
                  <c:v>2021</c:v>
                </c:pt>
                <c:pt idx="1">
                  <c:v>2022</c:v>
                </c:pt>
                <c:pt idx="2">
                  <c:v>2023</c:v>
                </c:pt>
                <c:pt idx="3">
                  <c:v>2024</c:v>
                </c:pt>
                <c:pt idx="4">
                  <c:v>2025</c:v>
                </c:pt>
              </c:numCache>
            </c:numRef>
          </c:cat>
          <c:val>
            <c:numRef>
              <c:f>Sheet1!$E$573:$I$573</c:f>
              <c:numCache>
                <c:formatCode>General</c:formatCode>
                <c:ptCount val="5"/>
                <c:pt idx="0">
                  <c:v>205.4</c:v>
                </c:pt>
                <c:pt idx="1">
                  <c:v>286.7</c:v>
                </c:pt>
                <c:pt idx="2">
                  <c:v>370.4</c:v>
                </c:pt>
                <c:pt idx="3">
                  <c:v>458.8</c:v>
                </c:pt>
                <c:pt idx="4">
                  <c:v>550.6</c:v>
                </c:pt>
              </c:numCache>
            </c:numRef>
          </c:val>
        </c:ser>
        <c:ser>
          <c:idx val="1"/>
          <c:order val="1"/>
          <c:tx>
            <c:strRef>
              <c:f>Sheet1!$D$574</c:f>
              <c:strCache>
                <c:ptCount val="1"/>
                <c:pt idx="0">
                  <c:v>预计销量</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Sheet1!$E$572:$I$572</c:f>
              <c:numCache>
                <c:formatCode>General</c:formatCode>
                <c:ptCount val="5"/>
                <c:pt idx="0">
                  <c:v>2021</c:v>
                </c:pt>
                <c:pt idx="1">
                  <c:v>2022</c:v>
                </c:pt>
                <c:pt idx="2">
                  <c:v>2023</c:v>
                </c:pt>
                <c:pt idx="3">
                  <c:v>2024</c:v>
                </c:pt>
                <c:pt idx="4">
                  <c:v>2025</c:v>
                </c:pt>
              </c:numCache>
            </c:numRef>
          </c:cat>
          <c:val>
            <c:numRef>
              <c:f>Sheet1!$E$574:$I$574</c:f>
              <c:numCache>
                <c:formatCode>General</c:formatCode>
                <c:ptCount val="5"/>
                <c:pt idx="0">
                  <c:v>2568</c:v>
                </c:pt>
                <c:pt idx="1">
                  <c:v>2607</c:v>
                </c:pt>
                <c:pt idx="2">
                  <c:v>2646</c:v>
                </c:pt>
                <c:pt idx="3">
                  <c:v>2699</c:v>
                </c:pt>
                <c:pt idx="4">
                  <c:v>2753</c:v>
                </c:pt>
              </c:numCache>
            </c:numRef>
          </c:val>
        </c:ser>
        <c:dLbls>
          <c:showLegendKey val="0"/>
          <c:showVal val="1"/>
          <c:showCatName val="0"/>
          <c:showSerName val="0"/>
          <c:showPercent val="0"/>
          <c:showBubbleSize val="0"/>
        </c:dLbls>
        <c:gapWidth val="219"/>
        <c:overlap val="-27"/>
        <c:axId val="313501568"/>
        <c:axId val="313606528"/>
      </c:barChart>
      <c:lineChart>
        <c:grouping val="standard"/>
        <c:varyColors val="0"/>
        <c:ser>
          <c:idx val="2"/>
          <c:order val="2"/>
          <c:tx>
            <c:strRef>
              <c:f>Sheet1!$D$575</c:f>
              <c:strCache>
                <c:ptCount val="1"/>
                <c:pt idx="0">
                  <c:v>新能源汽车销量占比</c:v>
                </c:pt>
              </c:strCache>
            </c:strRef>
          </c:tx>
          <c:spPr>
            <a:ln w="28575" cap="rnd" cmpd="sng" algn="ctr">
              <a:solidFill>
                <a:schemeClr val="accent3"/>
              </a:solidFill>
              <a:prstDash val="solid"/>
              <a:round/>
            </a:ln>
            <a:effectLst/>
          </c:spPr>
          <c:marker>
            <c:symbol val="none"/>
          </c:marker>
          <c:dLbls>
            <c:dLbl>
              <c:idx val="0"/>
              <c:layout>
                <c:manualLayout>
                  <c:x val="-0.0041378813754122"/>
                  <c:y val="0"/>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27576275082442"/>
                  <c:y val="-6.32442083084217e-17"/>
                </c:manualLayout>
              </c:layout>
              <c:tx>
                <c:rich>
                  <a:bodyPr rot="0" spcFirstLastPara="1" vertOverflow="ellipsis" vert="horz" wrap="square" lIns="38100" tIns="19050" rIns="38100" bIns="19050" anchor="ctr" anchorCtr="1"/>
                  <a:lstStyle/>
                  <a:p>
                    <a:pPr>
                      <a:defRPr lang="zh-CN" sz="1200" b="0" i="0" u="none" strike="noStrike" kern="1200" baseline="0">
                        <a:solidFill>
                          <a:schemeClr val="bg1"/>
                        </a:solidFill>
                        <a:latin typeface="Times New Roman" panose="02020603050405020304" charset="0"/>
                        <a:ea typeface="微软雅黑" panose="020B0503020204020204" pitchFamily="34" charset="-122"/>
                        <a:cs typeface="Times New Roman" panose="02020603050405020304" charset="0"/>
                      </a:defRPr>
                    </a:pPr>
                    <a:r>
                      <a:rPr altLang="en-US" sz="800" b="0">
                        <a:solidFill>
                          <a:sysClr val="windowText" lastClr="000000"/>
                        </a:solidFill>
                      </a:rPr>
                      <a:t>11%</a:t>
                    </a:r>
                    <a:endParaRPr altLang="en-US" sz="800" b="0">
                      <a:solidFill>
                        <a:sysClr val="windowText" lastClr="000000"/>
                      </a:solidFill>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200" b="0" i="0" u="none" strike="noStrike" kern="1200" baseline="0">
                      <a:solidFill>
                        <a:schemeClr val="bg1"/>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3447034385306"/>
                  <c:y val="0"/>
                </c:manualLayout>
              </c:layout>
              <c:tx>
                <c:rich>
                  <a:bodyPr rot="0" spcFirstLastPara="1" vertOverflow="ellipsis" vert="horz" wrap="square" lIns="38100" tIns="19050" rIns="38100" bIns="19050" anchor="ctr" anchorCtr="1"/>
                  <a:lstStyle/>
                  <a:p>
                    <a:pPr>
                      <a:defRPr lang="zh-CN" sz="1200" b="0" i="0" u="none" strike="noStrike" kern="1200" baseline="0">
                        <a:solidFill>
                          <a:schemeClr val="bg1"/>
                        </a:solidFill>
                        <a:latin typeface="Times New Roman" panose="02020603050405020304" charset="0"/>
                        <a:ea typeface="微软雅黑" panose="020B0503020204020204" pitchFamily="34" charset="-122"/>
                        <a:cs typeface="Times New Roman" panose="02020603050405020304" charset="0"/>
                      </a:defRPr>
                    </a:pPr>
                    <a:r>
                      <a:rPr altLang="en-US" sz="800" b="0">
                        <a:solidFill>
                          <a:sysClr val="windowText" lastClr="000000"/>
                        </a:solidFill>
                      </a:rPr>
                      <a:t>14%</a:t>
                    </a:r>
                    <a:endParaRPr altLang="en-US" sz="800" b="0">
                      <a:solidFill>
                        <a:sysClr val="windowText" lastClr="000000"/>
                      </a:solidFill>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200" b="0" i="0" u="none" strike="noStrike" kern="1200" baseline="0">
                      <a:solidFill>
                        <a:schemeClr val="bg1"/>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2757627508244"/>
                  <c:y val="0"/>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27576275082447"/>
                  <c:y val="0"/>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ysClr val="windowText" lastClr="000000"/>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bg1"/>
                    </a:solidFill>
                    <a:latin typeface="Times New Roman" panose="02020603050405020304" charset="0"/>
                    <a:ea typeface="微软雅黑" panose="020B0503020204020204" pitchFamily="34" charset="-122"/>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Sheet1!$E$572:$I$572</c:f>
              <c:numCache>
                <c:formatCode>General</c:formatCode>
                <c:ptCount val="5"/>
                <c:pt idx="0">
                  <c:v>2021</c:v>
                </c:pt>
                <c:pt idx="1">
                  <c:v>2022</c:v>
                </c:pt>
                <c:pt idx="2">
                  <c:v>2023</c:v>
                </c:pt>
                <c:pt idx="3">
                  <c:v>2024</c:v>
                </c:pt>
                <c:pt idx="4">
                  <c:v>2025</c:v>
                </c:pt>
              </c:numCache>
            </c:numRef>
          </c:cat>
          <c:val>
            <c:numRef>
              <c:f>Sheet1!$E$575:$I$575</c:f>
              <c:numCache>
                <c:formatCode>0%</c:formatCode>
                <c:ptCount val="5"/>
                <c:pt idx="0">
                  <c:v>0.08</c:v>
                </c:pt>
                <c:pt idx="1">
                  <c:v>0.11</c:v>
                </c:pt>
                <c:pt idx="2">
                  <c:v>0.14</c:v>
                </c:pt>
                <c:pt idx="3">
                  <c:v>0.17</c:v>
                </c:pt>
                <c:pt idx="4">
                  <c:v>0.2</c:v>
                </c:pt>
              </c:numCache>
            </c:numRef>
          </c:val>
          <c:smooth val="0"/>
        </c:ser>
        <c:dLbls>
          <c:showLegendKey val="0"/>
          <c:showVal val="1"/>
          <c:showCatName val="0"/>
          <c:showSerName val="0"/>
          <c:showPercent val="0"/>
          <c:showBubbleSize val="0"/>
        </c:dLbls>
        <c:marker val="0"/>
        <c:smooth val="0"/>
        <c:axId val="313608064"/>
        <c:axId val="313609600"/>
      </c:lineChart>
      <c:catAx>
        <c:axId val="3135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Times New Roman" panose="02020603050405020304" charset="0"/>
              </a:defRPr>
            </a:pPr>
          </a:p>
        </c:txPr>
        <c:crossAx val="313606528"/>
        <c:crosses val="autoZero"/>
        <c:auto val="1"/>
        <c:lblAlgn val="ctr"/>
        <c:lblOffset val="100"/>
        <c:noMultiLvlLbl val="0"/>
      </c:catAx>
      <c:valAx>
        <c:axId val="313606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Times New Roman" panose="02020603050405020304" charset="0"/>
              </a:defRPr>
            </a:pPr>
          </a:p>
        </c:txPr>
        <c:crossAx val="313501568"/>
        <c:crosses val="autoZero"/>
        <c:crossBetween val="between"/>
      </c:valAx>
      <c:catAx>
        <c:axId val="313608064"/>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微软雅黑" panose="020B0503020204020204" pitchFamily="34" charset="-122"/>
                <a:cs typeface="+mn-cs"/>
              </a:defRPr>
            </a:pPr>
          </a:p>
        </c:txPr>
        <c:crossAx val="313609600"/>
        <c:crosses val="autoZero"/>
        <c:auto val="1"/>
        <c:lblAlgn val="ctr"/>
        <c:lblOffset val="100"/>
        <c:noMultiLvlLbl val="0"/>
      </c:catAx>
      <c:valAx>
        <c:axId val="313609600"/>
        <c:scaling>
          <c:orientation val="minMax"/>
        </c:scaling>
        <c:delete val="0"/>
        <c:axPos val="r"/>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Times New Roman" panose="02020603050405020304" charset="0"/>
              </a:defRPr>
            </a:pPr>
          </a:p>
        </c:txPr>
        <c:crossAx val="31360806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Entry>
      <c:legendEntry>
        <c:idx val="2"/>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Entry>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legend>
    <c:plotVisOnly val="1"/>
    <c:dispBlanksAs val="gap"/>
    <c:showDLblsOverMax val="0"/>
  </c:chart>
  <c:spPr>
    <a:noFill/>
    <a:ln w="6350" cap="flat" cmpd="sng" algn="ctr">
      <a:noFill/>
      <a:prstDash val="solid"/>
      <a:round/>
    </a:ln>
    <a:effectLst/>
  </c:spPr>
  <c:txPr>
    <a:bodyPr/>
    <a:lstStyle/>
    <a:p>
      <a:pPr>
        <a:defRPr lang="zh-CN" sz="1200" baseline="0">
          <a:latin typeface="Times New Roman" panose="02020603050405020304" charset="0"/>
          <a:ea typeface="微软雅黑" panose="020B0503020204020204" pitchFamily="34"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'[新建 Microsoft Excel 工作表.xlsx]Sheet1'!$A$2</c:f>
              <c:strCache>
                <c:ptCount val="1"/>
                <c:pt idx="0">
                  <c:v>陕西民用汽车拥有量(万辆)</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工作表.xlsx]Sheet1'!$B$1:$L$1</c:f>
              <c:numCache>
                <c:formatCode>General</c:formatCode>
                <c:ptCount val="11"/>
                <c:pt idx="0">
                  <c:v>2020</c:v>
                </c:pt>
                <c:pt idx="1">
                  <c:v>2019</c:v>
                </c:pt>
                <c:pt idx="2">
                  <c:v>2018</c:v>
                </c:pt>
                <c:pt idx="3">
                  <c:v>2017</c:v>
                </c:pt>
                <c:pt idx="4">
                  <c:v>2016</c:v>
                </c:pt>
                <c:pt idx="5">
                  <c:v>2015</c:v>
                </c:pt>
                <c:pt idx="6">
                  <c:v>2014</c:v>
                </c:pt>
                <c:pt idx="7">
                  <c:v>2013</c:v>
                </c:pt>
                <c:pt idx="8">
                  <c:v>2012</c:v>
                </c:pt>
                <c:pt idx="9">
                  <c:v>2011</c:v>
                </c:pt>
                <c:pt idx="10">
                  <c:v>2010</c:v>
                </c:pt>
              </c:numCache>
            </c:numRef>
          </c:cat>
          <c:val>
            <c:numRef>
              <c:f>'[新建 Microsoft Excel 工作表.xlsx]Sheet1'!$B$2:$L$2</c:f>
              <c:numCache>
                <c:formatCode>General</c:formatCode>
                <c:ptCount val="11"/>
                <c:pt idx="0">
                  <c:v>739</c:v>
                </c:pt>
                <c:pt idx="1">
                  <c:v>682</c:v>
                </c:pt>
                <c:pt idx="2">
                  <c:v>616</c:v>
                </c:pt>
                <c:pt idx="3">
                  <c:v>549</c:v>
                </c:pt>
                <c:pt idx="4">
                  <c:v>491</c:v>
                </c:pt>
                <c:pt idx="5">
                  <c:v>438</c:v>
                </c:pt>
                <c:pt idx="6">
                  <c:v>384</c:v>
                </c:pt>
                <c:pt idx="7">
                  <c:v>336</c:v>
                </c:pt>
                <c:pt idx="8">
                  <c:v>284</c:v>
                </c:pt>
                <c:pt idx="9">
                  <c:v>236</c:v>
                </c:pt>
                <c:pt idx="10">
                  <c:v>190</c:v>
                </c:pt>
              </c:numCache>
            </c:numRef>
          </c:val>
        </c:ser>
        <c:ser>
          <c:idx val="1"/>
          <c:order val="1"/>
          <c:tx>
            <c:strRef>
              <c:f>'[新建 Microsoft Excel 工作表.xlsx]Sheet1'!$A$3</c:f>
              <c:strCache>
                <c:ptCount val="1"/>
                <c:pt idx="0">
                  <c:v>全国民用汽车拥有量(万辆)</c:v>
                </c:pt>
              </c:strCache>
            </c:strRef>
          </c:tx>
          <c:spPr>
            <a:solidFill>
              <a:srgbClr val="00706B"/>
            </a:solidFill>
            <a:ln>
              <a:noFill/>
            </a:ln>
            <a:effectLst/>
          </c:spPr>
          <c:invertIfNegative val="0"/>
          <c:dLbls>
            <c:dLbl>
              <c:idx val="3"/>
              <c:layout>
                <c:manualLayout>
                  <c:x val="0.00466798926362469"/>
                  <c:y val="-0.03985056039850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92528019925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工作表.xlsx]Sheet1'!$B$1:$L$1</c:f>
              <c:numCache>
                <c:formatCode>General</c:formatCode>
                <c:ptCount val="11"/>
                <c:pt idx="0">
                  <c:v>2020</c:v>
                </c:pt>
                <c:pt idx="1">
                  <c:v>2019</c:v>
                </c:pt>
                <c:pt idx="2">
                  <c:v>2018</c:v>
                </c:pt>
                <c:pt idx="3">
                  <c:v>2017</c:v>
                </c:pt>
                <c:pt idx="4">
                  <c:v>2016</c:v>
                </c:pt>
                <c:pt idx="5">
                  <c:v>2015</c:v>
                </c:pt>
                <c:pt idx="6">
                  <c:v>2014</c:v>
                </c:pt>
                <c:pt idx="7">
                  <c:v>2013</c:v>
                </c:pt>
                <c:pt idx="8">
                  <c:v>2012</c:v>
                </c:pt>
                <c:pt idx="9">
                  <c:v>2011</c:v>
                </c:pt>
                <c:pt idx="10">
                  <c:v>2010</c:v>
                </c:pt>
              </c:numCache>
            </c:numRef>
          </c:cat>
          <c:val>
            <c:numRef>
              <c:f>'[新建 Microsoft Excel 工作表.xlsx]Sheet1'!$B$3:$L$3</c:f>
              <c:numCache>
                <c:formatCode>General</c:formatCode>
                <c:ptCount val="11"/>
                <c:pt idx="0">
                  <c:v>28100</c:v>
                </c:pt>
                <c:pt idx="1">
                  <c:v>25387</c:v>
                </c:pt>
                <c:pt idx="2">
                  <c:v>23231</c:v>
                </c:pt>
                <c:pt idx="3">
                  <c:v>20906</c:v>
                </c:pt>
                <c:pt idx="4">
                  <c:v>18574</c:v>
                </c:pt>
                <c:pt idx="5">
                  <c:v>16284</c:v>
                </c:pt>
                <c:pt idx="6">
                  <c:v>14598</c:v>
                </c:pt>
                <c:pt idx="7">
                  <c:v>12670</c:v>
                </c:pt>
                <c:pt idx="8">
                  <c:v>10933</c:v>
                </c:pt>
                <c:pt idx="9">
                  <c:v>9356</c:v>
                </c:pt>
                <c:pt idx="10">
                  <c:v>7801</c:v>
                </c:pt>
              </c:numCache>
            </c:numRef>
          </c:val>
        </c:ser>
        <c:dLbls>
          <c:showLegendKey val="0"/>
          <c:showVal val="1"/>
          <c:showCatName val="0"/>
          <c:showSerName val="0"/>
          <c:showPercent val="0"/>
          <c:showBubbleSize val="0"/>
        </c:dLbls>
        <c:gapWidth val="219"/>
        <c:overlap val="-27"/>
        <c:axId val="316462208"/>
        <c:axId val="316464128"/>
      </c:barChart>
      <c:lineChart>
        <c:grouping val="standard"/>
        <c:varyColors val="0"/>
        <c:ser>
          <c:idx val="2"/>
          <c:order val="2"/>
          <c:tx>
            <c:strRef>
              <c:f>'[新建 Microsoft Excel 工作表.xlsx]Sheet1'!$A$4</c:f>
              <c:strCache>
                <c:ptCount val="1"/>
                <c:pt idx="0">
                  <c:v>占比（%）</c:v>
                </c:pt>
              </c:strCache>
            </c:strRef>
          </c:tx>
          <c:spPr>
            <a:ln w="28575" cap="rnd" cmpd="sng" algn="ctr">
              <a:solidFill>
                <a:srgbClr val="A5A5A5"/>
              </a:solidFill>
              <a:prstDash val="solid"/>
              <a:round/>
            </a:ln>
            <a:effectLst/>
          </c:spPr>
          <c:marker>
            <c:symbol val="none"/>
          </c:marker>
          <c:dLbls>
            <c:dLbl>
              <c:idx val="1"/>
              <c:layout>
                <c:manualLayout>
                  <c:x val="-0.00466798926362469"/>
                  <c:y val="0.02988792029887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工作表.xlsx]Sheet1'!$B$1:$L$1</c:f>
              <c:numCache>
                <c:formatCode>General</c:formatCode>
                <c:ptCount val="11"/>
                <c:pt idx="0">
                  <c:v>2020</c:v>
                </c:pt>
                <c:pt idx="1">
                  <c:v>2019</c:v>
                </c:pt>
                <c:pt idx="2">
                  <c:v>2018</c:v>
                </c:pt>
                <c:pt idx="3">
                  <c:v>2017</c:v>
                </c:pt>
                <c:pt idx="4">
                  <c:v>2016</c:v>
                </c:pt>
                <c:pt idx="5">
                  <c:v>2015</c:v>
                </c:pt>
                <c:pt idx="6">
                  <c:v>2014</c:v>
                </c:pt>
                <c:pt idx="7">
                  <c:v>2013</c:v>
                </c:pt>
                <c:pt idx="8">
                  <c:v>2012</c:v>
                </c:pt>
                <c:pt idx="9">
                  <c:v>2011</c:v>
                </c:pt>
                <c:pt idx="10">
                  <c:v>2010</c:v>
                </c:pt>
              </c:numCache>
            </c:numRef>
          </c:cat>
          <c:val>
            <c:numRef>
              <c:f>'[新建 Microsoft Excel 工作表.xlsx]Sheet1'!$B$4:$L$4</c:f>
              <c:numCache>
                <c:formatCode>General</c:formatCode>
                <c:ptCount val="11"/>
                <c:pt idx="0">
                  <c:v>2.63</c:v>
                </c:pt>
                <c:pt idx="1">
                  <c:v>2.686</c:v>
                </c:pt>
                <c:pt idx="2">
                  <c:v>2.652</c:v>
                </c:pt>
                <c:pt idx="3">
                  <c:v>2.626</c:v>
                </c:pt>
                <c:pt idx="4">
                  <c:v>2.643</c:v>
                </c:pt>
                <c:pt idx="5">
                  <c:v>2.689</c:v>
                </c:pt>
                <c:pt idx="6">
                  <c:v>2.631</c:v>
                </c:pt>
                <c:pt idx="7">
                  <c:v>2.652</c:v>
                </c:pt>
                <c:pt idx="8">
                  <c:v>2.598</c:v>
                </c:pt>
                <c:pt idx="9">
                  <c:v>2.522</c:v>
                </c:pt>
                <c:pt idx="10">
                  <c:v>2.436</c:v>
                </c:pt>
              </c:numCache>
            </c:numRef>
          </c:val>
          <c:smooth val="0"/>
        </c:ser>
        <c:dLbls>
          <c:showLegendKey val="0"/>
          <c:showVal val="1"/>
          <c:showCatName val="0"/>
          <c:showSerName val="0"/>
          <c:showPercent val="0"/>
          <c:showBubbleSize val="0"/>
        </c:dLbls>
        <c:marker val="0"/>
        <c:smooth val="0"/>
        <c:axId val="316261120"/>
        <c:axId val="316263040"/>
      </c:lineChart>
      <c:catAx>
        <c:axId val="3162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6263040"/>
        <c:crosses val="autoZero"/>
        <c:auto val="1"/>
        <c:lblAlgn val="ctr"/>
        <c:lblOffset val="100"/>
        <c:noMultiLvlLbl val="0"/>
      </c:catAx>
      <c:valAx>
        <c:axId val="316263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6261120"/>
        <c:crosses val="autoZero"/>
        <c:crossBetween val="between"/>
      </c:valAx>
      <c:catAx>
        <c:axId val="31646220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464128"/>
        <c:crosses val="autoZero"/>
        <c:auto val="1"/>
        <c:lblAlgn val="ctr"/>
        <c:lblOffset val="100"/>
        <c:noMultiLvlLbl val="0"/>
      </c:catAx>
      <c:valAx>
        <c:axId val="316464128"/>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646220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183977497656"/>
          <c:y val="0.0177777777777778"/>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'[新建 Microsoft Excel 工作表 (2).xlsx]Sheet1'!$A$2</c:f>
              <c:strCache>
                <c:ptCount val="1"/>
                <c:pt idx="0">
                  <c:v>陕西民用汽车新注册量(万辆)</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 (2).xlsx]Sheet1'!$B$1:$K$1</c:f>
              <c:numCache>
                <c:formatCode>General</c:formatCode>
                <c:ptCount val="10"/>
                <c:pt idx="0">
                  <c:v>2019</c:v>
                </c:pt>
                <c:pt idx="1">
                  <c:v>2018</c:v>
                </c:pt>
                <c:pt idx="2">
                  <c:v>2017</c:v>
                </c:pt>
                <c:pt idx="3">
                  <c:v>2016</c:v>
                </c:pt>
                <c:pt idx="4">
                  <c:v>2015</c:v>
                </c:pt>
                <c:pt idx="5">
                  <c:v>2014</c:v>
                </c:pt>
                <c:pt idx="6">
                  <c:v>2013</c:v>
                </c:pt>
                <c:pt idx="7">
                  <c:v>2012</c:v>
                </c:pt>
                <c:pt idx="8">
                  <c:v>2011</c:v>
                </c:pt>
                <c:pt idx="9">
                  <c:v>2010</c:v>
                </c:pt>
              </c:numCache>
            </c:numRef>
          </c:cat>
          <c:val>
            <c:numRef>
              <c:f>'[新建 Microsoft Excel 工作表 (2).xlsx]Sheet1'!$B$2:$K$2</c:f>
              <c:numCache>
                <c:formatCode>General</c:formatCode>
                <c:ptCount val="10"/>
                <c:pt idx="0">
                  <c:v>77.46</c:v>
                </c:pt>
                <c:pt idx="1">
                  <c:v>77.39</c:v>
                </c:pt>
                <c:pt idx="2">
                  <c:v>74.35</c:v>
                </c:pt>
                <c:pt idx="3">
                  <c:v>70.56</c:v>
                </c:pt>
                <c:pt idx="4">
                  <c:v>62.52</c:v>
                </c:pt>
                <c:pt idx="5">
                  <c:v>63.75</c:v>
                </c:pt>
                <c:pt idx="6">
                  <c:v>59.5</c:v>
                </c:pt>
                <c:pt idx="7">
                  <c:v>53.78</c:v>
                </c:pt>
                <c:pt idx="8">
                  <c:v>49.6</c:v>
                </c:pt>
                <c:pt idx="9">
                  <c:v>47.42</c:v>
                </c:pt>
              </c:numCache>
            </c:numRef>
          </c:val>
        </c:ser>
        <c:ser>
          <c:idx val="1"/>
          <c:order val="1"/>
          <c:tx>
            <c:strRef>
              <c:f>'[新建 Microsoft Excel 工作表 (2).xlsx]Sheet1'!$A$3</c:f>
              <c:strCache>
                <c:ptCount val="1"/>
                <c:pt idx="0">
                  <c:v>全国汽车销量(万辆)</c:v>
                </c:pt>
              </c:strCache>
            </c:strRef>
          </c:tx>
          <c:spPr>
            <a:solidFill>
              <a:srgbClr val="00706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 (2).xlsx]Sheet1'!$B$1:$K$1</c:f>
              <c:numCache>
                <c:formatCode>General</c:formatCode>
                <c:ptCount val="10"/>
                <c:pt idx="0">
                  <c:v>2019</c:v>
                </c:pt>
                <c:pt idx="1">
                  <c:v>2018</c:v>
                </c:pt>
                <c:pt idx="2">
                  <c:v>2017</c:v>
                </c:pt>
                <c:pt idx="3">
                  <c:v>2016</c:v>
                </c:pt>
                <c:pt idx="4">
                  <c:v>2015</c:v>
                </c:pt>
                <c:pt idx="5">
                  <c:v>2014</c:v>
                </c:pt>
                <c:pt idx="6">
                  <c:v>2013</c:v>
                </c:pt>
                <c:pt idx="7">
                  <c:v>2012</c:v>
                </c:pt>
                <c:pt idx="8">
                  <c:v>2011</c:v>
                </c:pt>
                <c:pt idx="9">
                  <c:v>2010</c:v>
                </c:pt>
              </c:numCache>
            </c:numRef>
          </c:cat>
          <c:val>
            <c:numRef>
              <c:f>'[新建 Microsoft Excel 工作表 (2).xlsx]Sheet1'!$B$3:$K$3</c:f>
              <c:numCache>
                <c:formatCode>General</c:formatCode>
                <c:ptCount val="10"/>
                <c:pt idx="0">
                  <c:v>2577</c:v>
                </c:pt>
                <c:pt idx="1">
                  <c:v>2808</c:v>
                </c:pt>
                <c:pt idx="2">
                  <c:v>2888</c:v>
                </c:pt>
                <c:pt idx="3">
                  <c:v>2803</c:v>
                </c:pt>
                <c:pt idx="4">
                  <c:v>2460</c:v>
                </c:pt>
                <c:pt idx="5">
                  <c:v>2349</c:v>
                </c:pt>
                <c:pt idx="6">
                  <c:v>2198</c:v>
                </c:pt>
                <c:pt idx="7">
                  <c:v>1931</c:v>
                </c:pt>
                <c:pt idx="8">
                  <c:v>1851</c:v>
                </c:pt>
                <c:pt idx="9">
                  <c:v>1806</c:v>
                </c:pt>
              </c:numCache>
            </c:numRef>
          </c:val>
        </c:ser>
        <c:dLbls>
          <c:showLegendKey val="0"/>
          <c:showVal val="1"/>
          <c:showCatName val="0"/>
          <c:showSerName val="0"/>
          <c:showPercent val="0"/>
          <c:showBubbleSize val="0"/>
        </c:dLbls>
        <c:gapWidth val="219"/>
        <c:overlap val="-27"/>
        <c:axId val="313082624"/>
        <c:axId val="313084160"/>
      </c:barChart>
      <c:lineChart>
        <c:grouping val="standard"/>
        <c:varyColors val="0"/>
        <c:ser>
          <c:idx val="2"/>
          <c:order val="2"/>
          <c:tx>
            <c:strRef>
              <c:f>'[新建 Microsoft Excel 工作表 (2).xlsx]Sheet1'!$A$4</c:f>
              <c:strCache>
                <c:ptCount val="1"/>
                <c:pt idx="0">
                  <c:v>占比</c:v>
                </c:pt>
              </c:strCache>
            </c:strRef>
          </c:tx>
          <c:spPr>
            <a:ln w="28575" cap="rnd" cmpd="sng" algn="ctr">
              <a:solidFill>
                <a:schemeClr val="bg1">
                  <a:lumMod val="65000"/>
                </a:schemeClr>
              </a:solidFill>
              <a:prstDash val="solid"/>
              <a:round/>
            </a:ln>
            <a:effectLst/>
          </c:spPr>
          <c:marker>
            <c:symbol val="none"/>
          </c:marker>
          <c:dLbls>
            <c:dLbl>
              <c:idx val="7"/>
              <c:layout>
                <c:manualLayout>
                  <c:x val="0.0101429793474276"/>
                  <c:y val="-0.0334582441113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工作表 (2).xlsx]Sheet1'!$B$1:$K$1</c:f>
              <c:numCache>
                <c:formatCode>General</c:formatCode>
                <c:ptCount val="10"/>
                <c:pt idx="0">
                  <c:v>2019</c:v>
                </c:pt>
                <c:pt idx="1">
                  <c:v>2018</c:v>
                </c:pt>
                <c:pt idx="2">
                  <c:v>2017</c:v>
                </c:pt>
                <c:pt idx="3">
                  <c:v>2016</c:v>
                </c:pt>
                <c:pt idx="4">
                  <c:v>2015</c:v>
                </c:pt>
                <c:pt idx="5">
                  <c:v>2014</c:v>
                </c:pt>
                <c:pt idx="6">
                  <c:v>2013</c:v>
                </c:pt>
                <c:pt idx="7">
                  <c:v>2012</c:v>
                </c:pt>
                <c:pt idx="8">
                  <c:v>2011</c:v>
                </c:pt>
                <c:pt idx="9">
                  <c:v>2010</c:v>
                </c:pt>
              </c:numCache>
            </c:numRef>
          </c:cat>
          <c:val>
            <c:numRef>
              <c:f>'[新建 Microsoft Excel 工作表 (2).xlsx]Sheet1'!$B$4:$K$4</c:f>
              <c:numCache>
                <c:formatCode>General</c:formatCode>
                <c:ptCount val="10"/>
                <c:pt idx="0">
                  <c:v>3.006</c:v>
                </c:pt>
                <c:pt idx="1">
                  <c:v>2.756</c:v>
                </c:pt>
                <c:pt idx="2">
                  <c:v>2.574</c:v>
                </c:pt>
                <c:pt idx="3">
                  <c:v>2.517</c:v>
                </c:pt>
                <c:pt idx="4">
                  <c:v>2.541</c:v>
                </c:pt>
                <c:pt idx="5">
                  <c:v>2.714</c:v>
                </c:pt>
                <c:pt idx="6">
                  <c:v>2.707</c:v>
                </c:pt>
                <c:pt idx="7">
                  <c:v>2.785</c:v>
                </c:pt>
                <c:pt idx="8">
                  <c:v>2.68</c:v>
                </c:pt>
                <c:pt idx="9">
                  <c:v>2.626</c:v>
                </c:pt>
              </c:numCache>
            </c:numRef>
          </c:val>
          <c:smooth val="0"/>
        </c:ser>
        <c:dLbls>
          <c:showLegendKey val="0"/>
          <c:showVal val="1"/>
          <c:showCatName val="0"/>
          <c:showSerName val="0"/>
          <c:showPercent val="0"/>
          <c:showBubbleSize val="0"/>
        </c:dLbls>
        <c:marker val="0"/>
        <c:smooth val="0"/>
        <c:axId val="312997376"/>
        <c:axId val="312998912"/>
      </c:lineChart>
      <c:catAx>
        <c:axId val="3129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2998912"/>
        <c:crosses val="autoZero"/>
        <c:auto val="1"/>
        <c:lblAlgn val="ctr"/>
        <c:lblOffset val="100"/>
        <c:noMultiLvlLbl val="0"/>
      </c:catAx>
      <c:valAx>
        <c:axId val="312998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2997376"/>
        <c:crosses val="autoZero"/>
        <c:crossBetween val="between"/>
      </c:valAx>
      <c:catAx>
        <c:axId val="31308262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3084160"/>
        <c:crosses val="autoZero"/>
        <c:auto val="1"/>
        <c:lblAlgn val="ctr"/>
        <c:lblOffset val="100"/>
        <c:noMultiLvlLbl val="0"/>
      </c:catAx>
      <c:valAx>
        <c:axId val="31308416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308262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Entry>
      <c:layout>
        <c:manualLayout>
          <c:xMode val="edge"/>
          <c:yMode val="edge"/>
          <c:x val="0.198249817689343"/>
          <c:y val="0.89444444444444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ea"/>
              <a:sym typeface="+mn-ea"/>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911495528115"/>
          <c:y val="0.0303604169178512"/>
          <c:w val="0.902394951756512"/>
          <c:h val="0.708892348883909"/>
        </c:manualLayout>
      </c:layout>
      <c:barChart>
        <c:barDir val="col"/>
        <c:grouping val="clustered"/>
        <c:varyColors val="0"/>
        <c:ser>
          <c:idx val="0"/>
          <c:order val="0"/>
          <c:tx>
            <c:strRef>
              <c:f>Sheet1!$D$580</c:f>
              <c:strCache>
                <c:ptCount val="1"/>
                <c:pt idx="0">
                  <c:v>新能源汽车销量</c:v>
                </c:pt>
              </c:strCache>
            </c:strRef>
          </c:tx>
          <c:spPr>
            <a:solidFill>
              <a:srgbClr val="00706B"/>
            </a:solidFill>
            <a:ln>
              <a:noFill/>
            </a:ln>
            <a:effectLst/>
          </c:spPr>
          <c:invertIfNegative val="0"/>
          <c:dLbls>
            <c:dLbl>
              <c:idx val="2"/>
              <c:layout/>
              <c:tx>
                <c:rich>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r>
                      <a:rPr lang="en-US" altLang="zh-CN" sz="800">
                        <a:latin typeface="Times New Roman" panose="02020603050405020304" charset="0"/>
                        <a:cs typeface="Times New Roman" panose="02020603050405020304" charset="0"/>
                      </a:rPr>
                      <a:t>9.9</a:t>
                    </a:r>
                    <a:endParaRPr lang="en-US" altLang="zh-CN" sz="800" dirty="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r>
                      <a:rPr lang="en-US" altLang="zh-CN" sz="800">
                        <a:latin typeface="Times New Roman" panose="02020603050405020304" charset="0"/>
                        <a:cs typeface="Times New Roman" panose="02020603050405020304" charset="0"/>
                      </a:rPr>
                      <a:t>12.3</a:t>
                    </a:r>
                    <a:endParaRPr lang="en-US" altLang="zh-CN" sz="800" dirty="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r>
                      <a:rPr lang="en-US" altLang="zh-CN" sz="800">
                        <a:latin typeface="Times New Roman" panose="02020603050405020304" charset="0"/>
                        <a:cs typeface="Times New Roman" panose="02020603050405020304" charset="0"/>
                      </a:rPr>
                      <a:t>49.8</a:t>
                    </a:r>
                    <a:endParaRPr lang="en-US" altLang="zh-CN" sz="800" dirty="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Sheet1!$E$579:$J$579</c:f>
              <c:strCache>
                <c:ptCount val="6"/>
                <c:pt idx="0">
                  <c:v>2021</c:v>
                </c:pt>
                <c:pt idx="1">
                  <c:v>2022</c:v>
                </c:pt>
                <c:pt idx="2">
                  <c:v>2023</c:v>
                </c:pt>
                <c:pt idx="3">
                  <c:v>2024</c:v>
                </c:pt>
                <c:pt idx="4">
                  <c:v>2025</c:v>
                </c:pt>
                <c:pt idx="5">
                  <c:v>合计</c:v>
                </c:pt>
              </c:strCache>
            </c:strRef>
          </c:cat>
          <c:val>
            <c:numRef>
              <c:f>Sheet1!$E$580:$J$580</c:f>
              <c:numCache>
                <c:formatCode>General</c:formatCode>
                <c:ptCount val="6"/>
                <c:pt idx="0">
                  <c:v>5.4</c:v>
                </c:pt>
                <c:pt idx="1">
                  <c:v>7.6</c:v>
                </c:pt>
                <c:pt idx="2">
                  <c:v>9.8</c:v>
                </c:pt>
                <c:pt idx="3">
                  <c:v>12.2</c:v>
                </c:pt>
                <c:pt idx="4">
                  <c:v>14.6</c:v>
                </c:pt>
                <c:pt idx="5">
                  <c:v>49.6</c:v>
                </c:pt>
              </c:numCache>
            </c:numRef>
          </c:val>
        </c:ser>
        <c:dLbls>
          <c:showLegendKey val="0"/>
          <c:showVal val="1"/>
          <c:showCatName val="0"/>
          <c:showSerName val="0"/>
          <c:showPercent val="0"/>
          <c:showBubbleSize val="0"/>
        </c:dLbls>
        <c:gapWidth val="219"/>
        <c:overlap val="-27"/>
        <c:axId val="313115392"/>
        <c:axId val="313116928"/>
      </c:barChart>
      <c:catAx>
        <c:axId val="31311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crossAx val="313116928"/>
        <c:crosses val="autoZero"/>
        <c:auto val="1"/>
        <c:lblAlgn val="ctr"/>
        <c:lblOffset val="100"/>
        <c:noMultiLvlLbl val="0"/>
      </c:catAx>
      <c:valAx>
        <c:axId val="313116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crossAx val="313115392"/>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sz="1400" baseline="0">
          <a:latin typeface="Times New Roman" panose="02020603050405020304" charset="0"/>
          <a:ea typeface="微软雅黑" panose="020B0503020204020204" pitchFamily="34" charset="-122"/>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[3.xlsx]Sheet1!$A$2</c:f>
              <c:strCache>
                <c:ptCount val="1"/>
                <c:pt idx="0">
                  <c:v>公交车保有量</c:v>
                </c:pt>
              </c:strCache>
            </c:strRef>
          </c:tx>
          <c:spPr>
            <a:solidFill>
              <a:srgbClr val="00706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[3.xlsx]Sheet1!$B$1:$F$1</c:f>
              <c:numCache>
                <c:formatCode>General</c:formatCode>
                <c:ptCount val="5"/>
                <c:pt idx="0">
                  <c:v>2016</c:v>
                </c:pt>
                <c:pt idx="1">
                  <c:v>2017</c:v>
                </c:pt>
                <c:pt idx="2">
                  <c:v>2018</c:v>
                </c:pt>
                <c:pt idx="3">
                  <c:v>2019</c:v>
                </c:pt>
                <c:pt idx="4">
                  <c:v>2020</c:v>
                </c:pt>
              </c:numCache>
            </c:numRef>
          </c:cat>
          <c:val>
            <c:numRef>
              <c:f>[3.xlsx]Sheet1!$B$2:$F$2</c:f>
              <c:numCache>
                <c:formatCode>General</c:formatCode>
                <c:ptCount val="5"/>
                <c:pt idx="0">
                  <c:v>14341</c:v>
                </c:pt>
                <c:pt idx="1">
                  <c:v>14711</c:v>
                </c:pt>
                <c:pt idx="2">
                  <c:v>15944</c:v>
                </c:pt>
                <c:pt idx="3">
                  <c:v>17342</c:v>
                </c:pt>
                <c:pt idx="4">
                  <c:v>18000</c:v>
                </c:pt>
              </c:numCache>
            </c:numRef>
          </c:val>
        </c:ser>
        <c:ser>
          <c:idx val="1"/>
          <c:order val="1"/>
          <c:tx>
            <c:strRef>
              <c:f>[3.xlsx]Sheet1!$A$3</c:f>
              <c:strCache>
                <c:ptCount val="1"/>
                <c:pt idx="0">
                  <c:v>出租车保有量</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[3.xlsx]Sheet1!$B$1:$F$1</c:f>
              <c:numCache>
                <c:formatCode>General</c:formatCode>
                <c:ptCount val="5"/>
                <c:pt idx="0">
                  <c:v>2016</c:v>
                </c:pt>
                <c:pt idx="1">
                  <c:v>2017</c:v>
                </c:pt>
                <c:pt idx="2">
                  <c:v>2018</c:v>
                </c:pt>
                <c:pt idx="3">
                  <c:v>2019</c:v>
                </c:pt>
                <c:pt idx="4">
                  <c:v>2020</c:v>
                </c:pt>
              </c:numCache>
            </c:numRef>
          </c:cat>
          <c:val>
            <c:numRef>
              <c:f>[3.xlsx]Sheet1!$B$3:$F$3</c:f>
              <c:numCache>
                <c:formatCode>General</c:formatCode>
                <c:ptCount val="5"/>
                <c:pt idx="0">
                  <c:v>36232</c:v>
                </c:pt>
                <c:pt idx="1">
                  <c:v>35960</c:v>
                </c:pt>
                <c:pt idx="2">
                  <c:v>35720</c:v>
                </c:pt>
                <c:pt idx="3">
                  <c:v>38320</c:v>
                </c:pt>
                <c:pt idx="4">
                  <c:v>40000</c:v>
                </c:pt>
              </c:numCache>
            </c:numRef>
          </c:val>
        </c:ser>
        <c:ser>
          <c:idx val="2"/>
          <c:order val="2"/>
          <c:tx>
            <c:strRef>
              <c:f>[3.xlsx]Sheet1!$A$4</c:f>
              <c:strCache>
                <c:ptCount val="1"/>
                <c:pt idx="0">
                  <c:v>客运班车</c:v>
                </c:pt>
              </c:strCache>
            </c:strRef>
          </c:tx>
          <c:spPr>
            <a:solidFill>
              <a:srgbClr val="A5A5A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[3.xlsx]Sheet1!$B$1:$F$1</c:f>
              <c:numCache>
                <c:formatCode>General</c:formatCode>
                <c:ptCount val="5"/>
                <c:pt idx="0">
                  <c:v>2016</c:v>
                </c:pt>
                <c:pt idx="1">
                  <c:v>2017</c:v>
                </c:pt>
                <c:pt idx="2">
                  <c:v>2018</c:v>
                </c:pt>
                <c:pt idx="3">
                  <c:v>2019</c:v>
                </c:pt>
                <c:pt idx="4">
                  <c:v>2020</c:v>
                </c:pt>
              </c:numCache>
            </c:numRef>
          </c:cat>
          <c:val>
            <c:numRef>
              <c:f>[3.xlsx]Sheet1!$B$4:$F$4</c:f>
              <c:numCache>
                <c:formatCode>General</c:formatCode>
                <c:ptCount val="5"/>
                <c:pt idx="0">
                  <c:v>16645</c:v>
                </c:pt>
                <c:pt idx="1">
                  <c:v>15723</c:v>
                </c:pt>
                <c:pt idx="2">
                  <c:v>14553</c:v>
                </c:pt>
                <c:pt idx="3">
                  <c:v>16156</c:v>
                </c:pt>
                <c:pt idx="4">
                  <c:v>17000</c:v>
                </c:pt>
              </c:numCache>
            </c:numRef>
          </c:val>
        </c:ser>
        <c:ser>
          <c:idx val="3"/>
          <c:order val="3"/>
          <c:tx>
            <c:strRef>
              <c:f>[3.xlsx]Sheet1!$A$5</c:f>
              <c:strCache>
                <c:ptCount val="1"/>
                <c:pt idx="0">
                  <c:v>旅游客车</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[3.xlsx]Sheet1!$B$1:$F$1</c:f>
              <c:numCache>
                <c:formatCode>General</c:formatCode>
                <c:ptCount val="5"/>
                <c:pt idx="0">
                  <c:v>2016</c:v>
                </c:pt>
                <c:pt idx="1">
                  <c:v>2017</c:v>
                </c:pt>
                <c:pt idx="2">
                  <c:v>2018</c:v>
                </c:pt>
                <c:pt idx="3">
                  <c:v>2019</c:v>
                </c:pt>
                <c:pt idx="4">
                  <c:v>2020</c:v>
                </c:pt>
              </c:numCache>
            </c:numRef>
          </c:cat>
          <c:val>
            <c:numRef>
              <c:f>[3.xlsx]Sheet1!$B$5:$F$5</c:f>
              <c:numCache>
                <c:formatCode>General</c:formatCode>
                <c:ptCount val="5"/>
                <c:pt idx="0">
                  <c:v>2497</c:v>
                </c:pt>
                <c:pt idx="1">
                  <c:v>2888</c:v>
                </c:pt>
                <c:pt idx="2">
                  <c:v>3654</c:v>
                </c:pt>
                <c:pt idx="3">
                  <c:v>5095</c:v>
                </c:pt>
                <c:pt idx="4">
                  <c:v>5500</c:v>
                </c:pt>
              </c:numCache>
            </c:numRef>
          </c:val>
        </c:ser>
        <c:dLbls>
          <c:showLegendKey val="0"/>
          <c:showVal val="1"/>
          <c:showCatName val="0"/>
          <c:showSerName val="0"/>
          <c:showPercent val="0"/>
          <c:showBubbleSize val="0"/>
        </c:dLbls>
        <c:gapWidth val="219"/>
        <c:overlap val="-27"/>
        <c:axId val="313154944"/>
        <c:axId val="313214080"/>
      </c:barChart>
      <c:catAx>
        <c:axId val="3131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3214080"/>
        <c:crosses val="autoZero"/>
        <c:auto val="1"/>
        <c:lblAlgn val="ctr"/>
        <c:lblOffset val="100"/>
        <c:noMultiLvlLbl val="0"/>
      </c:catAx>
      <c:valAx>
        <c:axId val="313214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31549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70419981871287"/>
          <c:y val="0.884132537559169"/>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Sheet1!$B$515</c:f>
              <c:strCache>
                <c:ptCount val="1"/>
                <c:pt idx="0">
                  <c:v>截止2019年底</c:v>
                </c:pt>
              </c:strCache>
            </c:strRef>
          </c:tx>
          <c:spPr>
            <a:solidFill>
              <a:srgbClr val="00706B"/>
            </a:solidFill>
            <a:ln>
              <a:noFill/>
            </a:ln>
            <a:effectLst/>
          </c:spPr>
          <c:invertIfNegative val="0"/>
          <c:dLbls>
            <c:dLbl>
              <c:idx val="0"/>
              <c:layout>
                <c:manualLayout>
                  <c:x val="-0.00242738951650608"/>
                  <c:y val="0.03156565656565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Sheet1!$A$516:$A$521</c:f>
              <c:strCache>
                <c:ptCount val="6"/>
                <c:pt idx="0">
                  <c:v>公交</c:v>
                </c:pt>
                <c:pt idx="1">
                  <c:v>环卫</c:v>
                </c:pt>
                <c:pt idx="2">
                  <c:v>邮政</c:v>
                </c:pt>
                <c:pt idx="3">
                  <c:v>出租</c:v>
                </c:pt>
                <c:pt idx="4">
                  <c:v>通勤</c:v>
                </c:pt>
                <c:pt idx="5">
                  <c:v>轻型物流配送</c:v>
                </c:pt>
              </c:strCache>
            </c:strRef>
          </c:cat>
          <c:val>
            <c:numRef>
              <c:f>Sheet1!$B$516:$B$521</c:f>
              <c:numCache>
                <c:formatCode>General</c:formatCode>
                <c:ptCount val="6"/>
                <c:pt idx="0">
                  <c:v>5721</c:v>
                </c:pt>
                <c:pt idx="1">
                  <c:v>355</c:v>
                </c:pt>
                <c:pt idx="2">
                  <c:v>656</c:v>
                </c:pt>
                <c:pt idx="3">
                  <c:v>16267</c:v>
                </c:pt>
                <c:pt idx="4">
                  <c:v>99</c:v>
                </c:pt>
                <c:pt idx="5">
                  <c:v>2308</c:v>
                </c:pt>
              </c:numCache>
            </c:numRef>
          </c:val>
        </c:ser>
        <c:ser>
          <c:idx val="1"/>
          <c:order val="1"/>
          <c:tx>
            <c:strRef>
              <c:f>Sheet1!$C$515</c:f>
              <c:strCache>
                <c:ptCount val="1"/>
                <c:pt idx="0">
                  <c:v>截止2020年9月</c:v>
                </c:pt>
              </c:strCache>
            </c:strRef>
          </c:tx>
          <c:spPr>
            <a:solidFill>
              <a:srgbClr val="FFC000"/>
            </a:solidFill>
            <a:ln>
              <a:noFill/>
            </a:ln>
            <a:effectLst/>
          </c:spPr>
          <c:invertIfNegative val="0"/>
          <c:dLbls>
            <c:dLbl>
              <c:idx val="0"/>
              <c:layout>
                <c:manualLayout>
                  <c:x val="-0.00242738951650608"/>
                  <c:y val="0.0252525252525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893939393939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97095580660242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Sheet1!$A$516:$A$521</c:f>
              <c:strCache>
                <c:ptCount val="6"/>
                <c:pt idx="0">
                  <c:v>公交</c:v>
                </c:pt>
                <c:pt idx="1">
                  <c:v>环卫</c:v>
                </c:pt>
                <c:pt idx="2">
                  <c:v>邮政</c:v>
                </c:pt>
                <c:pt idx="3">
                  <c:v>出租</c:v>
                </c:pt>
                <c:pt idx="4">
                  <c:v>通勤</c:v>
                </c:pt>
                <c:pt idx="5">
                  <c:v>轻型物流配送</c:v>
                </c:pt>
              </c:strCache>
            </c:strRef>
          </c:cat>
          <c:val>
            <c:numRef>
              <c:f>Sheet1!$C$516:$C$521</c:f>
              <c:numCache>
                <c:formatCode>General</c:formatCode>
                <c:ptCount val="6"/>
                <c:pt idx="0">
                  <c:v>6700</c:v>
                </c:pt>
                <c:pt idx="1">
                  <c:v>512</c:v>
                </c:pt>
                <c:pt idx="2">
                  <c:v>742</c:v>
                </c:pt>
                <c:pt idx="3">
                  <c:v>18909</c:v>
                </c:pt>
                <c:pt idx="4">
                  <c:v>146</c:v>
                </c:pt>
                <c:pt idx="5">
                  <c:v>20309</c:v>
                </c:pt>
              </c:numCache>
            </c:numRef>
          </c:val>
        </c:ser>
        <c:ser>
          <c:idx val="2"/>
          <c:order val="2"/>
          <c:tx>
            <c:strRef>
              <c:f>Sheet1!$D$515</c:f>
              <c:strCache>
                <c:ptCount val="1"/>
                <c:pt idx="0">
                  <c:v>截止2020年底预计</c:v>
                </c:pt>
              </c:strCache>
            </c:strRef>
          </c:tx>
          <c:spPr>
            <a:solidFill>
              <a:schemeClr val="accent3"/>
            </a:solidFill>
            <a:ln>
              <a:noFill/>
            </a:ln>
            <a:effectLst/>
          </c:spPr>
          <c:invertIfNegative val="0"/>
          <c:dLbls>
            <c:dLbl>
              <c:idx val="5"/>
              <c:layout>
                <c:manualLayout>
                  <c:x val="0.00242738951650608"/>
                  <c:y val="0.0252525252525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Sheet1!$A$516:$A$521</c:f>
              <c:strCache>
                <c:ptCount val="6"/>
                <c:pt idx="0">
                  <c:v>公交</c:v>
                </c:pt>
                <c:pt idx="1">
                  <c:v>环卫</c:v>
                </c:pt>
                <c:pt idx="2">
                  <c:v>邮政</c:v>
                </c:pt>
                <c:pt idx="3">
                  <c:v>出租</c:v>
                </c:pt>
                <c:pt idx="4">
                  <c:v>通勤</c:v>
                </c:pt>
                <c:pt idx="5">
                  <c:v>轻型物流配送</c:v>
                </c:pt>
              </c:strCache>
            </c:strRef>
          </c:cat>
          <c:val>
            <c:numRef>
              <c:f>Sheet1!$D$516:$D$521</c:f>
              <c:numCache>
                <c:formatCode>General</c:formatCode>
                <c:ptCount val="6"/>
                <c:pt idx="0">
                  <c:v>7214</c:v>
                </c:pt>
                <c:pt idx="1">
                  <c:v>541</c:v>
                </c:pt>
                <c:pt idx="2">
                  <c:v>744</c:v>
                </c:pt>
                <c:pt idx="3">
                  <c:v>19763</c:v>
                </c:pt>
                <c:pt idx="4">
                  <c:v>146</c:v>
                </c:pt>
                <c:pt idx="5">
                  <c:v>20336</c:v>
                </c:pt>
              </c:numCache>
            </c:numRef>
          </c:val>
        </c:ser>
        <c:dLbls>
          <c:showLegendKey val="0"/>
          <c:showVal val="1"/>
          <c:showCatName val="0"/>
          <c:showSerName val="0"/>
          <c:showPercent val="0"/>
          <c:showBubbleSize val="0"/>
        </c:dLbls>
        <c:gapWidth val="219"/>
        <c:overlap val="-27"/>
        <c:axId val="313266944"/>
        <c:axId val="313268480"/>
      </c:barChart>
      <c:catAx>
        <c:axId val="31326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j-ea"/>
                <a:ea typeface="+mj-ea"/>
                <a:cs typeface="+mn-cs"/>
              </a:defRPr>
            </a:pPr>
          </a:p>
        </c:txPr>
        <c:crossAx val="313268480"/>
        <c:crosses val="autoZero"/>
        <c:auto val="1"/>
        <c:lblAlgn val="ctr"/>
        <c:lblOffset val="100"/>
        <c:noMultiLvlLbl val="0"/>
      </c:catAx>
      <c:valAx>
        <c:axId val="313268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mn-cs"/>
              </a:defRPr>
            </a:pPr>
          </a:p>
        </c:txPr>
        <c:crossAx val="313266944"/>
        <c:crosses val="autoZero"/>
        <c:crossBetween val="between"/>
      </c:valAx>
      <c:spPr>
        <a:noFill/>
        <a:ln>
          <a:noFill/>
        </a:ln>
        <a:effectLst/>
      </c:spPr>
    </c:plotArea>
    <c:legend>
      <c:legendPos val="b"/>
      <c:layout>
        <c:manualLayout>
          <c:xMode val="edge"/>
          <c:yMode val="edge"/>
          <c:x val="0.227258513925379"/>
          <c:y val="0.842676767676768"/>
          <c:w val="0.540628193116229"/>
          <c:h val="0.0878787878787875"/>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noFill/>
    <a:ln w="6350" cap="flat" cmpd="sng" algn="ctr">
      <a:noFill/>
      <a:prstDash val="solid"/>
      <a:round/>
    </a:ln>
    <a:effectLst/>
  </c:spPr>
  <c:txPr>
    <a:bodyPr/>
    <a:lstStyle/>
    <a:p>
      <a:pPr>
        <a:defRPr lang="zh-CN" sz="1200" baseline="0">
          <a:latin typeface="Times New Roman" panose="02020603050405020304" charset="0"/>
          <a:ea typeface="微软雅黑" panose="020B0503020204020204" pitchFamily="34" charset="-122"/>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Sheet1!$A$253</c:f>
              <c:strCache>
                <c:ptCount val="1"/>
                <c:pt idx="0">
                  <c:v>公交车总保有量预计（万辆）</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Sheet1!$B$252:$F$252</c:f>
              <c:numCache>
                <c:formatCode>General</c:formatCode>
                <c:ptCount val="5"/>
                <c:pt idx="0">
                  <c:v>2021</c:v>
                </c:pt>
                <c:pt idx="1">
                  <c:v>2022</c:v>
                </c:pt>
                <c:pt idx="2">
                  <c:v>2023</c:v>
                </c:pt>
                <c:pt idx="3">
                  <c:v>2024</c:v>
                </c:pt>
                <c:pt idx="4">
                  <c:v>2025</c:v>
                </c:pt>
              </c:numCache>
            </c:numRef>
          </c:cat>
          <c:val>
            <c:numRef>
              <c:f>Sheet1!$B$253:$F$253</c:f>
              <c:numCache>
                <c:formatCode>General</c:formatCode>
                <c:ptCount val="5"/>
                <c:pt idx="0">
                  <c:v>1.9</c:v>
                </c:pt>
                <c:pt idx="1">
                  <c:v>2</c:v>
                </c:pt>
                <c:pt idx="2">
                  <c:v>2.1</c:v>
                </c:pt>
                <c:pt idx="3">
                  <c:v>2.2</c:v>
                </c:pt>
                <c:pt idx="4">
                  <c:v>2.3</c:v>
                </c:pt>
              </c:numCache>
            </c:numRef>
          </c:val>
        </c:ser>
        <c:ser>
          <c:idx val="1"/>
          <c:order val="1"/>
          <c:tx>
            <c:strRef>
              <c:f>Sheet1!$A$254</c:f>
              <c:strCache>
                <c:ptCount val="1"/>
                <c:pt idx="0">
                  <c:v>电动公交车保有量(万辆)</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Sheet1!$B$252:$F$252</c:f>
              <c:numCache>
                <c:formatCode>General</c:formatCode>
                <c:ptCount val="5"/>
                <c:pt idx="0">
                  <c:v>2021</c:v>
                </c:pt>
                <c:pt idx="1">
                  <c:v>2022</c:v>
                </c:pt>
                <c:pt idx="2">
                  <c:v>2023</c:v>
                </c:pt>
                <c:pt idx="3">
                  <c:v>2024</c:v>
                </c:pt>
                <c:pt idx="4">
                  <c:v>2025</c:v>
                </c:pt>
              </c:numCache>
            </c:numRef>
          </c:cat>
          <c:val>
            <c:numRef>
              <c:f>Sheet1!$B$254:$F$254</c:f>
              <c:numCache>
                <c:formatCode>General</c:formatCode>
                <c:ptCount val="5"/>
                <c:pt idx="0">
                  <c:v>1</c:v>
                </c:pt>
                <c:pt idx="1">
                  <c:v>1.2</c:v>
                </c:pt>
                <c:pt idx="2">
                  <c:v>1.4</c:v>
                </c:pt>
                <c:pt idx="3">
                  <c:v>1.7</c:v>
                </c:pt>
                <c:pt idx="4">
                  <c:v>2</c:v>
                </c:pt>
              </c:numCache>
            </c:numRef>
          </c:val>
        </c:ser>
        <c:dLbls>
          <c:showLegendKey val="0"/>
          <c:showVal val="1"/>
          <c:showCatName val="0"/>
          <c:showSerName val="0"/>
          <c:showPercent val="0"/>
          <c:showBubbleSize val="0"/>
        </c:dLbls>
        <c:gapWidth val="219"/>
        <c:overlap val="-27"/>
        <c:axId val="313397248"/>
        <c:axId val="313398784"/>
      </c:barChart>
      <c:lineChart>
        <c:grouping val="standard"/>
        <c:varyColors val="0"/>
        <c:ser>
          <c:idx val="2"/>
          <c:order val="2"/>
          <c:tx>
            <c:strRef>
              <c:f>Sheet1!$A$255</c:f>
              <c:strCache>
                <c:ptCount val="1"/>
                <c:pt idx="0">
                  <c:v>占比</c:v>
                </c:pt>
              </c:strCache>
            </c:strRef>
          </c:tx>
          <c:spPr>
            <a:ln w="28575" cap="rnd" cmpd="sng" algn="ctr">
              <a:solidFill>
                <a:schemeClr val="accent3"/>
              </a:solidFill>
              <a:prstDash val="solid"/>
              <a:round/>
            </a:ln>
            <a:effectLst/>
          </c:spPr>
          <c:marker>
            <c:symbol val="none"/>
          </c:marker>
          <c:dLbls>
            <c:dLbl>
              <c:idx val="0"/>
              <c:layout>
                <c:manualLayout>
                  <c:x val="-0.00992063492063498"/>
                  <c:y val="0"/>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4007936507936"/>
                  <c:y val="0"/>
                </c:manualLayout>
              </c:layout>
              <c:tx>
                <c:rich>
                  <a:bodyPr rot="0" spcFirstLastPara="1"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ea"/>
                        <a:sym typeface="+mn-lt"/>
                      </a:defRPr>
                    </a:pPr>
                    <a:r>
                      <a:rPr altLang="en-US" sz="800" b="1">
                        <a:latin typeface="Times New Roman" panose="02020603050405020304" charset="0"/>
                        <a:cs typeface="Times New Roman" panose="02020603050405020304" charset="0"/>
                      </a:rPr>
                      <a:t>60</a:t>
                    </a:r>
                    <a:r>
                      <a:rPr altLang="en-US" sz="800">
                        <a:latin typeface="Times New Roman" panose="02020603050405020304" charset="0"/>
                        <a:cs typeface="Times New Roman" panose="02020603050405020304" charset="0"/>
                      </a:rPr>
                      <a:t>%</a:t>
                    </a:r>
                    <a:endParaRPr altLang="en-US" sz="8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ea"/>
                      <a:sym typeface="+mn-lt"/>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4007936507937"/>
                  <c:y val="0"/>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4009889388826"/>
                  <c:y val="0"/>
                </c:manualLayout>
              </c:layout>
              <c:tx>
                <c:rich>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r>
                      <a:rPr altLang="en-US" sz="800">
                        <a:latin typeface="Times New Roman" panose="02020603050405020304" charset="0"/>
                        <a:cs typeface="Times New Roman" panose="02020603050405020304" charset="0"/>
                      </a:rPr>
                      <a:t>77%</a:t>
                    </a:r>
                    <a:endParaRPr altLang="en-US" sz="8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4007936507937"/>
                  <c:y val="-0.00631313131313138"/>
                </c:manualLayout>
              </c:layout>
              <c:numFmt formatCode="General" sourceLinked="1"/>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Sheet1!$B$252:$F$252</c:f>
              <c:numCache>
                <c:formatCode>General</c:formatCode>
                <c:ptCount val="5"/>
                <c:pt idx="0">
                  <c:v>2021</c:v>
                </c:pt>
                <c:pt idx="1">
                  <c:v>2022</c:v>
                </c:pt>
                <c:pt idx="2">
                  <c:v>2023</c:v>
                </c:pt>
                <c:pt idx="3">
                  <c:v>2024</c:v>
                </c:pt>
                <c:pt idx="4">
                  <c:v>2025</c:v>
                </c:pt>
              </c:numCache>
            </c:numRef>
          </c:cat>
          <c:val>
            <c:numRef>
              <c:f>Sheet1!$B$255:$F$255</c:f>
              <c:numCache>
                <c:formatCode>0%</c:formatCode>
                <c:ptCount val="5"/>
                <c:pt idx="0">
                  <c:v>0.53</c:v>
                </c:pt>
                <c:pt idx="1">
                  <c:v>0.600000000000003</c:v>
                </c:pt>
                <c:pt idx="2">
                  <c:v>0.670000000000004</c:v>
                </c:pt>
                <c:pt idx="3">
                  <c:v>0.770000000000003</c:v>
                </c:pt>
                <c:pt idx="4">
                  <c:v>0.870000000000003</c:v>
                </c:pt>
              </c:numCache>
            </c:numRef>
          </c:val>
          <c:smooth val="0"/>
        </c:ser>
        <c:dLbls>
          <c:showLegendKey val="0"/>
          <c:showVal val="1"/>
          <c:showCatName val="0"/>
          <c:showSerName val="0"/>
          <c:showPercent val="0"/>
          <c:showBubbleSize val="0"/>
        </c:dLbls>
        <c:marker val="0"/>
        <c:smooth val="0"/>
        <c:axId val="313397248"/>
        <c:axId val="313398784"/>
      </c:lineChart>
      <c:catAx>
        <c:axId val="3133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398784"/>
        <c:crosses val="autoZero"/>
        <c:auto val="1"/>
        <c:lblAlgn val="ctr"/>
        <c:lblOffset val="100"/>
        <c:noMultiLvlLbl val="0"/>
      </c:catAx>
      <c:valAx>
        <c:axId val="313398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397248"/>
        <c:crosses val="autoZero"/>
        <c:crossBetween val="between"/>
      </c:valAx>
      <c:spPr>
        <a:noFill/>
        <a:ln>
          <a:noFill/>
        </a:ln>
        <a:effectLst/>
      </c:spPr>
    </c:plotArea>
    <c:legend>
      <c:legendPos val="b"/>
      <c:layout>
        <c:manualLayout>
          <c:xMode val="edge"/>
          <c:yMode val="edge"/>
          <c:x val="0.101054526748971"/>
          <c:y val="0.778801521337611"/>
          <c:w val="0.800462962962959"/>
          <c:h val="0.120889836687081"/>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ea"/>
              <a:sym typeface="+mn-lt"/>
            </a:defRPr>
          </a:pPr>
        </a:p>
      </c:txPr>
    </c:legend>
    <c:plotVisOnly val="1"/>
    <c:dispBlanksAs val="gap"/>
    <c:showDLblsOverMax val="0"/>
  </c:chart>
  <c:spPr>
    <a:noFill/>
    <a:ln w="6350" cap="flat" cmpd="sng" algn="ctr">
      <a:noFill/>
      <a:prstDash val="solid"/>
      <a:round/>
    </a:ln>
    <a:effectLst/>
  </c:spPr>
  <c:txPr>
    <a:bodyPr/>
    <a:lstStyle/>
    <a:p>
      <a:pPr>
        <a:defRPr lang="zh-CN" sz="1400" baseline="0">
          <a:latin typeface="+mn-lt"/>
          <a:ea typeface="+mn-ea"/>
          <a:cs typeface="+mn-ea"/>
          <a:sym typeface="+mn-lt"/>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Sheet1!$A$270</c:f>
              <c:strCache>
                <c:ptCount val="1"/>
                <c:pt idx="0">
                  <c:v>出租车总保有量预计（万辆）</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Sheet1!$B$269:$F$269</c:f>
              <c:numCache>
                <c:formatCode>General</c:formatCode>
                <c:ptCount val="5"/>
                <c:pt idx="0">
                  <c:v>2021</c:v>
                </c:pt>
                <c:pt idx="1">
                  <c:v>2022</c:v>
                </c:pt>
                <c:pt idx="2">
                  <c:v>2023</c:v>
                </c:pt>
                <c:pt idx="3">
                  <c:v>2024</c:v>
                </c:pt>
                <c:pt idx="4">
                  <c:v>2025</c:v>
                </c:pt>
              </c:numCache>
            </c:numRef>
          </c:cat>
          <c:val>
            <c:numRef>
              <c:f>Sheet1!$B$270:$F$270</c:f>
              <c:numCache>
                <c:formatCode>General</c:formatCode>
                <c:ptCount val="5"/>
                <c:pt idx="0">
                  <c:v>4.2</c:v>
                </c:pt>
                <c:pt idx="1">
                  <c:v>4.4</c:v>
                </c:pt>
                <c:pt idx="2">
                  <c:v>4.7</c:v>
                </c:pt>
                <c:pt idx="3">
                  <c:v>4.9</c:v>
                </c:pt>
                <c:pt idx="4">
                  <c:v>5.1</c:v>
                </c:pt>
              </c:numCache>
            </c:numRef>
          </c:val>
        </c:ser>
        <c:ser>
          <c:idx val="1"/>
          <c:order val="1"/>
          <c:tx>
            <c:strRef>
              <c:f>Sheet1!$A$271</c:f>
              <c:strCache>
                <c:ptCount val="1"/>
                <c:pt idx="0">
                  <c:v>电动出租车保有量(万辆)</c:v>
                </c:pt>
              </c:strCache>
            </c:strRef>
          </c:tx>
          <c:spPr>
            <a:solidFill>
              <a:srgbClr val="00706B"/>
            </a:solidFill>
            <a:ln>
              <a:solidFill>
                <a:srgbClr val="317D7D"/>
              </a:solid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Sheet1!$B$269:$F$269</c:f>
              <c:numCache>
                <c:formatCode>General</c:formatCode>
                <c:ptCount val="5"/>
                <c:pt idx="0">
                  <c:v>2021</c:v>
                </c:pt>
                <c:pt idx="1">
                  <c:v>2022</c:v>
                </c:pt>
                <c:pt idx="2">
                  <c:v>2023</c:v>
                </c:pt>
                <c:pt idx="3">
                  <c:v>2024</c:v>
                </c:pt>
                <c:pt idx="4">
                  <c:v>2025</c:v>
                </c:pt>
              </c:numCache>
            </c:numRef>
          </c:cat>
          <c:val>
            <c:numRef>
              <c:f>Sheet1!$B$271:$F$271</c:f>
              <c:numCache>
                <c:formatCode>General</c:formatCode>
                <c:ptCount val="5"/>
                <c:pt idx="0">
                  <c:v>1.5</c:v>
                </c:pt>
                <c:pt idx="1">
                  <c:v>1.8</c:v>
                </c:pt>
                <c:pt idx="2">
                  <c:v>2.1</c:v>
                </c:pt>
                <c:pt idx="3">
                  <c:v>2.5</c:v>
                </c:pt>
                <c:pt idx="4">
                  <c:v>3</c:v>
                </c:pt>
              </c:numCache>
            </c:numRef>
          </c:val>
        </c:ser>
        <c:dLbls>
          <c:showLegendKey val="0"/>
          <c:showVal val="1"/>
          <c:showCatName val="0"/>
          <c:showSerName val="0"/>
          <c:showPercent val="0"/>
          <c:showBubbleSize val="0"/>
        </c:dLbls>
        <c:gapWidth val="219"/>
        <c:overlap val="-27"/>
        <c:axId val="313420032"/>
        <c:axId val="313438208"/>
      </c:barChart>
      <c:lineChart>
        <c:grouping val="standard"/>
        <c:varyColors val="0"/>
        <c:ser>
          <c:idx val="2"/>
          <c:order val="2"/>
          <c:tx>
            <c:strRef>
              <c:f>Sheet1!$A$272</c:f>
              <c:strCache>
                <c:ptCount val="1"/>
                <c:pt idx="0">
                  <c:v>占比</c:v>
                </c:pt>
              </c:strCache>
            </c:strRef>
          </c:tx>
          <c:spPr>
            <a:ln w="28575" cap="rnd" cmpd="sng" algn="ctr">
              <a:solidFill>
                <a:schemeClr val="accent3"/>
              </a:solidFill>
              <a:prstDash val="solid"/>
              <a:round/>
            </a:ln>
            <a:effectLst/>
          </c:spPr>
          <c:marker>
            <c:symbol val="none"/>
          </c:marker>
          <c:dLbls>
            <c:dLbl>
              <c:idx val="0"/>
              <c:layout>
                <c:manualLayout>
                  <c:x val="-0.00662747815063092"/>
                  <c:y val="-0.003464690574486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62747815063097"/>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41831876708728"/>
                  <c:y val="-2.7281028151916e-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62747815063084"/>
                  <c:y val="-6.3518593426710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62747815063092"/>
                  <c:y val="6.3518593426710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Sheet1!$B$269:$F$269</c:f>
              <c:numCache>
                <c:formatCode>General</c:formatCode>
                <c:ptCount val="5"/>
                <c:pt idx="0">
                  <c:v>2021</c:v>
                </c:pt>
                <c:pt idx="1">
                  <c:v>2022</c:v>
                </c:pt>
                <c:pt idx="2">
                  <c:v>2023</c:v>
                </c:pt>
                <c:pt idx="3">
                  <c:v>2024</c:v>
                </c:pt>
                <c:pt idx="4">
                  <c:v>2025</c:v>
                </c:pt>
              </c:numCache>
            </c:numRef>
          </c:cat>
          <c:val>
            <c:numRef>
              <c:f>Sheet1!$B$272:$F$272</c:f>
              <c:numCache>
                <c:formatCode>0%</c:formatCode>
                <c:ptCount val="5"/>
                <c:pt idx="0">
                  <c:v>0.35</c:v>
                </c:pt>
                <c:pt idx="1">
                  <c:v>0.4</c:v>
                </c:pt>
                <c:pt idx="2">
                  <c:v>0.45</c:v>
                </c:pt>
                <c:pt idx="3">
                  <c:v>0.51</c:v>
                </c:pt>
                <c:pt idx="4">
                  <c:v>0.59</c:v>
                </c:pt>
              </c:numCache>
            </c:numRef>
          </c:val>
          <c:smooth val="0"/>
        </c:ser>
        <c:dLbls>
          <c:showLegendKey val="0"/>
          <c:showVal val="1"/>
          <c:showCatName val="0"/>
          <c:showSerName val="0"/>
          <c:showPercent val="0"/>
          <c:showBubbleSize val="0"/>
        </c:dLbls>
        <c:marker val="0"/>
        <c:smooth val="0"/>
        <c:axId val="313420032"/>
        <c:axId val="313438208"/>
      </c:lineChart>
      <c:catAx>
        <c:axId val="3134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438208"/>
        <c:crosses val="autoZero"/>
        <c:auto val="1"/>
        <c:lblAlgn val="ctr"/>
        <c:lblOffset val="100"/>
        <c:noMultiLvlLbl val="0"/>
      </c:catAx>
      <c:valAx>
        <c:axId val="3134382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420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ea"/>
              <a:sym typeface="+mn-lt"/>
            </a:defRPr>
          </a:pPr>
        </a:p>
      </c:txPr>
    </c:legend>
    <c:plotVisOnly val="1"/>
    <c:dispBlanksAs val="gap"/>
    <c:showDLblsOverMax val="0"/>
  </c:chart>
  <c:spPr>
    <a:noFill/>
    <a:ln w="6350" cap="flat" cmpd="sng" algn="ctr">
      <a:noFill/>
      <a:prstDash val="solid"/>
      <a:round/>
    </a:ln>
    <a:effectLst/>
  </c:spPr>
  <c:txPr>
    <a:bodyPr/>
    <a:lstStyle/>
    <a:p>
      <a:pPr>
        <a:defRPr lang="zh-CN" sz="1400" baseline="0">
          <a:latin typeface="+mn-lt"/>
          <a:ea typeface="+mn-ea"/>
          <a:cs typeface="+mn-ea"/>
          <a:sym typeface="+mn-lt"/>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Sheet1!$A$299</c:f>
              <c:strCache>
                <c:ptCount val="1"/>
                <c:pt idx="0">
                  <c:v>客运班车、旅游客车总保有量预计（万辆）</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Sheet1!$B$298:$F$298</c:f>
              <c:numCache>
                <c:formatCode>General</c:formatCode>
                <c:ptCount val="5"/>
                <c:pt idx="0">
                  <c:v>2021</c:v>
                </c:pt>
                <c:pt idx="1">
                  <c:v>2022</c:v>
                </c:pt>
                <c:pt idx="2">
                  <c:v>2023</c:v>
                </c:pt>
                <c:pt idx="3">
                  <c:v>2024</c:v>
                </c:pt>
                <c:pt idx="4">
                  <c:v>2025</c:v>
                </c:pt>
              </c:numCache>
            </c:numRef>
          </c:cat>
          <c:val>
            <c:numRef>
              <c:f>Sheet1!$B$299:$F$299</c:f>
              <c:numCache>
                <c:formatCode>General</c:formatCode>
                <c:ptCount val="5"/>
                <c:pt idx="0">
                  <c:v>2.1</c:v>
                </c:pt>
                <c:pt idx="1">
                  <c:v>2.2</c:v>
                </c:pt>
                <c:pt idx="2">
                  <c:v>2.3</c:v>
                </c:pt>
                <c:pt idx="3">
                  <c:v>2.4</c:v>
                </c:pt>
                <c:pt idx="4">
                  <c:v>2.5</c:v>
                </c:pt>
              </c:numCache>
            </c:numRef>
          </c:val>
        </c:ser>
        <c:ser>
          <c:idx val="1"/>
          <c:order val="1"/>
          <c:tx>
            <c:strRef>
              <c:f>Sheet1!$A$300</c:f>
              <c:strCache>
                <c:ptCount val="1"/>
                <c:pt idx="0">
                  <c:v>电动客运班车、旅游客车总保有量预计（万辆）</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Sheet1!$B$298:$F$298</c:f>
              <c:numCache>
                <c:formatCode>General</c:formatCode>
                <c:ptCount val="5"/>
                <c:pt idx="0">
                  <c:v>2021</c:v>
                </c:pt>
                <c:pt idx="1">
                  <c:v>2022</c:v>
                </c:pt>
                <c:pt idx="2">
                  <c:v>2023</c:v>
                </c:pt>
                <c:pt idx="3">
                  <c:v>2024</c:v>
                </c:pt>
                <c:pt idx="4">
                  <c:v>2025</c:v>
                </c:pt>
              </c:numCache>
            </c:numRef>
          </c:cat>
          <c:val>
            <c:numRef>
              <c:f>Sheet1!$B$300:$F$300</c:f>
              <c:numCache>
                <c:formatCode>General</c:formatCode>
                <c:ptCount val="5"/>
                <c:pt idx="0">
                  <c:v>0.05</c:v>
                </c:pt>
                <c:pt idx="1">
                  <c:v>0.15</c:v>
                </c:pt>
                <c:pt idx="2">
                  <c:v>0.3</c:v>
                </c:pt>
                <c:pt idx="3">
                  <c:v>0.45</c:v>
                </c:pt>
                <c:pt idx="4">
                  <c:v>0.600000000000003</c:v>
                </c:pt>
              </c:numCache>
            </c:numRef>
          </c:val>
        </c:ser>
        <c:dLbls>
          <c:showLegendKey val="0"/>
          <c:showVal val="1"/>
          <c:showCatName val="0"/>
          <c:showSerName val="0"/>
          <c:showPercent val="0"/>
          <c:showBubbleSize val="0"/>
        </c:dLbls>
        <c:gapWidth val="219"/>
        <c:overlap val="-27"/>
        <c:axId val="313489280"/>
        <c:axId val="313490816"/>
      </c:barChart>
      <c:lineChart>
        <c:grouping val="standard"/>
        <c:varyColors val="0"/>
        <c:ser>
          <c:idx val="2"/>
          <c:order val="2"/>
          <c:tx>
            <c:strRef>
              <c:f>Sheet1!$A$301</c:f>
              <c:strCache>
                <c:ptCount val="1"/>
                <c:pt idx="0">
                  <c:v>占比</c:v>
                </c:pt>
              </c:strCache>
            </c:strRef>
          </c:tx>
          <c:spPr>
            <a:ln w="28575" cap="rnd" cmpd="sng" algn="ctr">
              <a:solidFill>
                <a:schemeClr val="accent3"/>
              </a:solidFill>
              <a:prstDash val="solid"/>
              <a:round/>
            </a:ln>
            <a:effectLst/>
          </c:spPr>
          <c:marker>
            <c:symbol val="none"/>
          </c:marker>
          <c:dLbls>
            <c:dLbl>
              <c:idx val="0"/>
              <c:layout>
                <c:manualLayout>
                  <c:x val="-0.0144560896277557"/>
                  <c:y val="-0.05415651232060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Sheet1!$B$298:$F$298</c:f>
              <c:numCache>
                <c:formatCode>General</c:formatCode>
                <c:ptCount val="5"/>
                <c:pt idx="0">
                  <c:v>2021</c:v>
                </c:pt>
                <c:pt idx="1">
                  <c:v>2022</c:v>
                </c:pt>
                <c:pt idx="2">
                  <c:v>2023</c:v>
                </c:pt>
                <c:pt idx="3">
                  <c:v>2024</c:v>
                </c:pt>
                <c:pt idx="4">
                  <c:v>2025</c:v>
                </c:pt>
              </c:numCache>
            </c:numRef>
          </c:cat>
          <c:val>
            <c:numRef>
              <c:f>Sheet1!$B$301:$F$301</c:f>
              <c:numCache>
                <c:formatCode>0%</c:formatCode>
                <c:ptCount val="5"/>
                <c:pt idx="0">
                  <c:v>0.03</c:v>
                </c:pt>
                <c:pt idx="1">
                  <c:v>0.07</c:v>
                </c:pt>
                <c:pt idx="2">
                  <c:v>0.13</c:v>
                </c:pt>
                <c:pt idx="3">
                  <c:v>0.18</c:v>
                </c:pt>
                <c:pt idx="4">
                  <c:v>0.24</c:v>
                </c:pt>
              </c:numCache>
            </c:numRef>
          </c:val>
          <c:smooth val="0"/>
        </c:ser>
        <c:dLbls>
          <c:showLegendKey val="0"/>
          <c:showVal val="1"/>
          <c:showCatName val="0"/>
          <c:showSerName val="0"/>
          <c:showPercent val="0"/>
          <c:showBubbleSize val="0"/>
        </c:dLbls>
        <c:marker val="0"/>
        <c:smooth val="0"/>
        <c:axId val="313513088"/>
        <c:axId val="313514624"/>
      </c:lineChart>
      <c:catAx>
        <c:axId val="31348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490816"/>
        <c:crosses val="autoZero"/>
        <c:auto val="1"/>
        <c:lblAlgn val="ctr"/>
        <c:lblOffset val="100"/>
        <c:noMultiLvlLbl val="0"/>
      </c:catAx>
      <c:valAx>
        <c:axId val="313490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489280"/>
        <c:crosses val="autoZero"/>
        <c:crossBetween val="between"/>
      </c:valAx>
      <c:catAx>
        <c:axId val="31351308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ea"/>
                <a:sym typeface="+mn-lt"/>
              </a:defRPr>
            </a:pPr>
          </a:p>
        </c:txPr>
        <c:crossAx val="313514624"/>
        <c:crosses val="autoZero"/>
        <c:auto val="1"/>
        <c:lblAlgn val="ctr"/>
        <c:lblOffset val="100"/>
        <c:noMultiLvlLbl val="0"/>
      </c:catAx>
      <c:valAx>
        <c:axId val="313514624"/>
        <c:scaling>
          <c:orientation val="minMax"/>
        </c:scaling>
        <c:delete val="0"/>
        <c:axPos val="r"/>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513088"/>
        <c:crosses val="max"/>
        <c:crossBetween val="between"/>
      </c:valAx>
      <c:spPr>
        <a:noFill/>
        <a:ln>
          <a:noFill/>
        </a:ln>
        <a:effectLst/>
      </c:spPr>
    </c:plotArea>
    <c:legend>
      <c:legendPos val="b"/>
      <c:layout>
        <c:manualLayout>
          <c:xMode val="edge"/>
          <c:yMode val="edge"/>
          <c:x val="0.276472714130828"/>
          <c:y val="0.743839696723532"/>
          <c:w val="0.467413564630767"/>
          <c:h val="0.220958570268075"/>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ea"/>
              <a:sym typeface="+mn-lt"/>
            </a:defRPr>
          </a:pPr>
        </a:p>
      </c:txPr>
    </c:legend>
    <c:plotVisOnly val="1"/>
    <c:dispBlanksAs val="gap"/>
    <c:showDLblsOverMax val="0"/>
  </c:chart>
  <c:spPr>
    <a:noFill/>
    <a:ln w="6350" cap="flat" cmpd="sng" algn="ctr">
      <a:noFill/>
      <a:prstDash val="solid"/>
      <a:round/>
    </a:ln>
    <a:effectLst/>
  </c:spPr>
  <c:txPr>
    <a:bodyPr/>
    <a:lstStyle/>
    <a:p>
      <a:pPr>
        <a:defRPr lang="zh-CN" sz="1400" baseline="0">
          <a:latin typeface="+mn-lt"/>
          <a:ea typeface="+mn-ea"/>
          <a:cs typeface="+mn-ea"/>
          <a:sym typeface="+mn-lt"/>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Sheet1!$A$52</c:f>
              <c:strCache>
                <c:ptCount val="1"/>
                <c:pt idx="0">
                  <c:v>陕西地区生产总值（亿元）</c:v>
                </c:pt>
              </c:strCache>
            </c:strRef>
          </c:tx>
          <c:spPr>
            <a:ln w="22225" cap="rnd" cmpd="sng" algn="ctr">
              <a:solidFill>
                <a:srgbClr val="00706B"/>
              </a:solidFill>
              <a:prstDash val="solid"/>
              <a:round/>
            </a:ln>
            <a:effectLst/>
          </c:spPr>
          <c:marker>
            <c:symbol val="diamond"/>
            <c:size val="6"/>
            <c:spPr>
              <a:solidFill>
                <a:srgbClr val="00706B"/>
              </a:solidFill>
              <a:ln w="9525" cap="flat" cmpd="sng" algn="ctr">
                <a:solidFill>
                  <a:srgbClr val="00706B"/>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Sheet1!$B$51:$L$51</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Sheet1!$B$52:$L$52</c:f>
              <c:numCache>
                <c:formatCode>General</c:formatCode>
                <c:ptCount val="11"/>
                <c:pt idx="0">
                  <c:v>25793</c:v>
                </c:pt>
                <c:pt idx="1">
                  <c:v>23941</c:v>
                </c:pt>
                <c:pt idx="2">
                  <c:v>21898</c:v>
                </c:pt>
                <c:pt idx="3">
                  <c:v>19399</c:v>
                </c:pt>
                <c:pt idx="4">
                  <c:v>18021</c:v>
                </c:pt>
                <c:pt idx="5">
                  <c:v>17689</c:v>
                </c:pt>
                <c:pt idx="6">
                  <c:v>16205</c:v>
                </c:pt>
                <c:pt idx="7">
                  <c:v>14453</c:v>
                </c:pt>
                <c:pt idx="8">
                  <c:v>12512</c:v>
                </c:pt>
                <c:pt idx="9">
                  <c:v>10123</c:v>
                </c:pt>
                <c:pt idx="10">
                  <c:v>8169</c:v>
                </c:pt>
              </c:numCache>
            </c:numRef>
          </c:val>
          <c:smooth val="0"/>
        </c:ser>
        <c:ser>
          <c:idx val="1"/>
          <c:order val="1"/>
          <c:tx>
            <c:strRef>
              <c:f>Sheet1!$A$53</c:f>
              <c:strCache>
                <c:ptCount val="1"/>
                <c:pt idx="0">
                  <c:v>全国生产总值（亿元）</c:v>
                </c:pt>
              </c:strCache>
            </c:strRef>
          </c:tx>
          <c:spPr>
            <a:ln w="22225" cap="rnd" cmpd="sng" algn="ctr">
              <a:solidFill>
                <a:srgbClr val="FFC000"/>
              </a:solidFill>
              <a:prstDash val="solid"/>
              <a:round/>
            </a:ln>
            <a:effectLst/>
          </c:spPr>
          <c:marker>
            <c:symbol val="square"/>
            <c:size val="6"/>
            <c:spPr>
              <a:solidFill>
                <a:srgbClr val="FFC000"/>
              </a:solidFill>
              <a:ln w="9525" cap="flat" cmpd="sng" algn="ctr">
                <a:solidFill>
                  <a:srgbClr val="FFC000"/>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Sheet1!$B$51:$L$51</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Sheet1!$B$53:$L$53</c:f>
              <c:numCache>
                <c:formatCode>General</c:formatCode>
                <c:ptCount val="11"/>
                <c:pt idx="0">
                  <c:v>988528</c:v>
                </c:pt>
                <c:pt idx="1">
                  <c:v>914327</c:v>
                </c:pt>
                <c:pt idx="2">
                  <c:v>831381</c:v>
                </c:pt>
                <c:pt idx="3">
                  <c:v>743408</c:v>
                </c:pt>
                <c:pt idx="4">
                  <c:v>686255</c:v>
                </c:pt>
                <c:pt idx="5">
                  <c:v>644380</c:v>
                </c:pt>
                <c:pt idx="6">
                  <c:v>588141</c:v>
                </c:pt>
                <c:pt idx="7">
                  <c:v>537329</c:v>
                </c:pt>
                <c:pt idx="8">
                  <c:v>483392</c:v>
                </c:pt>
                <c:pt idx="9">
                  <c:v>410354</c:v>
                </c:pt>
                <c:pt idx="10">
                  <c:v>347934</c:v>
                </c:pt>
              </c:numCache>
            </c:numRef>
          </c:val>
          <c:smooth val="0"/>
        </c:ser>
        <c:dLbls>
          <c:showLegendKey val="0"/>
          <c:showVal val="1"/>
          <c:showCatName val="0"/>
          <c:showSerName val="0"/>
          <c:showPercent val="0"/>
          <c:showBubbleSize val="0"/>
        </c:dLbls>
        <c:marker val="1"/>
        <c:smooth val="0"/>
        <c:axId val="282284800"/>
        <c:axId val="282286720"/>
      </c:lineChart>
      <c:catAx>
        <c:axId val="282284800"/>
        <c:scaling>
          <c:orientation val="maxMin"/>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2286720"/>
        <c:crosses val="autoZero"/>
        <c:auto val="1"/>
        <c:lblAlgn val="ctr"/>
        <c:lblOffset val="100"/>
        <c:noMultiLvlLbl val="0"/>
      </c:catAx>
      <c:valAx>
        <c:axId val="282286720"/>
        <c:scaling>
          <c:orientation val="minMax"/>
        </c:scaling>
        <c:delete val="0"/>
        <c:axPos val="r"/>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228480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Sheet1!$A$309</c:f>
              <c:strCache>
                <c:ptCount val="1"/>
                <c:pt idx="0">
                  <c:v>网约车总保有量预计（万辆）</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Sheet1!$B$308:$F$308</c:f>
              <c:numCache>
                <c:formatCode>General</c:formatCode>
                <c:ptCount val="5"/>
                <c:pt idx="0">
                  <c:v>2021</c:v>
                </c:pt>
                <c:pt idx="1">
                  <c:v>2022</c:v>
                </c:pt>
                <c:pt idx="2">
                  <c:v>2023</c:v>
                </c:pt>
                <c:pt idx="3">
                  <c:v>2024</c:v>
                </c:pt>
                <c:pt idx="4">
                  <c:v>2025</c:v>
                </c:pt>
              </c:numCache>
            </c:numRef>
          </c:cat>
          <c:val>
            <c:numRef>
              <c:f>Sheet1!$B$309:$F$309</c:f>
              <c:numCache>
                <c:formatCode>General</c:formatCode>
                <c:ptCount val="5"/>
                <c:pt idx="0">
                  <c:v>3.2</c:v>
                </c:pt>
                <c:pt idx="1">
                  <c:v>3.4</c:v>
                </c:pt>
                <c:pt idx="2">
                  <c:v>3.7</c:v>
                </c:pt>
                <c:pt idx="3">
                  <c:v>4</c:v>
                </c:pt>
                <c:pt idx="4">
                  <c:v>4.5</c:v>
                </c:pt>
              </c:numCache>
            </c:numRef>
          </c:val>
        </c:ser>
        <c:ser>
          <c:idx val="1"/>
          <c:order val="1"/>
          <c:tx>
            <c:strRef>
              <c:f>Sheet1!$A$310</c:f>
              <c:strCache>
                <c:ptCount val="1"/>
                <c:pt idx="0">
                  <c:v>电动网约车保有量(万辆)</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Sheet1!$B$308:$F$308</c:f>
              <c:numCache>
                <c:formatCode>General</c:formatCode>
                <c:ptCount val="5"/>
                <c:pt idx="0">
                  <c:v>2021</c:v>
                </c:pt>
                <c:pt idx="1">
                  <c:v>2022</c:v>
                </c:pt>
                <c:pt idx="2">
                  <c:v>2023</c:v>
                </c:pt>
                <c:pt idx="3">
                  <c:v>2024</c:v>
                </c:pt>
                <c:pt idx="4">
                  <c:v>2025</c:v>
                </c:pt>
              </c:numCache>
            </c:numRef>
          </c:cat>
          <c:val>
            <c:numRef>
              <c:f>Sheet1!$B$310:$F$310</c:f>
              <c:numCache>
                <c:formatCode>General</c:formatCode>
                <c:ptCount val="5"/>
                <c:pt idx="0">
                  <c:v>2</c:v>
                </c:pt>
                <c:pt idx="1">
                  <c:v>2.2</c:v>
                </c:pt>
                <c:pt idx="2">
                  <c:v>2.4</c:v>
                </c:pt>
                <c:pt idx="3">
                  <c:v>2.7</c:v>
                </c:pt>
                <c:pt idx="4">
                  <c:v>3</c:v>
                </c:pt>
              </c:numCache>
            </c:numRef>
          </c:val>
        </c:ser>
        <c:dLbls>
          <c:showLegendKey val="0"/>
          <c:showVal val="1"/>
          <c:showCatName val="0"/>
          <c:showSerName val="0"/>
          <c:showPercent val="0"/>
          <c:showBubbleSize val="0"/>
        </c:dLbls>
        <c:gapWidth val="219"/>
        <c:overlap val="-27"/>
        <c:axId val="313601408"/>
        <c:axId val="313623680"/>
      </c:barChart>
      <c:lineChart>
        <c:grouping val="standard"/>
        <c:varyColors val="0"/>
        <c:ser>
          <c:idx val="2"/>
          <c:order val="2"/>
          <c:tx>
            <c:strRef>
              <c:f>Sheet1!$A$311</c:f>
              <c:strCache>
                <c:ptCount val="1"/>
                <c:pt idx="0">
                  <c:v>占比</c:v>
                </c:pt>
              </c:strCache>
            </c:strRef>
          </c:tx>
          <c:spPr>
            <a:ln w="28575" cap="rnd" cmpd="sng" algn="ctr">
              <a:solidFill>
                <a:schemeClr val="accent3"/>
              </a:solidFill>
              <a:prstDash val="solid"/>
              <a:round/>
            </a:ln>
            <a:effectLst/>
          </c:spPr>
          <c:marker>
            <c:symbol val="none"/>
          </c:marker>
          <c:dLbls>
            <c:dLbl>
              <c:idx val="0"/>
              <c:layout>
                <c:manualLayout>
                  <c:x val="-0.0154596571607075"/>
                  <c:y val="-0.01126860310876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4986864218381"/>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4061359808341"/>
                  <c:y val="-0.0479942693409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4061359808341"/>
                  <c:y val="-0.06267908309455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5908717960138"/>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bg1"/>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Sheet1!$B$308:$F$308</c:f>
              <c:numCache>
                <c:formatCode>General</c:formatCode>
                <c:ptCount val="5"/>
                <c:pt idx="0">
                  <c:v>2021</c:v>
                </c:pt>
                <c:pt idx="1">
                  <c:v>2022</c:v>
                </c:pt>
                <c:pt idx="2">
                  <c:v>2023</c:v>
                </c:pt>
                <c:pt idx="3">
                  <c:v>2024</c:v>
                </c:pt>
                <c:pt idx="4">
                  <c:v>2025</c:v>
                </c:pt>
              </c:numCache>
            </c:numRef>
          </c:cat>
          <c:val>
            <c:numRef>
              <c:f>Sheet1!$B$311:$F$311</c:f>
              <c:numCache>
                <c:formatCode>0.00%</c:formatCode>
                <c:ptCount val="5"/>
                <c:pt idx="0">
                  <c:v>0.625000000000003</c:v>
                </c:pt>
                <c:pt idx="1" c:formatCode="0%">
                  <c:v>0.650000000000003</c:v>
                </c:pt>
                <c:pt idx="2" c:formatCode="0%">
                  <c:v>0.650000000000003</c:v>
                </c:pt>
                <c:pt idx="3" c:formatCode="0%">
                  <c:v>0.670000000000004</c:v>
                </c:pt>
                <c:pt idx="4" c:formatCode="0%">
                  <c:v>0.670000000000004</c:v>
                </c:pt>
              </c:numCache>
            </c:numRef>
          </c:val>
          <c:smooth val="0"/>
        </c:ser>
        <c:dLbls>
          <c:showLegendKey val="0"/>
          <c:showVal val="1"/>
          <c:showCatName val="0"/>
          <c:showSerName val="0"/>
          <c:showPercent val="0"/>
          <c:showBubbleSize val="0"/>
        </c:dLbls>
        <c:marker val="0"/>
        <c:smooth val="0"/>
        <c:axId val="313601408"/>
        <c:axId val="313623680"/>
      </c:lineChart>
      <c:catAx>
        <c:axId val="3136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623680"/>
        <c:crosses val="autoZero"/>
        <c:auto val="1"/>
        <c:lblAlgn val="ctr"/>
        <c:lblOffset val="100"/>
        <c:noMultiLvlLbl val="0"/>
      </c:catAx>
      <c:valAx>
        <c:axId val="313623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60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ea"/>
              <a:sym typeface="+mn-lt"/>
            </a:defRPr>
          </a:pPr>
        </a:p>
      </c:txPr>
    </c:legend>
    <c:plotVisOnly val="1"/>
    <c:dispBlanksAs val="gap"/>
    <c:showDLblsOverMax val="0"/>
  </c:chart>
  <c:spPr>
    <a:noFill/>
    <a:ln w="6350" cap="flat" cmpd="sng" algn="ctr">
      <a:noFill/>
      <a:prstDash val="solid"/>
      <a:round/>
    </a:ln>
    <a:effectLst/>
  </c:spPr>
  <c:txPr>
    <a:bodyPr/>
    <a:lstStyle/>
    <a:p>
      <a:pPr>
        <a:defRPr lang="zh-CN" sz="1400" baseline="0">
          <a:latin typeface="+mn-lt"/>
          <a:ea typeface="+mn-ea"/>
          <a:cs typeface="+mn-ea"/>
          <a:sym typeface="+mn-lt"/>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Sheet1!$A$358</c:f>
              <c:strCache>
                <c:ptCount val="1"/>
                <c:pt idx="0">
                  <c:v>环卫车总保有量预计（辆）</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Sheet1!$B$357:$F$357</c:f>
              <c:numCache>
                <c:formatCode>General</c:formatCode>
                <c:ptCount val="5"/>
                <c:pt idx="0">
                  <c:v>2021</c:v>
                </c:pt>
                <c:pt idx="1">
                  <c:v>2022</c:v>
                </c:pt>
                <c:pt idx="2">
                  <c:v>2023</c:v>
                </c:pt>
                <c:pt idx="3">
                  <c:v>2024</c:v>
                </c:pt>
                <c:pt idx="4">
                  <c:v>2025</c:v>
                </c:pt>
              </c:numCache>
            </c:numRef>
          </c:cat>
          <c:val>
            <c:numRef>
              <c:f>Sheet1!$B$358:$F$358</c:f>
              <c:numCache>
                <c:formatCode>General</c:formatCode>
                <c:ptCount val="5"/>
                <c:pt idx="0">
                  <c:v>6500</c:v>
                </c:pt>
                <c:pt idx="1">
                  <c:v>7000</c:v>
                </c:pt>
                <c:pt idx="2">
                  <c:v>7500</c:v>
                </c:pt>
                <c:pt idx="3">
                  <c:v>8000</c:v>
                </c:pt>
                <c:pt idx="4">
                  <c:v>8500</c:v>
                </c:pt>
              </c:numCache>
            </c:numRef>
          </c:val>
        </c:ser>
        <c:ser>
          <c:idx val="1"/>
          <c:order val="1"/>
          <c:tx>
            <c:strRef>
              <c:f>Sheet1!$A$359</c:f>
              <c:strCache>
                <c:ptCount val="1"/>
                <c:pt idx="0">
                  <c:v>电动环卫车保有量（辆）</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Sheet1!$B$357:$F$357</c:f>
              <c:numCache>
                <c:formatCode>General</c:formatCode>
                <c:ptCount val="5"/>
                <c:pt idx="0">
                  <c:v>2021</c:v>
                </c:pt>
                <c:pt idx="1">
                  <c:v>2022</c:v>
                </c:pt>
                <c:pt idx="2">
                  <c:v>2023</c:v>
                </c:pt>
                <c:pt idx="3">
                  <c:v>2024</c:v>
                </c:pt>
                <c:pt idx="4">
                  <c:v>2025</c:v>
                </c:pt>
              </c:numCache>
            </c:numRef>
          </c:cat>
          <c:val>
            <c:numRef>
              <c:f>Sheet1!$B$359:$F$359</c:f>
              <c:numCache>
                <c:formatCode>General</c:formatCode>
                <c:ptCount val="5"/>
                <c:pt idx="0">
                  <c:v>700</c:v>
                </c:pt>
                <c:pt idx="1">
                  <c:v>900</c:v>
                </c:pt>
                <c:pt idx="2">
                  <c:v>1200</c:v>
                </c:pt>
                <c:pt idx="3">
                  <c:v>1500</c:v>
                </c:pt>
                <c:pt idx="4">
                  <c:v>1800</c:v>
                </c:pt>
              </c:numCache>
            </c:numRef>
          </c:val>
        </c:ser>
        <c:dLbls>
          <c:showLegendKey val="0"/>
          <c:showVal val="1"/>
          <c:showCatName val="0"/>
          <c:showSerName val="0"/>
          <c:showPercent val="0"/>
          <c:showBubbleSize val="0"/>
        </c:dLbls>
        <c:gapWidth val="219"/>
        <c:overlap val="-27"/>
        <c:axId val="313654272"/>
        <c:axId val="313668352"/>
      </c:barChart>
      <c:lineChart>
        <c:grouping val="standard"/>
        <c:varyColors val="0"/>
        <c:ser>
          <c:idx val="2"/>
          <c:order val="2"/>
          <c:tx>
            <c:strRef>
              <c:f>Sheet1!$A$360</c:f>
              <c:strCache>
                <c:ptCount val="1"/>
                <c:pt idx="0">
                  <c:v>占比</c:v>
                </c:pt>
              </c:strCache>
            </c:strRef>
          </c:tx>
          <c:spPr>
            <a:ln w="28575" cap="rnd" cmpd="sng" algn="ctr">
              <a:solidFill>
                <a:schemeClr val="accent3"/>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sym typeface="+mn-lt"/>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Sheet1!$B$357:$F$357</c:f>
              <c:numCache>
                <c:formatCode>General</c:formatCode>
                <c:ptCount val="5"/>
                <c:pt idx="0">
                  <c:v>2021</c:v>
                </c:pt>
                <c:pt idx="1">
                  <c:v>2022</c:v>
                </c:pt>
                <c:pt idx="2">
                  <c:v>2023</c:v>
                </c:pt>
                <c:pt idx="3">
                  <c:v>2024</c:v>
                </c:pt>
                <c:pt idx="4">
                  <c:v>2025</c:v>
                </c:pt>
              </c:numCache>
            </c:numRef>
          </c:cat>
          <c:val>
            <c:numRef>
              <c:f>Sheet1!$B$360:$F$360</c:f>
              <c:numCache>
                <c:formatCode>0%</c:formatCode>
                <c:ptCount val="5"/>
                <c:pt idx="0">
                  <c:v>0.1</c:v>
                </c:pt>
                <c:pt idx="1">
                  <c:v>0.13</c:v>
                </c:pt>
                <c:pt idx="2">
                  <c:v>0.16</c:v>
                </c:pt>
                <c:pt idx="3">
                  <c:v>0.19</c:v>
                </c:pt>
                <c:pt idx="4">
                  <c:v>0.21</c:v>
                </c:pt>
              </c:numCache>
            </c:numRef>
          </c:val>
          <c:smooth val="0"/>
        </c:ser>
        <c:dLbls>
          <c:showLegendKey val="0"/>
          <c:showVal val="1"/>
          <c:showCatName val="0"/>
          <c:showSerName val="0"/>
          <c:showPercent val="0"/>
          <c:showBubbleSize val="0"/>
        </c:dLbls>
        <c:marker val="0"/>
        <c:smooth val="0"/>
        <c:axId val="313669888"/>
        <c:axId val="313675776"/>
      </c:lineChart>
      <c:catAx>
        <c:axId val="31365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668352"/>
        <c:crosses val="autoZero"/>
        <c:auto val="1"/>
        <c:lblAlgn val="ctr"/>
        <c:lblOffset val="100"/>
        <c:noMultiLvlLbl val="0"/>
      </c:catAx>
      <c:valAx>
        <c:axId val="313668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654272"/>
        <c:crosses val="autoZero"/>
        <c:crossBetween val="between"/>
      </c:valAx>
      <c:catAx>
        <c:axId val="31366988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400" b="0" i="0" u="none" strike="noStrike" kern="1200" baseline="0">
                <a:solidFill>
                  <a:schemeClr val="tx1"/>
                </a:solidFill>
                <a:latin typeface="+mn-lt"/>
                <a:ea typeface="+mn-ea"/>
                <a:cs typeface="+mn-ea"/>
                <a:sym typeface="+mn-lt"/>
              </a:defRPr>
            </a:pPr>
          </a:p>
        </c:txPr>
        <c:crossAx val="313675776"/>
        <c:crosses val="autoZero"/>
        <c:auto val="1"/>
        <c:lblAlgn val="ctr"/>
        <c:lblOffset val="100"/>
        <c:noMultiLvlLbl val="0"/>
      </c:catAx>
      <c:valAx>
        <c:axId val="313675776"/>
        <c:scaling>
          <c:orientation val="minMax"/>
        </c:scaling>
        <c:delete val="0"/>
        <c:axPos val="r"/>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sym typeface="+mn-lt"/>
              </a:defRPr>
            </a:pPr>
          </a:p>
        </c:txPr>
        <c:crossAx val="31366988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ea"/>
              <a:sym typeface="+mn-lt"/>
            </a:defRPr>
          </a:pPr>
        </a:p>
      </c:txPr>
    </c:legend>
    <c:plotVisOnly val="1"/>
    <c:dispBlanksAs val="gap"/>
    <c:showDLblsOverMax val="0"/>
  </c:chart>
  <c:spPr>
    <a:noFill/>
    <a:ln w="6350" cap="flat" cmpd="sng" algn="ctr">
      <a:noFill/>
      <a:prstDash val="solid"/>
      <a:round/>
    </a:ln>
    <a:effectLst/>
  </c:spPr>
  <c:txPr>
    <a:bodyPr/>
    <a:lstStyle/>
    <a:p>
      <a:pPr>
        <a:defRPr lang="zh-CN" sz="1400" baseline="0">
          <a:latin typeface="+mn-lt"/>
          <a:ea typeface="+mn-ea"/>
          <a:cs typeface="+mn-ea"/>
          <a:sym typeface="+mn-lt"/>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Sheet1!$F$22</c:f>
              <c:strCache>
                <c:ptCount val="1"/>
                <c:pt idx="0">
                  <c:v>占比%</c:v>
                </c:pt>
              </c:strCache>
            </c:strRef>
          </c:tx>
          <c:explosion val="0"/>
          <c:dPt>
            <c:idx val="0"/>
            <c:bubble3D val="0"/>
            <c:spPr>
              <a:solidFill>
                <a:srgbClr val="00706B"/>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1" vertOverflow="ellipsis" vert="horz" wrap="square" lIns="38100" tIns="19050" rIns="38100" bIns="19050" anchor="ctr" anchorCtr="1">
                    <a:spAutoFit/>
                  </a:bodyPr>
                  <a:lstStyle/>
                  <a:p>
                    <a:pPr>
                      <a:defRPr lang="zh-CN" sz="1400" b="0" i="0" u="none" strike="noStrike" kern="1200" baseline="0">
                        <a:solidFill>
                          <a:schemeClr val="bg1"/>
                        </a:solidFill>
                        <a:latin typeface="Times New Roman" panose="02020603050405020304" charset="0"/>
                        <a:ea typeface="+mn-ea"/>
                        <a:cs typeface="Times New Roman" panose="02020603050405020304" charset="0"/>
                      </a:defRPr>
                    </a:pPr>
                    <a:r>
                      <a:rPr altLang="en-US"/>
                      <a:t>87.7</a:t>
                    </a:r>
                    <a:r>
                      <a:rPr lang="en-US" altLang="zh-CN"/>
                      <a:t>%</a:t>
                    </a:r>
                    <a:endParaRPr altLang="en-US"/>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bg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249155625261969"/>
                  <c:y val="0.0086857915763413"/>
                </c:manualLayout>
              </c:layout>
              <c:tx>
                <c:rich>
                  <a:bodyPr rot="0" spcFirstLastPara="1"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altLang="en-US"/>
                      <a:t>4.6</a:t>
                    </a:r>
                    <a:r>
                      <a:rPr lang="en-US" altLang="zh-CN"/>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1888253233001"/>
                  <c:y val="-0.0205389348316179"/>
                </c:manualLayout>
              </c:layout>
              <c:tx>
                <c:rich>
                  <a:bodyPr rot="0" spcFirstLastPara="1" vertOverflow="ellipsis" vert="horz" wrap="square" lIns="38100" tIns="19050" rIns="38100" bIns="19050" anchor="ctr" anchorCtr="1">
                    <a:spAutoFit/>
                  </a:bodyPr>
                  <a:lstStyle/>
                  <a:p>
                    <a:pPr>
                      <a:defRPr lang="zh-CN" sz="1400" b="0" i="0" u="none" strike="noStrike" kern="1200" baseline="0">
                        <a:solidFill>
                          <a:schemeClr val="bg1"/>
                        </a:solidFill>
                        <a:latin typeface="Times New Roman" panose="02020603050405020304" charset="0"/>
                        <a:ea typeface="+mn-ea"/>
                        <a:cs typeface="Times New Roman" panose="02020603050405020304" charset="0"/>
                      </a:defRPr>
                    </a:pPr>
                    <a:r>
                      <a:rPr altLang="en-US">
                        <a:solidFill>
                          <a:sysClr val="windowText" lastClr="000000"/>
                        </a:solidFill>
                      </a:rPr>
                      <a:t>7.7</a:t>
                    </a:r>
                    <a:r>
                      <a:rPr lang="en-US" altLang="zh-CN">
                        <a:solidFill>
                          <a:sysClr val="windowText" lastClr="000000"/>
                        </a:solidFill>
                      </a:rPr>
                      <a:t>%</a:t>
                    </a:r>
                    <a:endParaRPr altLang="en-US">
                      <a:solidFill>
                        <a:sysClr val="windowText" lastClr="000000"/>
                      </a:solidFill>
                    </a:endParaRP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bg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Sheet1!$E$23:$E$25</c:f>
              <c:strCache>
                <c:ptCount val="3"/>
                <c:pt idx="0">
                  <c:v>关中</c:v>
                </c:pt>
                <c:pt idx="1">
                  <c:v>陕南</c:v>
                </c:pt>
                <c:pt idx="2">
                  <c:v>陕北</c:v>
                </c:pt>
              </c:strCache>
            </c:strRef>
          </c:cat>
          <c:val>
            <c:numRef>
              <c:f>Sheet1!$F$23:$F$25</c:f>
              <c:numCache>
                <c:formatCode>General</c:formatCode>
                <c:ptCount val="3"/>
                <c:pt idx="0">
                  <c:v>87.7</c:v>
                </c:pt>
                <c:pt idx="1">
                  <c:v>4.6</c:v>
                </c:pt>
                <c:pt idx="2">
                  <c:v>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Sheet1!$G$1</c:f>
              <c:strCache>
                <c:ptCount val="1"/>
                <c:pt idx="0">
                  <c:v>“十四五”末保有量（万辆）</c:v>
                </c:pt>
              </c:strCache>
            </c:strRef>
          </c:tx>
          <c:spPr>
            <a:solidFill>
              <a:srgbClr val="0070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微软雅黑" panose="020B0503020204020204" pitchFamily="3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Sheet1!$F$2:$F$12</c:f>
              <c:strCache>
                <c:ptCount val="11"/>
                <c:pt idx="0">
                  <c:v>西安市</c:v>
                </c:pt>
                <c:pt idx="1">
                  <c:v>铜川市</c:v>
                </c:pt>
                <c:pt idx="2">
                  <c:v>宝鸡市</c:v>
                </c:pt>
                <c:pt idx="3">
                  <c:v>咸阳市</c:v>
                </c:pt>
                <c:pt idx="4">
                  <c:v>渭南市</c:v>
                </c:pt>
                <c:pt idx="5">
                  <c:v>杨凌示范区</c:v>
                </c:pt>
                <c:pt idx="6">
                  <c:v>汉中市</c:v>
                </c:pt>
                <c:pt idx="7">
                  <c:v>安康市</c:v>
                </c:pt>
                <c:pt idx="8">
                  <c:v>商洛市</c:v>
                </c:pt>
                <c:pt idx="9">
                  <c:v>延安市</c:v>
                </c:pt>
                <c:pt idx="10">
                  <c:v>榆林市</c:v>
                </c:pt>
              </c:strCache>
            </c:strRef>
          </c:cat>
          <c:val>
            <c:numRef>
              <c:f>Sheet1!$G$2:$G$12</c:f>
              <c:numCache>
                <c:formatCode>General</c:formatCode>
                <c:ptCount val="11"/>
                <c:pt idx="0">
                  <c:v>40.83</c:v>
                </c:pt>
                <c:pt idx="1">
                  <c:v>0.670000000000004</c:v>
                </c:pt>
                <c:pt idx="2">
                  <c:v>3.41</c:v>
                </c:pt>
                <c:pt idx="3">
                  <c:v>3.6</c:v>
                </c:pt>
                <c:pt idx="4">
                  <c:v>3.76</c:v>
                </c:pt>
                <c:pt idx="5">
                  <c:v>0.390000000000002</c:v>
                </c:pt>
                <c:pt idx="6">
                  <c:v>1.29</c:v>
                </c:pt>
                <c:pt idx="7">
                  <c:v>0.89</c:v>
                </c:pt>
                <c:pt idx="8">
                  <c:v>0.570000000000002</c:v>
                </c:pt>
                <c:pt idx="9">
                  <c:v>1.42</c:v>
                </c:pt>
                <c:pt idx="10">
                  <c:v>3.17</c:v>
                </c:pt>
              </c:numCache>
            </c:numRef>
          </c:val>
        </c:ser>
        <c:dLbls>
          <c:showLegendKey val="0"/>
          <c:showVal val="1"/>
          <c:showCatName val="0"/>
          <c:showSerName val="0"/>
          <c:showPercent val="0"/>
          <c:showBubbleSize val="0"/>
        </c:dLbls>
        <c:gapWidth val="219"/>
        <c:overlap val="-27"/>
        <c:axId val="313752960"/>
        <c:axId val="313758848"/>
      </c:barChart>
      <c:catAx>
        <c:axId val="31375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ea"/>
                <a:ea typeface="+mn-ea"/>
                <a:cs typeface="+mn-cs"/>
              </a:defRPr>
            </a:pPr>
          </a:p>
        </c:txPr>
        <c:crossAx val="313758848"/>
        <c:crosses val="autoZero"/>
        <c:auto val="1"/>
        <c:lblAlgn val="ctr"/>
        <c:lblOffset val="100"/>
        <c:noMultiLvlLbl val="0"/>
      </c:catAx>
      <c:valAx>
        <c:axId val="313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微软雅黑" panose="020B0503020204020204" pitchFamily="34" charset="-122"/>
                <a:cs typeface="Times New Roman" panose="02020603050405020304" charset="0"/>
              </a:defRPr>
            </a:pPr>
          </a:p>
        </c:txPr>
        <c:crossAx val="31375296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baseline="0">
          <a:latin typeface="Times New Roman" panose="02020603050405020304" charset="0"/>
          <a:ea typeface="微软雅黑" panose="020B0503020204020204" pitchFamily="34" charset="-122"/>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乡镇公用充电站（座）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Sheet1!$B$1:$G$1</c:f>
              <c:strCache>
                <c:ptCount val="6"/>
                <c:pt idx="0">
                  <c:v>2021</c:v>
                </c:pt>
                <c:pt idx="1">
                  <c:v>2022</c:v>
                </c:pt>
                <c:pt idx="2">
                  <c:v>2023</c:v>
                </c:pt>
                <c:pt idx="3">
                  <c:v>2024</c:v>
                </c:pt>
                <c:pt idx="4">
                  <c:v>2025</c:v>
                </c:pt>
                <c:pt idx="5">
                  <c:v>“十四五”新增</c:v>
                </c:pt>
              </c:strCache>
            </c:strRef>
          </c:cat>
          <c:val>
            <c:numRef>
              <c:f>Sheet1!$B$2:$G$2</c:f>
              <c:numCache>
                <c:formatCode>General</c:formatCode>
                <c:ptCount val="6"/>
                <c:pt idx="0">
                  <c:v>200</c:v>
                </c:pt>
                <c:pt idx="1">
                  <c:v>200</c:v>
                </c:pt>
                <c:pt idx="2">
                  <c:v>200</c:v>
                </c:pt>
                <c:pt idx="3">
                  <c:v>200</c:v>
                </c:pt>
                <c:pt idx="4">
                  <c:v>196</c:v>
                </c:pt>
                <c:pt idx="5">
                  <c:v>996</c:v>
                </c:pt>
              </c:numCache>
            </c:numRef>
          </c:val>
        </c:ser>
        <c:ser>
          <c:idx val="1"/>
          <c:order val="1"/>
          <c:tx>
            <c:strRef>
              <c:f>Sheet1!$A$3</c:f>
              <c:strCache>
                <c:ptCount val="1"/>
                <c:pt idx="0">
                  <c:v>村组公用充电桩（根）</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Sheet1!$B$1:$G$1</c:f>
              <c:strCache>
                <c:ptCount val="6"/>
                <c:pt idx="0">
                  <c:v>2021</c:v>
                </c:pt>
                <c:pt idx="1">
                  <c:v>2022</c:v>
                </c:pt>
                <c:pt idx="2">
                  <c:v>2023</c:v>
                </c:pt>
                <c:pt idx="3">
                  <c:v>2024</c:v>
                </c:pt>
                <c:pt idx="4">
                  <c:v>2025</c:v>
                </c:pt>
                <c:pt idx="5">
                  <c:v>“十四五”新增</c:v>
                </c:pt>
              </c:strCache>
            </c:strRef>
          </c:cat>
          <c:val>
            <c:numRef>
              <c:f>Sheet1!$B$3:$G$3</c:f>
              <c:numCache>
                <c:formatCode>General</c:formatCode>
                <c:ptCount val="6"/>
                <c:pt idx="0">
                  <c:v>440</c:v>
                </c:pt>
                <c:pt idx="1">
                  <c:v>440</c:v>
                </c:pt>
                <c:pt idx="2">
                  <c:v>440</c:v>
                </c:pt>
                <c:pt idx="3">
                  <c:v>440</c:v>
                </c:pt>
                <c:pt idx="4">
                  <c:v>440</c:v>
                </c:pt>
                <c:pt idx="5">
                  <c:v>2200</c:v>
                </c:pt>
              </c:numCache>
            </c:numRef>
          </c:val>
        </c:ser>
        <c:ser>
          <c:idx val="2"/>
          <c:order val="2"/>
          <c:tx>
            <c:strRef>
              <c:f>Sheet1!$A$4</c:f>
              <c:strCache>
                <c:ptCount val="1"/>
                <c:pt idx="0">
                  <c:v>以上所含充电桩（60kW）总数（根）</c:v>
                </c:pt>
              </c:strCache>
            </c:strRef>
          </c:tx>
          <c:spPr>
            <a:solidFill>
              <a:srgbClr val="008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Sheet1!$B$1:$G$1</c:f>
              <c:strCache>
                <c:ptCount val="6"/>
                <c:pt idx="0">
                  <c:v>2021</c:v>
                </c:pt>
                <c:pt idx="1">
                  <c:v>2022</c:v>
                </c:pt>
                <c:pt idx="2">
                  <c:v>2023</c:v>
                </c:pt>
                <c:pt idx="3">
                  <c:v>2024</c:v>
                </c:pt>
                <c:pt idx="4">
                  <c:v>2025</c:v>
                </c:pt>
                <c:pt idx="5">
                  <c:v>“十四五”新增</c:v>
                </c:pt>
              </c:strCache>
            </c:strRef>
          </c:cat>
          <c:val>
            <c:numRef>
              <c:f>Sheet1!$B$4:$G$4</c:f>
              <c:numCache>
                <c:formatCode>General</c:formatCode>
                <c:ptCount val="6"/>
                <c:pt idx="0">
                  <c:v>2440</c:v>
                </c:pt>
                <c:pt idx="1">
                  <c:v>2440</c:v>
                </c:pt>
                <c:pt idx="2">
                  <c:v>2440</c:v>
                </c:pt>
                <c:pt idx="3">
                  <c:v>2440</c:v>
                </c:pt>
                <c:pt idx="4">
                  <c:v>2400</c:v>
                </c:pt>
                <c:pt idx="5">
                  <c:v>12160</c:v>
                </c:pt>
              </c:numCache>
            </c:numRef>
          </c:val>
        </c:ser>
        <c:dLbls>
          <c:showLegendKey val="0"/>
          <c:showVal val="1"/>
          <c:showCatName val="0"/>
          <c:showSerName val="0"/>
          <c:showPercent val="0"/>
          <c:showBubbleSize val="0"/>
        </c:dLbls>
        <c:gapWidth val="219"/>
        <c:overlap val="-27"/>
        <c:axId val="313805440"/>
        <c:axId val="313827712"/>
      </c:barChart>
      <c:catAx>
        <c:axId val="31380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3827712"/>
        <c:crosses val="autoZero"/>
        <c:auto val="1"/>
        <c:lblAlgn val="ctr"/>
        <c:lblOffset val="100"/>
        <c:noMultiLvlLbl val="0"/>
      </c:catAx>
      <c:valAx>
        <c:axId val="313827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3805440"/>
        <c:crosses val="autoZero"/>
        <c:crossBetween val="between"/>
      </c:valAx>
      <c:spPr>
        <a:noFill/>
        <a:ln>
          <a:noFill/>
        </a:ln>
        <a:effectLst/>
      </c:spPr>
    </c:plotArea>
    <c:legend>
      <c:legendPos val="b"/>
      <c:layout>
        <c:manualLayout>
          <c:xMode val="edge"/>
          <c:yMode val="edge"/>
          <c:x val="0.062990544684752"/>
          <c:y val="0.881832149746912"/>
          <c:w val="0.878635160338347"/>
          <c:h val="0.0624044801382984"/>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各年新建充电桩数量（均为单充电枪）</c:v>
                </c:pt>
              </c:strCache>
            </c:strRef>
          </c:tx>
          <c:spPr>
            <a:solidFill>
              <a:schemeClr val="accent1"/>
            </a:solidFill>
            <a:ln>
              <a:noFill/>
            </a:ln>
            <a:effectLst/>
          </c:spPr>
          <c:invertIfNegative val="0"/>
          <c:dPt>
            <c:idx val="0"/>
            <c:invertIfNegative val="0"/>
            <c:bubble3D val="0"/>
            <c:spPr>
              <a:solidFill>
                <a:srgbClr val="008080"/>
              </a:solidFill>
              <a:ln>
                <a:noFill/>
              </a:ln>
              <a:effectLst/>
            </c:spPr>
          </c:dPt>
          <c:dPt>
            <c:idx val="1"/>
            <c:invertIfNegative val="0"/>
            <c:bubble3D val="0"/>
            <c:spPr>
              <a:solidFill>
                <a:srgbClr val="008080"/>
              </a:solidFill>
              <a:ln>
                <a:noFill/>
              </a:ln>
              <a:effectLst/>
            </c:spPr>
          </c:dPt>
          <c:dPt>
            <c:idx val="2"/>
            <c:invertIfNegative val="0"/>
            <c:bubble3D val="0"/>
            <c:spPr>
              <a:solidFill>
                <a:srgbClr val="008080"/>
              </a:solidFill>
              <a:ln>
                <a:noFill/>
              </a:ln>
              <a:effectLst/>
            </c:spPr>
          </c:dPt>
          <c:dPt>
            <c:idx val="3"/>
            <c:invertIfNegative val="0"/>
            <c:bubble3D val="0"/>
            <c:spPr>
              <a:solidFill>
                <a:srgbClr val="008080"/>
              </a:solidFill>
              <a:ln>
                <a:noFill/>
              </a:ln>
              <a:effectLst/>
            </c:spPr>
          </c:dPt>
          <c:dPt>
            <c:idx val="4"/>
            <c:invertIfNegative val="0"/>
            <c:bubble3D val="0"/>
            <c:spPr>
              <a:solidFill>
                <a:srgbClr val="008080"/>
              </a:solidFill>
              <a:ln>
                <a:solidFill>
                  <a:schemeClr val="bg1"/>
                </a:solidFill>
              </a:ln>
              <a:effectLst/>
            </c:spPr>
          </c:dPt>
          <c:dPt>
            <c:idx val="5"/>
            <c:invertIfNegative val="0"/>
            <c:bubble3D val="0"/>
            <c:spPr>
              <a:solidFill>
                <a:srgbClr val="008080"/>
              </a:solidFill>
              <a:ln>
                <a:noFill/>
              </a:ln>
              <a:effectLst/>
            </c:spPr>
          </c:dPt>
          <c:dLbls>
            <c:dLbl>
              <c:idx val="0"/>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3.</a:t>
                    </a:r>
                    <a:r>
                      <a:rPr lang="en-US" altLang="zh-CN" sz="800">
                        <a:latin typeface="Times New Roman" panose="02020603050405020304" charset="0"/>
                        <a:cs typeface="Times New Roman" panose="02020603050405020304" charset="0"/>
                      </a:rPr>
                      <a:t>79</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5.</a:t>
                    </a:r>
                    <a:r>
                      <a:rPr lang="en-US" altLang="zh-CN" sz="800">
                        <a:latin typeface="Times New Roman" panose="02020603050405020304" charset="0"/>
                        <a:cs typeface="Times New Roman" panose="02020603050405020304" charset="0"/>
                      </a:rPr>
                      <a:t>37</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7.1</a:t>
                    </a:r>
                    <a:r>
                      <a:rPr lang="en-US" altLang="zh-CN" sz="800">
                        <a:latin typeface="Times New Roman" panose="02020603050405020304" charset="0"/>
                        <a:cs typeface="Times New Roman" panose="02020603050405020304" charset="0"/>
                      </a:rPr>
                      <a:t>0</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9.0</a:t>
                    </a:r>
                    <a:r>
                      <a:rPr lang="en-US" altLang="zh-CN" sz="800">
                        <a:latin typeface="Times New Roman" panose="02020603050405020304" charset="0"/>
                        <a:cs typeface="Times New Roman" panose="02020603050405020304" charset="0"/>
                      </a:rPr>
                      <a:t>0</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10.</a:t>
                    </a:r>
                    <a:r>
                      <a:rPr lang="en-US" altLang="zh-CN" sz="800">
                        <a:latin typeface="Times New Roman" panose="02020603050405020304" charset="0"/>
                        <a:cs typeface="Times New Roman" panose="02020603050405020304" charset="0"/>
                      </a:rPr>
                      <a:t>28</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35.</a:t>
                    </a:r>
                    <a:r>
                      <a:rPr lang="en-US" altLang="zh-CN" sz="800">
                        <a:latin typeface="Times New Roman" panose="02020603050405020304" charset="0"/>
                        <a:cs typeface="Times New Roman" panose="02020603050405020304" charset="0"/>
                      </a:rPr>
                      <a:t>54</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Sheet1!$B$1:$G$1</c:f>
              <c:strCache>
                <c:ptCount val="6"/>
                <c:pt idx="0">
                  <c:v>2021</c:v>
                </c:pt>
                <c:pt idx="1">
                  <c:v>2022</c:v>
                </c:pt>
                <c:pt idx="2">
                  <c:v>2023</c:v>
                </c:pt>
                <c:pt idx="3">
                  <c:v>2024</c:v>
                </c:pt>
                <c:pt idx="4">
                  <c:v>2025</c:v>
                </c:pt>
                <c:pt idx="5">
                  <c:v>合计</c:v>
                </c:pt>
              </c:strCache>
            </c:strRef>
          </c:cat>
          <c:val>
            <c:numRef>
              <c:f>Sheet1!$B$2:$G$2</c:f>
              <c:numCache>
                <c:formatCode>General</c:formatCode>
                <c:ptCount val="6"/>
                <c:pt idx="0">
                  <c:v>3.82</c:v>
                </c:pt>
                <c:pt idx="1">
                  <c:v>5.43</c:v>
                </c:pt>
                <c:pt idx="2">
                  <c:v>7.17</c:v>
                </c:pt>
                <c:pt idx="3">
                  <c:v>9.08</c:v>
                </c:pt>
                <c:pt idx="4">
                  <c:v>10.36</c:v>
                </c:pt>
                <c:pt idx="5">
                  <c:v>35.86</c:v>
                </c:pt>
              </c:numCache>
            </c:numRef>
          </c:val>
        </c:ser>
        <c:dLbls>
          <c:showLegendKey val="0"/>
          <c:showVal val="1"/>
          <c:showCatName val="0"/>
          <c:showSerName val="0"/>
          <c:showPercent val="0"/>
          <c:showBubbleSize val="0"/>
        </c:dLbls>
        <c:gapWidth val="219"/>
        <c:overlap val="-27"/>
        <c:axId val="314415360"/>
        <c:axId val="314417152"/>
      </c:barChart>
      <c:catAx>
        <c:axId val="3144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4417152"/>
        <c:crosses val="autoZero"/>
        <c:auto val="1"/>
        <c:lblAlgn val="ctr"/>
        <c:lblOffset val="100"/>
        <c:noMultiLvlLbl val="0"/>
      </c:catAx>
      <c:valAx>
        <c:axId val="31441715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zh-CN" sz="800" b="0" i="0" baseline="0">
                    <a:effectLst/>
                  </a:rPr>
                  <a:t>各年新建充电桩数量（均为单充电枪）</a:t>
                </a:r>
                <a:endParaRPr lang="zh-CN" altLang="zh-CN" sz="800">
                  <a:effectLst/>
                </a:endParaRPr>
              </a:p>
            </c:rich>
          </c:tx>
          <c:layout>
            <c:manualLayout>
              <c:xMode val="edge"/>
              <c:yMode val="edge"/>
              <c:x val="0.0215921064081262"/>
              <c:y val="0.122212823227121"/>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441536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Microsoft Excel 工作表.xlsx]Sheet1'!$A$2</c:f>
              <c:strCache>
                <c:ptCount val="1"/>
                <c:pt idx="0">
                  <c:v>建设的充电站所含充电桩数量（万根）</c:v>
                </c:pt>
              </c:strCache>
            </c:strRef>
          </c:tx>
          <c:spPr>
            <a:solidFill>
              <a:srgbClr val="00706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工作表.xlsx]Sheet1'!$B$1:$D$1</c:f>
              <c:strCache>
                <c:ptCount val="3"/>
                <c:pt idx="0">
                  <c:v>关中</c:v>
                </c:pt>
                <c:pt idx="1">
                  <c:v>陕北</c:v>
                </c:pt>
                <c:pt idx="2">
                  <c:v>陕南</c:v>
                </c:pt>
              </c:strCache>
            </c:strRef>
          </c:cat>
          <c:val>
            <c:numRef>
              <c:f>'[新建 Microsoft Excel 工作表.xlsx]Sheet1'!$B$2:$D$2</c:f>
              <c:numCache>
                <c:formatCode>General</c:formatCode>
                <c:ptCount val="3"/>
                <c:pt idx="0">
                  <c:v>4.58</c:v>
                </c:pt>
                <c:pt idx="1">
                  <c:v>0.620000000000001</c:v>
                </c:pt>
                <c:pt idx="2">
                  <c:v>0.670000000000001</c:v>
                </c:pt>
              </c:numCache>
            </c:numRef>
          </c:val>
        </c:ser>
        <c:ser>
          <c:idx val="1"/>
          <c:order val="1"/>
          <c:tx>
            <c:strRef>
              <c:f>'[新建 Microsoft Excel 工作表.xlsx]Sheet1'!$A$3</c:f>
              <c:strCache>
                <c:ptCount val="1"/>
                <c:pt idx="0">
                  <c:v>个人及单位自用充电桩（万根）</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工作表.xlsx]Sheet1'!$B$1:$D$1</c:f>
              <c:strCache>
                <c:ptCount val="3"/>
                <c:pt idx="0">
                  <c:v>关中</c:v>
                </c:pt>
                <c:pt idx="1">
                  <c:v>陕北</c:v>
                </c:pt>
                <c:pt idx="2">
                  <c:v>陕南</c:v>
                </c:pt>
              </c:strCache>
            </c:strRef>
          </c:cat>
          <c:val>
            <c:numRef>
              <c:f>'[新建 Microsoft Excel 工作表.xlsx]Sheet1'!$B$3:$D$3</c:f>
              <c:numCache>
                <c:formatCode>General</c:formatCode>
                <c:ptCount val="3"/>
                <c:pt idx="0">
                  <c:v>25.85</c:v>
                </c:pt>
                <c:pt idx="1">
                  <c:v>2.26</c:v>
                </c:pt>
                <c:pt idx="2">
                  <c:v>1.34</c:v>
                </c:pt>
              </c:numCache>
            </c:numRef>
          </c:val>
        </c:ser>
        <c:ser>
          <c:idx val="2"/>
          <c:order val="2"/>
          <c:tx>
            <c:strRef>
              <c:f>'[新建 Microsoft Excel 工作表.xlsx]Sheet1'!$A$4</c:f>
              <c:strCache>
                <c:ptCount val="1"/>
                <c:pt idx="0">
                  <c:v>十四五期间共建设各类充电桩数量（万根）</c:v>
                </c:pt>
              </c:strCache>
            </c:strRef>
          </c:tx>
          <c:spPr>
            <a:solidFill>
              <a:srgbClr val="A5A5A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Microsoft Excel 工作表.xlsx]Sheet1'!$B$1:$D$1</c:f>
              <c:strCache>
                <c:ptCount val="3"/>
                <c:pt idx="0">
                  <c:v>关中</c:v>
                </c:pt>
                <c:pt idx="1">
                  <c:v>陕北</c:v>
                </c:pt>
                <c:pt idx="2">
                  <c:v>陕南</c:v>
                </c:pt>
              </c:strCache>
            </c:strRef>
          </c:cat>
          <c:val>
            <c:numRef>
              <c:f>'[新建 Microsoft Excel 工作表.xlsx]Sheet1'!$B$4:$D$4</c:f>
              <c:numCache>
                <c:formatCode>General</c:formatCode>
                <c:ptCount val="3"/>
                <c:pt idx="0">
                  <c:v>30.65</c:v>
                </c:pt>
                <c:pt idx="1">
                  <c:v>2.88</c:v>
                </c:pt>
                <c:pt idx="2">
                  <c:v>2.01</c:v>
                </c:pt>
              </c:numCache>
            </c:numRef>
          </c:val>
        </c:ser>
        <c:dLbls>
          <c:showLegendKey val="0"/>
          <c:showVal val="1"/>
          <c:showCatName val="0"/>
          <c:showSerName val="0"/>
          <c:showPercent val="0"/>
          <c:showBubbleSize val="0"/>
        </c:dLbls>
        <c:gapWidth val="219"/>
        <c:overlap val="-27"/>
        <c:axId val="314463744"/>
        <c:axId val="314465280"/>
      </c:barChart>
      <c:catAx>
        <c:axId val="314463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4465280"/>
        <c:crosses val="autoZero"/>
        <c:auto val="1"/>
        <c:lblAlgn val="ctr"/>
        <c:lblOffset val="100"/>
        <c:noMultiLvlLbl val="0"/>
      </c:catAx>
      <c:valAx>
        <c:axId val="314465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144637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充电站数（座）</c:v>
                </c:pt>
              </c:strCache>
            </c:strRef>
          </c:tx>
          <c:spPr>
            <a:solidFill>
              <a:schemeClr val="accent1"/>
            </a:solidFill>
            <a:ln>
              <a:noFill/>
            </a:ln>
            <a:effectLst/>
          </c:spPr>
          <c:invertIfNegative val="0"/>
          <c:dPt>
            <c:idx val="0"/>
            <c:invertIfNegative val="0"/>
            <c:bubble3D val="0"/>
            <c:spPr>
              <a:solidFill>
                <a:srgbClr val="008080"/>
              </a:solidFill>
              <a:ln>
                <a:noFill/>
              </a:ln>
              <a:effectLst/>
            </c:spPr>
          </c:dPt>
          <c:dPt>
            <c:idx val="1"/>
            <c:invertIfNegative val="0"/>
            <c:bubble3D val="0"/>
            <c:spPr>
              <a:solidFill>
                <a:srgbClr val="008080"/>
              </a:solidFill>
              <a:ln>
                <a:noFill/>
              </a:ln>
              <a:effectLst/>
            </c:spPr>
          </c:dPt>
          <c:dPt>
            <c:idx val="2"/>
            <c:invertIfNegative val="0"/>
            <c:bubble3D val="0"/>
            <c:spPr>
              <a:solidFill>
                <a:srgbClr val="008080"/>
              </a:solidFill>
              <a:ln>
                <a:noFill/>
              </a:ln>
              <a:effectLst/>
            </c:spPr>
          </c:dPt>
          <c:dLbls>
            <c:dLbl>
              <c:idx val="0"/>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1</a:t>
                    </a:r>
                    <a:r>
                      <a:rPr lang="en-US" altLang="zh-CN" sz="800">
                        <a:latin typeface="Times New Roman" panose="02020603050405020304" charset="0"/>
                        <a:cs typeface="Times New Roman" panose="02020603050405020304" charset="0"/>
                      </a:rPr>
                      <a:t>829</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38</a:t>
                    </a:r>
                    <a:r>
                      <a:rPr lang="en-US" altLang="zh-CN" sz="800">
                        <a:latin typeface="Times New Roman" panose="02020603050405020304" charset="0"/>
                        <a:cs typeface="Times New Roman" panose="02020603050405020304" charset="0"/>
                      </a:rPr>
                      <a:t>1</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48</a:t>
                    </a:r>
                    <a:r>
                      <a:rPr lang="en-US" altLang="zh-CN" sz="800">
                        <a:latin typeface="Times New Roman" panose="02020603050405020304" charset="0"/>
                        <a:cs typeface="Times New Roman" panose="02020603050405020304" charset="0"/>
                      </a:rPr>
                      <a:t>1</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Sheet1!$B$1:$D$1</c:f>
              <c:strCache>
                <c:ptCount val="3"/>
                <c:pt idx="0">
                  <c:v>关中</c:v>
                </c:pt>
                <c:pt idx="1">
                  <c:v>陕北</c:v>
                </c:pt>
                <c:pt idx="2">
                  <c:v>陕南</c:v>
                </c:pt>
              </c:strCache>
            </c:strRef>
          </c:cat>
          <c:val>
            <c:numRef>
              <c:f>Sheet1!$B$2:$D$2</c:f>
              <c:numCache>
                <c:formatCode>General</c:formatCode>
                <c:ptCount val="3"/>
                <c:pt idx="0">
                  <c:v>1917</c:v>
                </c:pt>
                <c:pt idx="1">
                  <c:v>387</c:v>
                </c:pt>
                <c:pt idx="2">
                  <c:v>484</c:v>
                </c:pt>
              </c:numCache>
            </c:numRef>
          </c:val>
        </c:ser>
        <c:dLbls>
          <c:showLegendKey val="0"/>
          <c:showVal val="1"/>
          <c:showCatName val="0"/>
          <c:showSerName val="0"/>
          <c:showPercent val="0"/>
          <c:showBubbleSize val="0"/>
        </c:dLbls>
        <c:gapWidth val="219"/>
        <c:overlap val="-27"/>
        <c:axId val="314504320"/>
        <c:axId val="314505856"/>
      </c:barChart>
      <c:catAx>
        <c:axId val="3145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505856"/>
        <c:crosses val="autoZero"/>
        <c:auto val="1"/>
        <c:lblAlgn val="ctr"/>
        <c:lblOffset val="100"/>
        <c:noMultiLvlLbl val="0"/>
      </c:catAx>
      <c:valAx>
        <c:axId val="314505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450432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“十四五”规划投资（亿元）</c:v>
                </c:pt>
              </c:strCache>
            </c:strRef>
          </c:tx>
          <c:spPr>
            <a:solidFill>
              <a:srgbClr val="008080"/>
            </a:solidFill>
            <a:ln>
              <a:noFill/>
            </a:ln>
            <a:effectLst/>
          </c:spPr>
          <c:invertIfNegative val="0"/>
          <c:dLbls>
            <c:dLbl>
              <c:idx val="0"/>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1</a:t>
                    </a:r>
                    <a:r>
                      <a:rPr lang="en-US" altLang="zh-CN" sz="800">
                        <a:latin typeface="Times New Roman" panose="02020603050405020304" charset="0"/>
                        <a:cs typeface="Times New Roman" panose="02020603050405020304" charset="0"/>
                      </a:rPr>
                      <a:t>0</a:t>
                    </a:r>
                    <a:r>
                      <a:rPr sz="800">
                        <a:latin typeface="Times New Roman" panose="02020603050405020304" charset="0"/>
                        <a:cs typeface="Times New Roman" panose="02020603050405020304" charset="0"/>
                      </a:rPr>
                      <a:t>.</a:t>
                    </a:r>
                    <a:r>
                      <a:rPr lang="en-US" altLang="zh-CN" sz="800">
                        <a:latin typeface="Times New Roman" panose="02020603050405020304" charset="0"/>
                        <a:cs typeface="Times New Roman" panose="02020603050405020304" charset="0"/>
                      </a:rPr>
                      <a:t>7</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r>
                      <a:rPr sz="800">
                        <a:latin typeface="Times New Roman" panose="02020603050405020304" charset="0"/>
                        <a:cs typeface="Times New Roman" panose="02020603050405020304" charset="0"/>
                      </a:rPr>
                      <a:t>7</a:t>
                    </a:r>
                    <a:r>
                      <a:rPr lang="en-US" altLang="zh-CN" sz="800">
                        <a:latin typeface="Times New Roman" panose="02020603050405020304" charset="0"/>
                        <a:cs typeface="Times New Roman" panose="02020603050405020304" charset="0"/>
                      </a:rPr>
                      <a:t>0.9</a:t>
                    </a:r>
                    <a:endParaRPr lang="en-US" altLang="zh-CN" sz="800">
                      <a:latin typeface="Times New Roman" panose="02020603050405020304" charset="0"/>
                      <a:cs typeface="Times New Roman" panose="02020603050405020304" charset="0"/>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专用充电设施</c:v>
                </c:pt>
                <c:pt idx="1">
                  <c:v>公共充电设施</c:v>
                </c:pt>
                <c:pt idx="2">
                  <c:v>私人及公务充电设施</c:v>
                </c:pt>
                <c:pt idx="3">
                  <c:v>合计</c:v>
                </c:pt>
              </c:strCache>
            </c:strRef>
          </c:cat>
          <c:val>
            <c:numRef>
              <c:f>Sheet1!$B$2:$B$5</c:f>
              <c:numCache>
                <c:formatCode>General</c:formatCode>
                <c:ptCount val="4"/>
                <c:pt idx="0">
                  <c:v>14.8</c:v>
                </c:pt>
                <c:pt idx="1">
                  <c:v>51.4</c:v>
                </c:pt>
                <c:pt idx="2">
                  <c:v>8.8</c:v>
                </c:pt>
                <c:pt idx="3">
                  <c:v>75</c:v>
                </c:pt>
              </c:numCache>
            </c:numRef>
          </c:val>
        </c:ser>
        <c:dLbls>
          <c:showLegendKey val="0"/>
          <c:showVal val="1"/>
          <c:showCatName val="0"/>
          <c:showSerName val="0"/>
          <c:showPercent val="0"/>
          <c:showBubbleSize val="0"/>
        </c:dLbls>
        <c:gapWidth val="219"/>
        <c:overlap val="-27"/>
        <c:axId val="314513280"/>
        <c:axId val="314514816"/>
      </c:barChart>
      <c:catAx>
        <c:axId val="31451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314514816"/>
        <c:crosses val="autoZero"/>
        <c:auto val="1"/>
        <c:lblAlgn val="ctr"/>
        <c:lblOffset val="100"/>
        <c:noMultiLvlLbl val="0"/>
      </c:catAx>
      <c:valAx>
        <c:axId val="314514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4513280"/>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Sheet1!$A$56</c:f>
              <c:strCache>
                <c:ptCount val="1"/>
                <c:pt idx="0">
                  <c:v>陕西人均地区生产总值(元/人）</c:v>
                </c:pt>
              </c:strCache>
            </c:strRef>
          </c:tx>
          <c:spPr>
            <a:solidFill>
              <a:srgbClr val="00706B"/>
            </a:solidFill>
            <a:ln>
              <a:noFill/>
            </a:ln>
            <a:effectLst/>
          </c:spPr>
          <c:invertIfNegative val="0"/>
          <c:dLbls>
            <c:dLbl>
              <c:idx val="0"/>
              <c:layout>
                <c:manualLayout>
                  <c:x val="0"/>
                  <c:y val="0.0177469150178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366255335719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8711636090915e-17"/>
                  <c:y val="0.02957819169649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366255335719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957819169649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549383003579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0518072800164"/>
                  <c:y val="0.02957819169649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68393576000544"/>
                  <c:y val="0.03549383003579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234196788000274"/>
                  <c:y val="0.02957819169649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234196788000274"/>
                  <c:y val="0.02957819169649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234196788000274"/>
                  <c:y val="0.02957819169649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Sheet1!$B$55:$L$55</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Sheet1!$B$56:$L$56</c:f>
              <c:numCache>
                <c:formatCode>General</c:formatCode>
                <c:ptCount val="11"/>
                <c:pt idx="0">
                  <c:v>66649</c:v>
                </c:pt>
                <c:pt idx="1">
                  <c:v>62195</c:v>
                </c:pt>
                <c:pt idx="2">
                  <c:v>57266</c:v>
                </c:pt>
                <c:pt idx="3">
                  <c:v>51015</c:v>
                </c:pt>
                <c:pt idx="4">
                  <c:v>47626</c:v>
                </c:pt>
                <c:pt idx="5">
                  <c:v>46929</c:v>
                </c:pt>
                <c:pt idx="6">
                  <c:v>43117</c:v>
                </c:pt>
                <c:pt idx="7">
                  <c:v>38564</c:v>
                </c:pt>
                <c:pt idx="8">
                  <c:v>33464</c:v>
                </c:pt>
                <c:pt idx="9">
                  <c:v>27133</c:v>
                </c:pt>
                <c:pt idx="10">
                  <c:v>21947</c:v>
                </c:pt>
              </c:numCache>
            </c:numRef>
          </c:val>
        </c:ser>
        <c:ser>
          <c:idx val="1"/>
          <c:order val="1"/>
          <c:tx>
            <c:strRef>
              <c:f>Sheet1!$A$57</c:f>
              <c:strCache>
                <c:ptCount val="1"/>
                <c:pt idx="0">
                  <c:v>全国人均国内生产总值（元）</c:v>
                </c:pt>
              </c:strCache>
            </c:strRef>
          </c:tx>
          <c:spPr>
            <a:solidFill>
              <a:srgbClr val="FFC000"/>
            </a:solidFill>
            <a:ln>
              <a:noFill/>
            </a:ln>
            <a:effectLst/>
          </c:spPr>
          <c:invertIfNegative val="0"/>
          <c:dLbls>
            <c:dLbl>
              <c:idx val="5"/>
              <c:layout>
                <c:manualLayout>
                  <c:x val="0.00833333333333335"/>
                  <c:y val="-0.002799512576204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937500000000014"/>
                  <c:y val="0.008398537728612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25"/>
                  <c:y val="0.002799512576204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Sheet1!$B$55:$L$55</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Sheet1!$B$57:$L$57</c:f>
              <c:numCache>
                <c:formatCode>General</c:formatCode>
                <c:ptCount val="11"/>
                <c:pt idx="0">
                  <c:v>70892</c:v>
                </c:pt>
                <c:pt idx="1">
                  <c:v>66006</c:v>
                </c:pt>
                <c:pt idx="2">
                  <c:v>60014</c:v>
                </c:pt>
                <c:pt idx="3">
                  <c:v>54139</c:v>
                </c:pt>
                <c:pt idx="4">
                  <c:v>50237</c:v>
                </c:pt>
                <c:pt idx="5">
                  <c:v>47173</c:v>
                </c:pt>
                <c:pt idx="6">
                  <c:v>43684</c:v>
                </c:pt>
                <c:pt idx="7">
                  <c:v>39874</c:v>
                </c:pt>
                <c:pt idx="8">
                  <c:v>36302</c:v>
                </c:pt>
                <c:pt idx="9">
                  <c:v>30808</c:v>
                </c:pt>
                <c:pt idx="10">
                  <c:v>26180</c:v>
                </c:pt>
              </c:numCache>
            </c:numRef>
          </c:val>
        </c:ser>
        <c:dLbls>
          <c:showLegendKey val="0"/>
          <c:showVal val="1"/>
          <c:showCatName val="0"/>
          <c:showSerName val="0"/>
          <c:showPercent val="0"/>
          <c:showBubbleSize val="0"/>
        </c:dLbls>
        <c:gapWidth val="219"/>
        <c:overlap val="-27"/>
        <c:axId val="282551808"/>
        <c:axId val="282559232"/>
      </c:barChart>
      <c:catAx>
        <c:axId val="28255180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2559232"/>
        <c:crosses val="autoZero"/>
        <c:auto val="1"/>
        <c:lblAlgn val="ctr"/>
        <c:lblOffset val="100"/>
        <c:noMultiLvlLbl val="0"/>
      </c:catAx>
      <c:valAx>
        <c:axId val="282559232"/>
        <c:scaling>
          <c:orientation val="minMax"/>
        </c:scaling>
        <c:delete val="0"/>
        <c:axPos val="r"/>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2551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6350"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Sheet1!$A$62</c:f>
              <c:strCache>
                <c:ptCount val="1"/>
                <c:pt idx="0">
                  <c:v>陕西人均地区生产总值/全国人均国内生产总值</c:v>
                </c:pt>
              </c:strCache>
            </c:strRef>
          </c:tx>
          <c:spPr>
            <a:ln w="28575" cap="rnd" cmpd="sng" algn="ctr">
              <a:solidFill>
                <a:srgbClr val="00706B"/>
              </a:solidFill>
              <a:prstDash val="solid"/>
              <a:round/>
            </a:ln>
            <a:effectLst/>
          </c:spPr>
          <c:marker>
            <c:symbol val="circle"/>
            <c:size val="5"/>
            <c:spPr>
              <a:solidFill>
                <a:srgbClr val="00706B"/>
              </a:solidFill>
              <a:ln w="9525" cap="flat" cmpd="sng" algn="ctr">
                <a:solidFill>
                  <a:srgbClr val="00706B"/>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Sheet1!$B$61:$L$61</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Sheet1!$B$62:$L$62</c:f>
              <c:numCache>
                <c:formatCode>General</c:formatCode>
                <c:ptCount val="11"/>
                <c:pt idx="0">
                  <c:v>0.9401</c:v>
                </c:pt>
                <c:pt idx="1">
                  <c:v>0.9422</c:v>
                </c:pt>
                <c:pt idx="2">
                  <c:v>0.9542</c:v>
                </c:pt>
                <c:pt idx="3">
                  <c:v>0.9423</c:v>
                </c:pt>
                <c:pt idx="4">
                  <c:v>0.948000000000002</c:v>
                </c:pt>
                <c:pt idx="5">
                  <c:v>0.9948</c:v>
                </c:pt>
                <c:pt idx="6">
                  <c:v>0.987</c:v>
                </c:pt>
                <c:pt idx="7">
                  <c:v>0.967100000000003</c:v>
                </c:pt>
                <c:pt idx="8">
                  <c:v>0.921800000000002</c:v>
                </c:pt>
                <c:pt idx="9">
                  <c:v>0.8807</c:v>
                </c:pt>
                <c:pt idx="10">
                  <c:v>0.8383</c:v>
                </c:pt>
              </c:numCache>
            </c:numRef>
          </c:val>
          <c:smooth val="0"/>
        </c:ser>
        <c:dLbls>
          <c:showLegendKey val="0"/>
          <c:showVal val="1"/>
          <c:showCatName val="0"/>
          <c:showSerName val="0"/>
          <c:showPercent val="0"/>
          <c:showBubbleSize val="0"/>
        </c:dLbls>
        <c:marker val="1"/>
        <c:smooth val="0"/>
        <c:axId val="282999424"/>
        <c:axId val="283008384"/>
      </c:lineChart>
      <c:catAx>
        <c:axId val="28299942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3008384"/>
        <c:crosses val="autoZero"/>
        <c:auto val="1"/>
        <c:lblAlgn val="ctr"/>
        <c:lblOffset val="100"/>
        <c:noMultiLvlLbl val="0"/>
      </c:catAx>
      <c:valAx>
        <c:axId val="283008384"/>
        <c:scaling>
          <c:orientation val="minMax"/>
        </c:scaling>
        <c:delete val="0"/>
        <c:axPos val="r"/>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2999424"/>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Sheet1!$A$29</c:f>
              <c:strCache>
                <c:ptCount val="1"/>
                <c:pt idx="0">
                  <c:v>陕西民用汽车拥有量(万辆)</c:v>
                </c:pt>
              </c:strCache>
            </c:strRef>
          </c:tx>
          <c:spPr>
            <a:ln w="22225" cap="rnd" cmpd="sng" algn="ctr">
              <a:solidFill>
                <a:srgbClr val="00706B"/>
              </a:solidFill>
              <a:prstDash val="solid"/>
              <a:round/>
            </a:ln>
            <a:effectLst/>
          </c:spPr>
          <c:marker>
            <c:symbol val="diamond"/>
            <c:size val="6"/>
            <c:spPr>
              <a:solidFill>
                <a:srgbClr val="00706B"/>
              </a:solidFill>
              <a:ln w="9525" cap="flat" cmpd="sng" algn="ctr">
                <a:solidFill>
                  <a:srgbClr val="00706B"/>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Sheet1!$B$28:$L$28</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Sheet1!$B$29:$L$29</c:f>
              <c:numCache>
                <c:formatCode>General</c:formatCode>
                <c:ptCount val="11"/>
                <c:pt idx="0">
                  <c:v>682</c:v>
                </c:pt>
                <c:pt idx="1">
                  <c:v>616</c:v>
                </c:pt>
                <c:pt idx="2">
                  <c:v>549</c:v>
                </c:pt>
                <c:pt idx="3">
                  <c:v>491</c:v>
                </c:pt>
                <c:pt idx="4">
                  <c:v>438</c:v>
                </c:pt>
                <c:pt idx="5">
                  <c:v>384</c:v>
                </c:pt>
                <c:pt idx="6">
                  <c:v>336</c:v>
                </c:pt>
                <c:pt idx="7">
                  <c:v>284</c:v>
                </c:pt>
                <c:pt idx="8">
                  <c:v>236</c:v>
                </c:pt>
                <c:pt idx="9">
                  <c:v>190</c:v>
                </c:pt>
                <c:pt idx="10">
                  <c:v>146</c:v>
                </c:pt>
              </c:numCache>
            </c:numRef>
          </c:val>
          <c:smooth val="0"/>
        </c:ser>
        <c:ser>
          <c:idx val="1"/>
          <c:order val="1"/>
          <c:tx>
            <c:strRef>
              <c:f>Sheet1!$A$30</c:f>
              <c:strCache>
                <c:ptCount val="1"/>
                <c:pt idx="0">
                  <c:v>全国民用汽车拥有量(万辆)</c:v>
                </c:pt>
              </c:strCache>
            </c:strRef>
          </c:tx>
          <c:spPr>
            <a:ln w="22225" cap="rnd" cmpd="sng" algn="ctr">
              <a:solidFill>
                <a:srgbClr val="FFC000"/>
              </a:solidFill>
              <a:prstDash val="solid"/>
              <a:round/>
            </a:ln>
            <a:effectLst/>
          </c:spPr>
          <c:marker>
            <c:symbol val="square"/>
            <c:size val="6"/>
            <c:spPr>
              <a:solidFill>
                <a:schemeClr val="accent2"/>
              </a:solidFill>
              <a:ln w="9525" cap="flat" cmpd="sng" algn="ctr">
                <a:solidFill>
                  <a:srgbClr val="FFC000"/>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Sheet1!$B$28:$L$28</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Sheet1!$B$30:$L$30</c:f>
              <c:numCache>
                <c:formatCode>General</c:formatCode>
                <c:ptCount val="11"/>
                <c:pt idx="0">
                  <c:v>25387</c:v>
                </c:pt>
                <c:pt idx="1">
                  <c:v>23231</c:v>
                </c:pt>
                <c:pt idx="2">
                  <c:v>20906</c:v>
                </c:pt>
                <c:pt idx="3">
                  <c:v>18574</c:v>
                </c:pt>
                <c:pt idx="4">
                  <c:v>16284</c:v>
                </c:pt>
                <c:pt idx="5">
                  <c:v>14598</c:v>
                </c:pt>
                <c:pt idx="6">
                  <c:v>12670</c:v>
                </c:pt>
                <c:pt idx="7">
                  <c:v>10933</c:v>
                </c:pt>
                <c:pt idx="8">
                  <c:v>9356</c:v>
                </c:pt>
                <c:pt idx="9">
                  <c:v>7801</c:v>
                </c:pt>
                <c:pt idx="10">
                  <c:v>6280</c:v>
                </c:pt>
              </c:numCache>
            </c:numRef>
          </c:val>
          <c:smooth val="0"/>
        </c:ser>
        <c:dLbls>
          <c:showLegendKey val="0"/>
          <c:showVal val="1"/>
          <c:showCatName val="0"/>
          <c:showSerName val="0"/>
          <c:showPercent val="0"/>
          <c:showBubbleSize val="0"/>
        </c:dLbls>
        <c:marker val="1"/>
        <c:smooth val="0"/>
        <c:axId val="283339392"/>
        <c:axId val="283371008"/>
      </c:lineChart>
      <c:catAx>
        <c:axId val="283339392"/>
        <c:scaling>
          <c:orientation val="maxMin"/>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Times New Roman" panose="02020603050405020304" charset="0"/>
                <a:ea typeface="+mn-ea"/>
                <a:cs typeface="Times New Roman" panose="02020603050405020304" charset="0"/>
              </a:defRPr>
            </a:pPr>
          </a:p>
        </c:txPr>
        <c:crossAx val="283371008"/>
        <c:crosses val="autoZero"/>
        <c:auto val="1"/>
        <c:lblAlgn val="ctr"/>
        <c:lblOffset val="100"/>
        <c:noMultiLvlLbl val="0"/>
      </c:catAx>
      <c:valAx>
        <c:axId val="283371008"/>
        <c:scaling>
          <c:orientation val="minMax"/>
        </c:scaling>
        <c:delete val="0"/>
        <c:axPos val="r"/>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2833393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Sheet1!$A$34</c:f>
              <c:strCache>
                <c:ptCount val="1"/>
                <c:pt idx="0">
                  <c:v>陕西人均民用汽车拥有量(辆)</c:v>
                </c:pt>
              </c:strCache>
            </c:strRef>
          </c:tx>
          <c:spPr>
            <a:solidFill>
              <a:srgbClr val="00706B"/>
            </a:solidFill>
            <a:ln>
              <a:noFill/>
            </a:ln>
            <a:effectLst/>
          </c:spPr>
          <c:invertIfNegative val="0"/>
          <c:dLbls>
            <c:dLbl>
              <c:idx val="0"/>
              <c:layout>
                <c:manualLayout>
                  <c:x val="0.00251531021796254"/>
                  <c:y val="0.02151140485564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5155082738852"/>
                  <c:y val="0.02151140485564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51531021796254"/>
                  <c:y val="0.01613355364173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51531021796254"/>
                  <c:y val="0.02151140485564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613355364173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51511216203985"/>
                  <c:y val="0.02688925606956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2688925606956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02151140485564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151140485564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25765510898126"/>
                  <c:y val="0.02688925606956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1613355364173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Sheet1!$B$33:$L$33</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Sheet1!$B$34:$L$34</c:f>
              <c:numCache>
                <c:formatCode>General</c:formatCode>
                <c:ptCount val="11"/>
                <c:pt idx="0">
                  <c:v>0.1759</c:v>
                </c:pt>
                <c:pt idx="1">
                  <c:v>0.1596</c:v>
                </c:pt>
                <c:pt idx="2">
                  <c:v>0.1433</c:v>
                </c:pt>
                <c:pt idx="3">
                  <c:v>0.1288</c:v>
                </c:pt>
                <c:pt idx="4">
                  <c:v>0.1155</c:v>
                </c:pt>
                <c:pt idx="5">
                  <c:v>0.1019</c:v>
                </c:pt>
                <c:pt idx="6">
                  <c:v>0.0893</c:v>
                </c:pt>
                <c:pt idx="7">
                  <c:v>0.0758</c:v>
                </c:pt>
                <c:pt idx="8">
                  <c:v>0.0632</c:v>
                </c:pt>
                <c:pt idx="9">
                  <c:v>0.051</c:v>
                </c:pt>
                <c:pt idx="10">
                  <c:v>0.0392</c:v>
                </c:pt>
              </c:numCache>
            </c:numRef>
          </c:val>
        </c:ser>
        <c:ser>
          <c:idx val="1"/>
          <c:order val="1"/>
          <c:tx>
            <c:strRef>
              <c:f>Sheet1!$A$35</c:f>
              <c:strCache>
                <c:ptCount val="1"/>
                <c:pt idx="0">
                  <c:v>全国人均民用汽车拥有量(辆)</c:v>
                </c:pt>
              </c:strCache>
            </c:strRef>
          </c:tx>
          <c:spPr>
            <a:solidFill>
              <a:srgbClr val="FFC000"/>
            </a:solidFill>
            <a:ln>
              <a:noFill/>
            </a:ln>
            <a:effectLst/>
          </c:spPr>
          <c:invertIfNegative val="0"/>
          <c:dLbls>
            <c:dLbl>
              <c:idx val="0"/>
              <c:layout>
                <c:manualLayout>
                  <c:x val="0.0177083333333333"/>
                  <c:y val="-2.3095711950048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5416666666666"/>
                  <c:y val="-0.002519561318583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4166666666667"/>
                  <c:y val="-0.002519561318583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2916666666667"/>
                  <c:y val="0.00503912263716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4166666666667"/>
                  <c:y val="0.002519561318583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2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Sheet1!$B$33:$L$33</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Sheet1!$B$35:$L$35</c:f>
              <c:numCache>
                <c:formatCode>General</c:formatCode>
                <c:ptCount val="11"/>
                <c:pt idx="0">
                  <c:v>0.1813</c:v>
                </c:pt>
                <c:pt idx="1">
                  <c:v>0.1665</c:v>
                </c:pt>
                <c:pt idx="2">
                  <c:v>0.1504</c:v>
                </c:pt>
                <c:pt idx="3">
                  <c:v>0.1343</c:v>
                </c:pt>
                <c:pt idx="4">
                  <c:v>0.1185</c:v>
                </c:pt>
                <c:pt idx="5">
                  <c:v>0.1067</c:v>
                </c:pt>
                <c:pt idx="6">
                  <c:v>0.0931000000000002</c:v>
                </c:pt>
                <c:pt idx="7">
                  <c:v>0.0807000000000002</c:v>
                </c:pt>
                <c:pt idx="8">
                  <c:v>0.0694000000000001</c:v>
                </c:pt>
                <c:pt idx="9">
                  <c:v>0.0582</c:v>
                </c:pt>
                <c:pt idx="10">
                  <c:v>0.0471</c:v>
                </c:pt>
              </c:numCache>
            </c:numRef>
          </c:val>
        </c:ser>
        <c:dLbls>
          <c:showLegendKey val="0"/>
          <c:showVal val="1"/>
          <c:showCatName val="0"/>
          <c:showSerName val="0"/>
          <c:showPercent val="0"/>
          <c:showBubbleSize val="0"/>
        </c:dLbls>
        <c:gapWidth val="219"/>
        <c:overlap val="-27"/>
        <c:axId val="284877952"/>
        <c:axId val="284879488"/>
      </c:barChart>
      <c:catAx>
        <c:axId val="28487795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4879488"/>
        <c:crosses val="autoZero"/>
        <c:auto val="1"/>
        <c:lblAlgn val="ctr"/>
        <c:lblOffset val="100"/>
        <c:noMultiLvlLbl val="0"/>
      </c:catAx>
      <c:valAx>
        <c:axId val="284879488"/>
        <c:scaling>
          <c:orientation val="minMax"/>
        </c:scaling>
        <c:delete val="0"/>
        <c:axPos val="r"/>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28487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6350"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14583333333333"/>
          <c:y val="0.161538741180728"/>
          <c:w val="0.939155347769029"/>
          <c:h val="0.715785823386776"/>
        </c:manualLayout>
      </c:layout>
      <c:lineChart>
        <c:grouping val="standard"/>
        <c:varyColors val="0"/>
        <c:ser>
          <c:idx val="0"/>
          <c:order val="0"/>
          <c:tx>
            <c:strRef>
              <c:f>Sheet1!$A$39</c:f>
              <c:strCache>
                <c:ptCount val="1"/>
                <c:pt idx="0">
                  <c:v>陕西人均民用汽车拥有量/全国人均民用汽车拥有量</c:v>
                </c:pt>
              </c:strCache>
            </c:strRef>
          </c:tx>
          <c:spPr>
            <a:ln w="22225" cap="rnd" cmpd="sng" algn="ctr">
              <a:solidFill>
                <a:srgbClr val="00706B"/>
              </a:solidFill>
              <a:prstDash val="solid"/>
              <a:round/>
            </a:ln>
            <a:effectLst/>
          </c:spPr>
          <c:marker>
            <c:symbol val="diamond"/>
            <c:size val="6"/>
            <c:spPr>
              <a:solidFill>
                <a:srgbClr val="00706B"/>
              </a:solidFill>
              <a:ln w="9525" cap="flat" cmpd="sng" algn="ctr">
                <a:solidFill>
                  <a:srgbClr val="00706B"/>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Sheet1!$B$38:$L$38</c:f>
              <c:numCache>
                <c:formatCode>General</c:formatCode>
                <c:ptCount val="11"/>
                <c:pt idx="0">
                  <c:v>2019</c:v>
                </c:pt>
                <c:pt idx="1">
                  <c:v>2018</c:v>
                </c:pt>
                <c:pt idx="2">
                  <c:v>2017</c:v>
                </c:pt>
                <c:pt idx="3">
                  <c:v>2016</c:v>
                </c:pt>
                <c:pt idx="4">
                  <c:v>2015</c:v>
                </c:pt>
                <c:pt idx="5">
                  <c:v>2014</c:v>
                </c:pt>
                <c:pt idx="6">
                  <c:v>2013</c:v>
                </c:pt>
                <c:pt idx="7">
                  <c:v>2012</c:v>
                </c:pt>
                <c:pt idx="8">
                  <c:v>2011</c:v>
                </c:pt>
                <c:pt idx="9">
                  <c:v>2010</c:v>
                </c:pt>
                <c:pt idx="10">
                  <c:v>2009</c:v>
                </c:pt>
              </c:numCache>
            </c:numRef>
          </c:cat>
          <c:val>
            <c:numRef>
              <c:f>Sheet1!$B$39:$L$39</c:f>
              <c:numCache>
                <c:formatCode>General</c:formatCode>
                <c:ptCount val="11"/>
                <c:pt idx="0">
                  <c:v>0.970000000000003</c:v>
                </c:pt>
                <c:pt idx="1">
                  <c:v>0.958800000000003</c:v>
                </c:pt>
                <c:pt idx="2">
                  <c:v>0.952700000000003</c:v>
                </c:pt>
                <c:pt idx="3">
                  <c:v>0.959000000000003</c:v>
                </c:pt>
                <c:pt idx="4">
                  <c:v>0.975000000000003</c:v>
                </c:pt>
                <c:pt idx="5">
                  <c:v>0.9553</c:v>
                </c:pt>
                <c:pt idx="6">
                  <c:v>0.958900000000003</c:v>
                </c:pt>
                <c:pt idx="7">
                  <c:v>0.9393</c:v>
                </c:pt>
                <c:pt idx="8">
                  <c:v>0.909600000000002</c:v>
                </c:pt>
                <c:pt idx="9">
                  <c:v>0.877200000000003</c:v>
                </c:pt>
                <c:pt idx="10">
                  <c:v>0.833900000000003</c:v>
                </c:pt>
              </c:numCache>
            </c:numRef>
          </c:val>
          <c:smooth val="0"/>
        </c:ser>
        <c:dLbls>
          <c:showLegendKey val="0"/>
          <c:showVal val="1"/>
          <c:showCatName val="0"/>
          <c:showSerName val="0"/>
          <c:showPercent val="0"/>
          <c:showBubbleSize val="0"/>
        </c:dLbls>
        <c:marker val="1"/>
        <c:smooth val="0"/>
        <c:axId val="309592448"/>
        <c:axId val="309727616"/>
      </c:lineChart>
      <c:catAx>
        <c:axId val="309592448"/>
        <c:scaling>
          <c:orientation val="maxMin"/>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09727616"/>
        <c:crosses val="autoZero"/>
        <c:auto val="1"/>
        <c:lblAlgn val="ctr"/>
        <c:lblOffset val="100"/>
        <c:noMultiLvlLbl val="0"/>
      </c:catAx>
      <c:valAx>
        <c:axId val="309727616"/>
        <c:scaling>
          <c:orientation val="minMax"/>
        </c:scaling>
        <c:delete val="0"/>
        <c:axPos val="r"/>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09592448"/>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Sheet1!$D$551</c:f>
              <c:strCache>
                <c:ptCount val="1"/>
                <c:pt idx="0">
                  <c:v>全国汽车销量（万辆）</c:v>
                </c:pt>
              </c:strCache>
            </c:strRef>
          </c:tx>
          <c:spPr>
            <a:ln w="22225" cap="rnd" cmpd="sng" algn="ctr">
              <a:solidFill>
                <a:srgbClr val="00706B"/>
              </a:solidFill>
              <a:prstDash val="solid"/>
              <a:round/>
            </a:ln>
            <a:effectLst/>
          </c:spPr>
          <c:marker>
            <c:symbol val="diamond"/>
            <c:size val="6"/>
            <c:spPr>
              <a:solidFill>
                <a:srgbClr val="00706B"/>
              </a:solidFill>
              <a:ln w="9525" cap="flat" cmpd="sng" algn="ctr">
                <a:solidFill>
                  <a:srgbClr val="00706B"/>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Sheet1!$E$550:$P$550</c:f>
              <c:numCache>
                <c:formatCode>General</c:formatCode>
                <c:ptCount val="12"/>
                <c:pt idx="0">
                  <c:v>2020</c:v>
                </c:pt>
                <c:pt idx="1">
                  <c:v>2019</c:v>
                </c:pt>
                <c:pt idx="2">
                  <c:v>2018</c:v>
                </c:pt>
                <c:pt idx="3">
                  <c:v>2017</c:v>
                </c:pt>
                <c:pt idx="4">
                  <c:v>2016</c:v>
                </c:pt>
                <c:pt idx="5">
                  <c:v>2015</c:v>
                </c:pt>
                <c:pt idx="6">
                  <c:v>2014</c:v>
                </c:pt>
                <c:pt idx="7">
                  <c:v>2013</c:v>
                </c:pt>
                <c:pt idx="8">
                  <c:v>2012</c:v>
                </c:pt>
                <c:pt idx="9">
                  <c:v>2011</c:v>
                </c:pt>
                <c:pt idx="10">
                  <c:v>2010</c:v>
                </c:pt>
                <c:pt idx="11">
                  <c:v>2009</c:v>
                </c:pt>
              </c:numCache>
            </c:numRef>
          </c:cat>
          <c:val>
            <c:numRef>
              <c:f>Sheet1!$E$551:$P$551</c:f>
              <c:numCache>
                <c:formatCode>General</c:formatCode>
                <c:ptCount val="12"/>
                <c:pt idx="0">
                  <c:v>2531</c:v>
                </c:pt>
                <c:pt idx="1">
                  <c:v>2576.9</c:v>
                </c:pt>
                <c:pt idx="2">
                  <c:v>2808</c:v>
                </c:pt>
                <c:pt idx="3">
                  <c:v>2887</c:v>
                </c:pt>
                <c:pt idx="4">
                  <c:v>2802</c:v>
                </c:pt>
                <c:pt idx="5">
                  <c:v>2459</c:v>
                </c:pt>
                <c:pt idx="6">
                  <c:v>2349</c:v>
                </c:pt>
                <c:pt idx="7">
                  <c:v>2198</c:v>
                </c:pt>
                <c:pt idx="8">
                  <c:v>1930</c:v>
                </c:pt>
                <c:pt idx="9">
                  <c:v>1850</c:v>
                </c:pt>
                <c:pt idx="10">
                  <c:v>1806</c:v>
                </c:pt>
                <c:pt idx="11">
                  <c:v>1364</c:v>
                </c:pt>
              </c:numCache>
            </c:numRef>
          </c:val>
          <c:smooth val="0"/>
        </c:ser>
        <c:dLbls>
          <c:showLegendKey val="0"/>
          <c:showVal val="1"/>
          <c:showCatName val="0"/>
          <c:showSerName val="0"/>
          <c:showPercent val="0"/>
          <c:showBubbleSize val="0"/>
        </c:dLbls>
        <c:marker val="1"/>
        <c:smooth val="0"/>
        <c:axId val="309796224"/>
        <c:axId val="309961856"/>
      </c:lineChart>
      <c:catAx>
        <c:axId val="309796224"/>
        <c:scaling>
          <c:orientation val="maxMin"/>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09961856"/>
        <c:crosses val="autoZero"/>
        <c:auto val="1"/>
        <c:lblAlgn val="ctr"/>
        <c:lblOffset val="100"/>
        <c:noMultiLvlLbl val="0"/>
      </c:catAx>
      <c:valAx>
        <c:axId val="309961856"/>
        <c:scaling>
          <c:orientation val="minMax"/>
        </c:scaling>
        <c:delete val="0"/>
        <c:axPos val="r"/>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09796224"/>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Sheet1!$A$544</c:f>
              <c:strCache>
                <c:ptCount val="1"/>
                <c:pt idx="0">
                  <c:v>全国汽车销量增长率（%）</c:v>
                </c:pt>
              </c:strCache>
            </c:strRef>
          </c:tx>
          <c:spPr>
            <a:ln w="28575" cap="rnd" cmpd="sng" algn="ctr">
              <a:solidFill>
                <a:srgbClr val="00706B"/>
              </a:solidFill>
              <a:prstDash val="solid"/>
              <a:round/>
            </a:ln>
            <a:effectLst/>
          </c:spPr>
          <c:marker>
            <c:symbol val="circle"/>
            <c:size val="5"/>
            <c:spPr>
              <a:solidFill>
                <a:srgbClr val="00706B"/>
              </a:solidFill>
              <a:ln w="9525" cap="flat" cmpd="sng" algn="ctr">
                <a:solidFill>
                  <a:srgbClr val="00706B"/>
                </a:solidFill>
                <a:prstDash val="solid"/>
                <a:round/>
              </a:ln>
              <a:effectLst/>
            </c:spPr>
          </c:marker>
          <c:dLbls>
            <c:dLbl>
              <c:idx val="1"/>
              <c:layout>
                <c:manualLayout>
                  <c:x val="-0.0358490813648294"/>
                  <c:y val="0.05635139013341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Sheet1!$B$543:$M$543</c:f>
              <c:numCache>
                <c:formatCode>General</c:formatCode>
                <c:ptCount val="12"/>
                <c:pt idx="0">
                  <c:v>2020</c:v>
                </c:pt>
                <c:pt idx="1">
                  <c:v>2019</c:v>
                </c:pt>
                <c:pt idx="2">
                  <c:v>2018</c:v>
                </c:pt>
                <c:pt idx="3">
                  <c:v>2017</c:v>
                </c:pt>
                <c:pt idx="4">
                  <c:v>2016</c:v>
                </c:pt>
                <c:pt idx="5">
                  <c:v>2015</c:v>
                </c:pt>
                <c:pt idx="6">
                  <c:v>2014</c:v>
                </c:pt>
                <c:pt idx="7">
                  <c:v>2013</c:v>
                </c:pt>
                <c:pt idx="8">
                  <c:v>2012</c:v>
                </c:pt>
                <c:pt idx="9">
                  <c:v>2011</c:v>
                </c:pt>
                <c:pt idx="10">
                  <c:v>2010</c:v>
                </c:pt>
                <c:pt idx="11">
                  <c:v>2009</c:v>
                </c:pt>
              </c:numCache>
            </c:numRef>
          </c:cat>
          <c:val>
            <c:numRef>
              <c:f>Sheet1!$B$544:$M$544</c:f>
              <c:numCache>
                <c:formatCode>General</c:formatCode>
                <c:ptCount val="12"/>
                <c:pt idx="0">
                  <c:v>-1.9</c:v>
                </c:pt>
                <c:pt idx="1">
                  <c:v>-8.2</c:v>
                </c:pt>
                <c:pt idx="2">
                  <c:v>-2.7</c:v>
                </c:pt>
                <c:pt idx="3">
                  <c:v>3</c:v>
                </c:pt>
                <c:pt idx="4">
                  <c:v>13.9</c:v>
                </c:pt>
                <c:pt idx="5">
                  <c:v>4.7</c:v>
                </c:pt>
                <c:pt idx="6">
                  <c:v>6.8</c:v>
                </c:pt>
                <c:pt idx="7">
                  <c:v>13.8</c:v>
                </c:pt>
                <c:pt idx="8">
                  <c:v>4.3</c:v>
                </c:pt>
                <c:pt idx="9">
                  <c:v>2.4</c:v>
                </c:pt>
                <c:pt idx="10">
                  <c:v>32.3</c:v>
                </c:pt>
                <c:pt idx="11">
                  <c:v>45.4</c:v>
                </c:pt>
              </c:numCache>
            </c:numRef>
          </c:val>
          <c:smooth val="0"/>
        </c:ser>
        <c:dLbls>
          <c:showLegendKey val="0"/>
          <c:showVal val="1"/>
          <c:showCatName val="0"/>
          <c:showSerName val="0"/>
          <c:showPercent val="0"/>
          <c:showBubbleSize val="0"/>
        </c:dLbls>
        <c:marker val="1"/>
        <c:smooth val="0"/>
        <c:axId val="310264576"/>
        <c:axId val="310382976"/>
      </c:lineChart>
      <c:catAx>
        <c:axId val="3102645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10382976"/>
        <c:crosses val="autoZero"/>
        <c:auto val="1"/>
        <c:lblAlgn val="ctr"/>
        <c:lblOffset val="100"/>
        <c:noMultiLvlLbl val="0"/>
      </c:catAx>
      <c:valAx>
        <c:axId val="310382976"/>
        <c:scaling>
          <c:orientation val="minMax"/>
        </c:scaling>
        <c:delete val="0"/>
        <c:axPos val="r"/>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10264576"/>
        <c:crosses val="autoZero"/>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lang="zh-CN" sz="800">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512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E701E-71F9-42AB-B0AE-AD5EB928CD0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62</Pages>
  <Words>4990</Words>
  <Characters>28445</Characters>
  <Lines>237</Lines>
  <Paragraphs>66</Paragraphs>
  <TotalTime>1</TotalTime>
  <ScaleCrop>false</ScaleCrop>
  <LinksUpToDate>false</LinksUpToDate>
  <CharactersWithSpaces>33369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2021-04-09T09:08:00Z</dcterms:created>
  <dc:creator>杨治田</dc:creator>
  <cp:lastModifiedBy>许文宇</cp:lastModifiedBy>
  <cp:lastPrinted>2021-04-06T09:46:00Z</cp:lastPrinted>
  <dcterms:modified xsi:type="dcterms:W3CDTF">2021-05-14T01:13:37Z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5BDAEB6671B143F3BA9FCD66893E929A</vt:lpwstr>
  </property>
</Properties>
</file>