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u w:val="none" w:color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 w:color="auto"/>
        </w:rPr>
        <w:t>省级预算内基本建设资金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 w:color="auto"/>
          <w:lang w:eastAsia="zh-CN"/>
        </w:rPr>
        <w:t>投资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 w:color="auto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u w:val="none" w:color="auto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 w:color="auto"/>
          <w:lang w:val="en-US" w:eastAsia="zh-CN"/>
        </w:rPr>
        <w:t>和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 w:color="auto"/>
        </w:rPr>
        <w:t>项目管理办法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第一条</w:t>
      </w:r>
      <w:r>
        <w:rPr>
          <w:rFonts w:hint="default" w:ascii="Times New Roman" w:hAnsi="Times New Roman" w:eastAsia="仿宋" w:cs="Times New Roman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为规范省级预算内基本建设资金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投资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计划和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管理，提高政府投资效益，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政府投资条例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》（中华人民共和国国务院令第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712号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《陕西省政府投资管理办法》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（陕西省人民政府令第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226号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等法规规章和有关规定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 xml:space="preserve">第二条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本办法所称省级预算内基本建设资金（以下简称基建资金），是指列入省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财政预算，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由省发展改革委负责管理、编制下达投资计划，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主要用于固定资产投资的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省级财政专项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可采取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直接投资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资本金注入、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投资补助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和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贷款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贴息等方式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安排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 xml:space="preserve">条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基建资金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应当投向社会公益服务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、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公共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基础设施、农业农村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生态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环境保护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、重大科技进步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社会管理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国家安全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等公共领域，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以保障省委、省政府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确定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的重大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项目和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重要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事项为主，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重点支持省本级政府投资项目、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要求省级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给予补助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的中央预算内投资项目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、基础设施和公共服务领域补短板项目，以及加强项目前期谋划储备推进、深化投融资体制改革、推动重大投融资政策落地等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其他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重要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省发展改革委根据省委、省政府部署安排，定期评估调整基建资金重点支持范围，持续优化投资方向和结构。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第二章  年度投资计划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编制和下达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 xml:space="preserve">条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基建资金投资计划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原则上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在上年度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6月份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申报，项目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单位需提交资金申请，主要包括以下内容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和附件材料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（一）项目基本情况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单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项目包括建设内容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建设规模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、总投资及资金来源、建设条件落实情况、投资完成情况和工程形象进度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年度基建资金需求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打捆项目包括规划建设任务、资金筹措方案、项目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进展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年度建设任务和年度基建资金需求等；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）项目实施和申请基建资金的主要依据，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包括中央和我省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各类规划、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省委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省政府工作报告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、文件、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会议纪要、办文等；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）单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项目需提供项目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可行性研究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报告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批复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或核准文件、备案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确认书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 xml:space="preserve">条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直接投资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、资本金注入方式安排的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在安排资金年度的9月底前开工建设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；以投资补助方式安排的项目，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需已开工建设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；以贷款贴息方式安排的项目，贴息范围、贴息标准等需已经省政府同意。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 xml:space="preserve">条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省委、省政府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部署安排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和年度基建资金规模，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省发展改革委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研究提出年度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基建资金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投资计划建议方案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，每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年1月底按程序报省政府审定。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省政府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审定的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基建资金投资计划方案，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省发展改革委及时下达投资计划。其中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对打捆项目，需项目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单位提交资金申请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后，再下达投资计划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。投资计划原则上应在当年9月底前下达完毕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财政部门依照投资计划及时拨付资金。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章  省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eastAsia="zh-CN"/>
        </w:rPr>
        <w:t>级预算内直接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投资项目管理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省级预算内直接投资项目是指以直接投资方式安排基建资金的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省本级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政权建设、公益性和公共基础设施等非经营性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项目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，实行审批制，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由省发展改革委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依次审批项目建议书、可行性研究报告、初步设计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采取本办法第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二条所列其他方式安排基建资金的项目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按有关规定执行。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非涉密项目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所有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审批事项全部纳入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陕西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省投资项目在线审批监管平台，实行“一站式”网上审批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eastAsia="zh-CN"/>
        </w:rPr>
        <w:t>第九条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省级预算内直接投资项目严格实行集体决策，项目单位在报送项目建议书的同时，须提供本部门相关党委（党组）会议或办公会议纪要。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十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 xml:space="preserve">  符合下列条件之一的，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可以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不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再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审批项目建议书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（一）省委、省政府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已经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研究同意的项目；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（二）中央和我省相关规划中已明确的项目；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）总投资5000万元以下的项目。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第十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 xml:space="preserve">  符合下列条件之一的，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可以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将项目建议书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可行性研究报告和初步设计合并为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初步设计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（代可行性研究报告）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一次审批：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建设内容单一、技术方案简单的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（二）总投资1000万元以下的项目；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为应对自然灾害、事故灾难、公共卫生事件、社会安全事件等突发事件需要紧急建设的项目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合并审批的初步设计（代可行性研究报告）应同时满足项目建议书、可行性研究报告、初步设计相关编制要求。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国家关于简化审批程序和报批文件有专门规定的，从其规定。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第十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条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项目建议书批复后，项目单位、建设地点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发生变更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，或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建设内容、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建设规模、投资规模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有重大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变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化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的，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项目建议书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需重新报批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eastAsia="zh-CN"/>
        </w:rPr>
        <w:t>十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条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项目单位依据项目建议书批复文件，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报批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可行性研究报告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，并按照有关规定附具应当提供的文件和资料。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以划拨方式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获得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国有土地使用权的项目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需要进行用地预审的项目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应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自然资源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和规划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主管部门出具的建设项目用地预审与选址意见书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。不需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提供的，应提供无需办理的相关说明。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政务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信息化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建设项目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、包含政务信息化建设内容的项目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需由省电子政务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出具建设方案审核意见，技术业务用房项目需由省机关事务服务中心出具建设方案审核意见。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eastAsia="zh-CN"/>
        </w:rPr>
        <w:t>十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1000万元以上的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项目，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省发展改革委在审批项目可行性研究报告前，就项目建设方案和筹资方案提出具体意见，报省政府审定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办公用房建设项目审批程序按有关规定执行。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十五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条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项目单位应按照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国家有关规定和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可行性研究报告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批复文件的要求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进行初步设计，并编制投资概算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投资概算应包括国家规定的项目建设所需的全部费用。投资概算超过可行性研究报告批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复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投资估算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10%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的，项目单位应报告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省发展改革委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省发展改革委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可以要求项目单位重新组织编制和报批可行性研究报告。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十六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 xml:space="preserve"> 项目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要严格按照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批准的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初步设计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进行限额设计、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组织实施项目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建设，不得擅自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变更建设内容、建设规模、建设标准。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</w:pPr>
      <w:r>
        <w:rPr>
          <w:rFonts w:hint="eastAsia" w:cs="Times New Roman"/>
          <w:sz w:val="32"/>
          <w:szCs w:val="32"/>
          <w:u w:val="none" w:color="auto"/>
          <w:lang w:val="en-US" w:eastAsia="zh-CN"/>
        </w:rPr>
        <w:t xml:space="preserve">    项目开工后，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确需进行项目变更的，项目单位应在实施变更前向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省发展改革委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提出变更申请，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提供本部门相关党委（党组）会议或办公会议纪要，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报送项目变更方案，并附具变更相关依据文件和支撑材料，项目变更方案应达到初步设计深度。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</w:pPr>
      <w:r>
        <w:rPr>
          <w:rFonts w:hint="eastAsia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由于项目变更造成投资概算增加10%或1000万元以上的，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省发展改革委对项目变更方案进行评估论证后，就项目变更方案和投资概算重新核定提出初审意见报省政府审定；省发展改革委根据省政府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审定意见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，批复项目变更方案，并重新核定项目投资概算。项目变更的批复文件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抄送省纪委监委、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省审计厅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</w:pPr>
      <w:r>
        <w:rPr>
          <w:rFonts w:hint="eastAsia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项目单位按照批复的项目变更方案组织实施。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eastAsia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第十七条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经核定的投资概算是控制项目总投资的依据，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原则上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不得突破。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eastAsia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因国家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政策调整、价格上涨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地质条件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发生重大变化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确需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调整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投资概算的，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项目单位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委托具备相应资质单位编制调整概算书，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提供本部门相关党委（党组）会议或办公会议纪要，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附具与调整概算有关的招标及合同文件等支撑材料，并提出落实超概资金来源的意见，向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省发展改革委提出概算调整申请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</w:pPr>
      <w:r>
        <w:rPr>
          <w:rFonts w:hint="eastAsia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调增投资概算超过10%或1000万元以上的，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省发展改革委对概算调整书进行评估论证，原则上应商请省审计机关对项目进行审计；省发展改革委根据评估论证情况和审计结果，提出初审意见报省政府审定，并按照省政府审定意见批复概算调整书。概算调整书的批复文件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抄送省纪委监委、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省审计厅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</w:pPr>
      <w:r>
        <w:rPr>
          <w:rFonts w:hint="eastAsia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对于因本条第二款所列以外的原因造成概算增加的，一律不予调整概算。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eastAsia="zh-CN"/>
        </w:rPr>
        <w:t>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 xml:space="preserve"> 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应在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 w:color="auto"/>
          <w:lang w:eastAsia="zh-CN"/>
        </w:rPr>
        <w:t>工程质量竣工验收合格，并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eastAsia="zh-CN"/>
        </w:rPr>
        <w:t>消防、人民防空、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 w:color="auto"/>
          <w:lang w:eastAsia="zh-CN"/>
        </w:rPr>
        <w:t>环保、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eastAsia="zh-CN"/>
        </w:rPr>
        <w:t>安全生产、建设档案等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专项验收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 w:color="auto"/>
          <w:lang w:eastAsia="zh-CN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省发展改革委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报送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 w:color="auto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竣工验收申请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省发展改革委负责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组织竣工验收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eastAsia="zh-CN"/>
        </w:rPr>
        <w:t>，也可委托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项目主管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下级发展改革部门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 w:color="auto"/>
        </w:rPr>
        <w:t>竣工验收。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十九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 xml:space="preserve">条  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项目竣工验收合格后，项目单位应当按照有关规定，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及时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办理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竣工财务决算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和固定资产移交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。完成竣工财务决算后，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结余的基建资金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项目单位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应缴回国库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eastAsia="zh-CN"/>
        </w:rPr>
        <w:t>二十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省发展改革委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按照“先评估、后决策”的原则，履行咨询评估程序后，在充分考虑咨询评估意见的基础上，审批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项目建议书、可行性研究报告、初步设计。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eastAsia="zh-CN"/>
        </w:rPr>
        <w:t>二十一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条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项目建议书、可行性研究报告由项目单位委托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相应资信的工程咨询机构编制，初步设计应委托相应资质的设计单位编制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eastAsia="zh-CN"/>
        </w:rPr>
        <w:t>二十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条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省本级非经营性政府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投资项目，</w:t>
      </w:r>
      <w:r>
        <w:rPr>
          <w:rFonts w:hint="eastAsia" w:cs="Times New Roman"/>
          <w:sz w:val="32"/>
          <w:szCs w:val="32"/>
          <w:u w:val="none" w:color="auto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实行代建制，通过招标等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选择第三方机构，负责组织项目的建设实施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具体办法由省发展改革委规定。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章  投资计划执行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eastAsia="zh-CN"/>
        </w:rPr>
        <w:t>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eastAsia="zh-CN"/>
        </w:rPr>
        <w:t>二十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</w:rPr>
        <w:t xml:space="preserve">条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按照“谁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审批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监管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，谁主管谁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监管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”的原则，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省发展改革委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统筹负责基建资金投资计划执行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和项目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管理工作，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各级发展改革、财政、审计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项目主管部门和其他有关部门，依据职责分工，对基建资金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安排的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项目进行监管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eastAsia="zh-CN"/>
        </w:rPr>
        <w:t>二十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</w:rPr>
        <w:t>条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项目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应当依法办理相关手续，在具备国家规定的各项开工条件后，方可开工建设。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eastAsia="zh-CN"/>
        </w:rPr>
        <w:t>二十五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</w:rPr>
        <w:t>条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 xml:space="preserve"> 项目的勘察、设计、施工和监理以及与工程建设有关的重要设备、材料等采购，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达到依法必须招标规模标准的，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应按照《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中华人民共和国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招标投标法》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《中华人民共和国招标投标法实施条例》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《陕西省实施〈中华人民共和国招标投标法〉办法》等有关法律法规规定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，进入相应公共资源交易平台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实行招标。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eastAsia="zh-CN"/>
        </w:rPr>
        <w:t>二十六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</w:rPr>
        <w:t>条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推行工程保险和履约担保制度，加强项目的风险管理。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eastAsia="zh-CN"/>
        </w:rPr>
        <w:t>二十七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</w:rPr>
        <w:t>条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建立项目建设情况报告制度。项目单位应当按照规定向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同级发展改革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部门定期报告项目建设进展情况。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  对于省级预算内基建资金直接投资项目，省发展改革委建立中期评估工作制度，在项目建设期间，适时组织开展项目中期评估，评估结果作为安排后续资金、项目变更审批、概算调整等的参考。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eastAsia="zh-CN"/>
        </w:rPr>
        <w:t>二十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</w:rPr>
        <w:t>条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项目建成运行后，项目审批部门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可以按照国家有关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规定，开展项目后评价，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不断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加强和改进项目管理，提高决策水平和投资效益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eastAsia="zh-CN"/>
        </w:rPr>
        <w:t>二十九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 xml:space="preserve">条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对投资计划下达后一年内仍不能开工建设的项目，省级有关部门、市（区）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发展改革部门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应及时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向省发展改革委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报告情况和原因，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省发展改革委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视情况调整投资计划。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三十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 xml:space="preserve">条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建立基建资金投资计划评估制度</w:t>
      </w:r>
      <w:r>
        <w:rPr>
          <w:rFonts w:hint="eastAsia" w:cs="Times New Roman"/>
          <w:sz w:val="32"/>
          <w:szCs w:val="32"/>
          <w:u w:val="none" w:color="auto"/>
          <w:lang w:val="en-US"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省发展改革委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每年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一季度组织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对上一年度基建资金投资计划执行情况进行总结评估，评估情况上报省政府。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eastAsia="zh-CN"/>
        </w:rPr>
        <w:t>三十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 xml:space="preserve">  对在项目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过程中滥用职权、玩忽职守、徇私舞弊、索贿受贿的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有关人员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，依法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追究法律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eastAsia="zh-CN"/>
        </w:rPr>
        <w:t>三十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 xml:space="preserve">  对项目单位违反本办法规定的，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由相关部门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视情节轻重，可做出限期整改、通报批评、停止安排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基建资金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收回基建资金、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暂停或停止建设活动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停止审批其他项目等决定。违反法律法规的，依法追究法律责任。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eastAsia="zh-CN"/>
        </w:rPr>
        <w:t>三十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咨询、勘察设计、监理、造价、招标代理、代建等中介机构在工作过程中弄虚作假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以及出现深度不够、缺项漏项、设计缺陷等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重大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失误，造成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>严重超出投资概算、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重大损失和恶劣影响的，禁止其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一定期限内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从事政府投资项目相关工作，并将不良记录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纳入全国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公共信用信息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共享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平台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eastAsia="zh-CN"/>
        </w:rPr>
        <w:t>（陕西）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。违反法律法规的，依法追究法律责任。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章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附则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  <w:lang w:val="en-US" w:eastAsia="zh-CN"/>
        </w:rPr>
        <w:t>三十四</w:t>
      </w:r>
      <w:r>
        <w:rPr>
          <w:rFonts w:hint="default" w:ascii="Times New Roman" w:hAnsi="Times New Roman" w:eastAsia="黑体" w:cs="Times New Roman"/>
          <w:sz w:val="32"/>
          <w:szCs w:val="32"/>
          <w:u w:val="none" w:color="auto"/>
        </w:rPr>
        <w:t>条</w:t>
      </w:r>
      <w:r>
        <w:rPr>
          <w:rFonts w:hint="default" w:ascii="Times New Roman" w:hAnsi="Times New Roman" w:cs="Times New Roman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本办法自20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年</w:t>
      </w:r>
      <w:r>
        <w:rPr>
          <w:rFonts w:hint="eastAsia" w:cs="Times New Roman"/>
          <w:sz w:val="32"/>
          <w:szCs w:val="32"/>
          <w:u w:val="none" w:color="auto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月</w:t>
      </w:r>
      <w:r>
        <w:rPr>
          <w:rFonts w:hint="eastAsia" w:cs="Times New Roman"/>
          <w:sz w:val="32"/>
          <w:szCs w:val="32"/>
          <w:u w:val="none" w:color="auto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日起施行，《省级预算内基本建设资金投资计划和项目管理办法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（试行）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》（陕发改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eastAsia="zh-CN"/>
        </w:rPr>
        <w:t>投资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  <w:lang w:val="en-US" w:eastAsia="zh-CN"/>
        </w:rPr>
        <w:t>156</w:t>
      </w:r>
      <w:r>
        <w:rPr>
          <w:rFonts w:hint="default" w:ascii="Times New Roman" w:hAnsi="Times New Roman" w:eastAsia="仿宋_GB2312" w:cs="Times New Roman"/>
          <w:sz w:val="32"/>
          <w:szCs w:val="32"/>
          <w:u w:val="none" w:color="auto"/>
        </w:rPr>
        <w:t>号）同时废止。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70ABE"/>
    <w:rsid w:val="0F27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3"/>
    <w:basedOn w:val="1"/>
    <w:uiPriority w:val="0"/>
    <w:pPr>
      <w:spacing w:after="120" w:afterLines="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2021-06-23T07:06:00Z</dcterms:created>
  <dc:creator>许文宇</dc:creator>
  <cp:lastModifiedBy>许文宇</cp:lastModifiedBy>
  <dcterms:modified xsi:type="dcterms:W3CDTF">2021-06-23T07:06:20Z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A57B438AD2F94AF7959A843E8D3AB1C7</vt:lpwstr>
  </property>
</Properties>
</file>