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napToGrid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sz w:val="44"/>
          <w:szCs w:val="44"/>
          <w:u w:val="none"/>
          <w:lang w:val="en-US"/>
        </w:rPr>
        <w:t>省级政府投资项目中期评估</w:t>
      </w:r>
      <w:r>
        <w:rPr>
          <w:rFonts w:hint="default" w:ascii="Times New Roman" w:hAnsi="Times New Roman" w:eastAsia="方正小标宋简体" w:cs="Times New Roman"/>
          <w:b w:val="0"/>
          <w:bCs/>
          <w:snapToGrid w:val="0"/>
          <w:sz w:val="44"/>
          <w:szCs w:val="44"/>
          <w:u w:val="none"/>
        </w:rPr>
        <w:t>管理办法</w:t>
      </w:r>
      <w:r>
        <w:rPr>
          <w:rFonts w:hint="eastAsia" w:ascii="Times New Roman" w:hAnsi="Times New Roman" w:eastAsia="方正小标宋简体" w:cs="Times New Roman"/>
          <w:b w:val="0"/>
          <w:bCs/>
          <w:snapToGrid w:val="0"/>
          <w:sz w:val="44"/>
          <w:szCs w:val="44"/>
          <w:u w:val="none"/>
          <w:lang w:val="en-US" w:eastAsia="zh-CN"/>
        </w:rPr>
        <w:t>（试行）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napToGrid w:val="0"/>
          <w:sz w:val="32"/>
          <w:szCs w:val="32"/>
          <w:u w:val="none"/>
        </w:rPr>
        <w:t>第一条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为进一步加强政府投资项目事中事后监管，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规范省级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政府投资项目管理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确保政府投资效益，根据《政府投资条例》《陕西省政府投资管理办法》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制定本办法。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</w:rPr>
        <w:t>第二条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本办法适用于省发展改革委审批的政府投资项目。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</w:pP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</w:rPr>
        <w:t>第三条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中期评估原则上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在项目初步设计批复后、项目竣工验收前，根据项目进展情况和管理需要适时进行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</w:pP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</w:rPr>
        <w:t>第四条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  <w:u w:val="none"/>
          <w:lang w:val="en-US"/>
        </w:rPr>
        <w:t>中期评估</w:t>
      </w:r>
      <w:r>
        <w:rPr>
          <w:rFonts w:hint="eastAsia" w:ascii="Times New Roman" w:hAnsi="Times New Roman" w:cs="Times New Roman"/>
          <w:bCs/>
          <w:snapToGrid w:val="0"/>
          <w:sz w:val="32"/>
          <w:szCs w:val="32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  <w:u w:val="none"/>
          <w:lang w:val="en-US"/>
        </w:rPr>
        <w:t>重点</w:t>
      </w:r>
      <w:r>
        <w:rPr>
          <w:rFonts w:hint="eastAsia" w:ascii="Times New Roman" w:hAnsi="Times New Roman" w:cs="Times New Roman"/>
          <w:bCs/>
          <w:snapToGrid w:val="0"/>
          <w:sz w:val="32"/>
          <w:szCs w:val="32"/>
          <w:u w:val="none"/>
          <w:lang w:val="en-US" w:eastAsia="zh-CN"/>
        </w:rPr>
        <w:t>是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  <w:u w:val="none"/>
          <w:lang w:val="en-US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项目前期手续的完备性，项目管理“四制”执行的合法、合规性，项目进度的时效性，项目建设内容与批复文件的一致性，项目投资概算控制的合理性，资金使用管理的规范性。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</w:rPr>
        <w:t>第</w:t>
      </w: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  <w:lang w:val="en-US"/>
        </w:rPr>
        <w:t>五</w:t>
      </w:r>
      <w:r>
        <w:rPr>
          <w:rFonts w:hint="default" w:ascii="黑体" w:hAnsi="黑体" w:eastAsia="黑体" w:cs="黑体"/>
          <w:b w:val="0"/>
          <w:bCs/>
          <w:snapToGrid w:val="0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中期评估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遵循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真实准确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、客观公正、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推动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、强化监管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的原则，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如实记录项目管理情况，客观公正评估项目实施现状，推动项目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管理，为项目监管提供技术支撑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第六条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napToGrid w:val="0"/>
          <w:sz w:val="32"/>
          <w:szCs w:val="32"/>
          <w:u w:val="none"/>
          <w:lang w:val="en-US" w:eastAsia="zh-CN"/>
        </w:rPr>
        <w:t>中期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评估采取集中评估和单项评估相结合的方式。集中评估根据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省级政府投资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项目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整体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实施情况，分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批次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按节点集中进行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全面评估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；单项评估可以是一个项目的全过程评估，也可以是项目的前期工作、招投标、概算执行等某一方面评估。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第七条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省发展改革委审批的政府投资项目实行中期评估工作全覆盖，每个项目在建设阶段至少进行一次评估（集中评估或者单项评估）；集中评估每年进行二至三次，单项评估根据项目管理工作需要开展。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第八条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z w:val="32"/>
          <w:szCs w:val="32"/>
          <w:u w:val="none"/>
          <w:lang w:val="en-US" w:eastAsia="zh-CN"/>
        </w:rPr>
        <w:t>省发展改革委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处室督促项目单位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在每月10日前，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将项目实施进度情况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投资完成、建设进度、资金拨付使用等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及时在陕西省投资项目在线审批监管平台更新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要按照“三到现场”要求，在项目开工、建设、竣工三个阶段至少各开展一次现场检查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u w:val="none"/>
        </w:rPr>
        <w:t>省发展改革委根据项目在线调度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u w:val="none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u w:val="none"/>
        </w:rPr>
        <w:t>情况和项目管理工作需要，每年年初制定中期评估年度计划。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第九条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评估组织采用委托评估和自行评估相结合的方式，委托评估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按照《陕西省发展改革委投资项目和重大事项咨询评估管理办法（试行）》，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委托工程咨询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等第三方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机构承担，自行评估由省发展改革委组织专家评估。集中评估原则上采取委托评估方式，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由省重大项目储备推进中心组织实施；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单项评估原则上采取自行评估方式，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由相关处室委托省重大项目储备推进中心实施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  <w:u w:val="none"/>
          <w:lang w:val="en-US"/>
        </w:rPr>
        <w:t>省发展改革委组织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承担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项目中期评估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第三方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机构，组建满足专业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要求的工作组，在现场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查看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查阅资料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的基础上，对项目进行全面系统的分析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。自行评估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专家组，由组织者根据评估任务需要确定。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第十一条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承担中期评估任务的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第三方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机构，应当按照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发展改革委的委托要求，根据项目所涉及行业特点，遵循各自行业评价方法、工作流程、质量保证要求、执业行为规范，独立开展评估工作，按时、保质完成评估任务，提交评估报告。单个项目评估报告由评估组织者编制提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第十二条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省发展改革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委通过建立项目中期评估机制，认真总结政府投资项目管理的经验教训，将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评估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作为规划制定、项目审批、资金安排的重要参考依据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并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适时向省政府报告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中期评估开展情况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第十三条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napToGrid w:val="0"/>
          <w:sz w:val="32"/>
          <w:szCs w:val="32"/>
          <w:u w:val="none"/>
          <w:lang w:val="en-US"/>
        </w:rPr>
        <w:t>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发展改革委将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评估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结果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和意见建议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及时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反馈项目单位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和主管部门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同步抄送省纪委监委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第十四条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对评估发现的问题，省发展改革委建立相关问题整改台账，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由相关处室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督促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项目主管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部门和项目单位落实整改。对评估中发现的重大问题，直接反馈项目主管部门主要领导。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  <w:r>
        <w:rPr>
          <w:rFonts w:hint="default" w:ascii="黑体" w:hAnsi="黑体" w:eastAsia="黑体" w:cs="黑体"/>
          <w:b w:val="0"/>
          <w:bCs/>
          <w:snapToGrid w:val="0"/>
          <w:kern w:val="2"/>
          <w:sz w:val="32"/>
          <w:szCs w:val="32"/>
          <w:u w:val="none"/>
          <w:lang w:val="en-US" w:eastAsia="zh-CN"/>
        </w:rPr>
        <w:t>第十五条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本办法由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/>
        </w:rPr>
        <w:t>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发展改革委负责解释，中期评估工作由固定资产投资处、评估督导处牵头，委内相关处室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负责</w:t>
      </w: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所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审批项目中期评估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，省重大项目储备推进中心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实施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  <w:t>省政府投资评审中心做好相关配合工作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z w:val="32"/>
          <w:szCs w:val="32"/>
          <w:u w:val="none"/>
          <w:lang w:val="en-US" w:eastAsia="zh-CN"/>
        </w:rPr>
        <w:t>附件：省级政府投资项目中期评估流程图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省级政府投资项目中期评估流程图</w:t>
      </w:r>
    </w:p>
    <w:p>
      <w:pPr>
        <w:pStyle w:val="5"/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127000</wp:posOffset>
            </wp:positionV>
            <wp:extent cx="5531485" cy="7149465"/>
            <wp:effectExtent l="0" t="0" r="12065" b="13335"/>
            <wp:wrapNone/>
            <wp:docPr id="1" name="图片 176" descr="中期评估流程图-6.2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6" descr="中期评估流程图-6.22_01"/>
                    <pic:cNvPicPr>
                      <a:picLocks noChangeAspect="1"/>
                    </pic:cNvPicPr>
                  </pic:nvPicPr>
                  <pic:blipFill>
                    <a:blip r:embed="rId4"/>
                    <a:srcRect l="14716" t="13271" r="13040" b="9862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71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rFonts w:hint="eastAsia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754F"/>
    <w:rsid w:val="0C8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0"/>
    </w:pPr>
    <w:rPr>
      <w:sz w:val="28"/>
      <w:szCs w:val="28"/>
    </w:rPr>
  </w:style>
  <w:style w:type="paragraph" w:customStyle="1" w:styleId="5">
    <w:name w:val="Body Text 3"/>
    <w:basedOn w:val="1"/>
    <w:uiPriority w:val="0"/>
    <w:pPr>
      <w:spacing w:after="120" w:afterLines="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2021-06-23T07:07:00Z</dcterms:created>
  <dc:creator>许文宇</dc:creator>
  <cp:lastModifiedBy>许文宇</cp:lastModifiedBy>
  <dcterms:modified xsi:type="dcterms:W3CDTF">2021-06-23T07:08:13Z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9C686AD4E82949F591FB3CEC9AFB95E3</vt:lpwstr>
  </property>
</Properties>
</file>