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Times New Roman"/>
          <w:bCs/>
          <w:szCs w:val="28"/>
          <w:lang w:eastAsia="zh-CN"/>
        </w:rPr>
      </w:pPr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方正小标宋简体" w:eastAsia="方正小标宋简体" w:cs="Times New Roman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28"/>
        </w:rPr>
        <w:t>企业基本情况表</w:t>
      </w:r>
    </w:p>
    <w:p>
      <w:pPr>
        <w:spacing w:line="240" w:lineRule="auto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</w:rPr>
        <w:t xml:space="preserve">                            </w:t>
      </w: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单位：万元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1"/>
        </w:rPr>
        <w:t xml:space="preserve"> 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190"/>
        <w:gridCol w:w="2488"/>
        <w:gridCol w:w="109"/>
        <w:gridCol w:w="2411"/>
        <w:gridCol w:w="844"/>
        <w:gridCol w:w="44"/>
        <w:gridCol w:w="892"/>
        <w:gridCol w:w="1100"/>
        <w:gridCol w:w="1263"/>
        <w:gridCol w:w="582"/>
        <w:gridCol w:w="738"/>
        <w:gridCol w:w="9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企业名称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法定代表人</w:t>
            </w:r>
          </w:p>
        </w:tc>
        <w:tc>
          <w:tcPr>
            <w:tcW w:w="35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企业地址</w:t>
            </w:r>
          </w:p>
        </w:tc>
        <w:tc>
          <w:tcPr>
            <w:tcW w:w="7086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99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联系电话</w:t>
            </w:r>
          </w:p>
        </w:tc>
        <w:tc>
          <w:tcPr>
            <w:tcW w:w="3525" w:type="dxa"/>
            <w:gridSpan w:val="4"/>
            <w:noWrap w:val="0"/>
            <w:vAlign w:val="center"/>
          </w:tcPr>
          <w:p>
            <w:pPr>
              <w:widowControl/>
              <w:jc w:val="left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企业登记</w:t>
            </w:r>
          </w:p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注册类型</w:t>
            </w:r>
          </w:p>
        </w:tc>
        <w:tc>
          <w:tcPr>
            <w:tcW w:w="36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职工人数（人）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其中：技术人员（人）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隶属关系</w:t>
            </w:r>
          </w:p>
        </w:tc>
        <w:tc>
          <w:tcPr>
            <w:tcW w:w="3678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银行信用等级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94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有无国家认定的技术中心</w:t>
            </w: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47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企业总资产</w:t>
            </w:r>
          </w:p>
        </w:tc>
        <w:tc>
          <w:tcPr>
            <w:tcW w:w="1190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固定资产原值</w:t>
            </w: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固定资产净值</w:t>
            </w: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13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资产负债率</w:t>
            </w:r>
          </w:p>
        </w:tc>
        <w:tc>
          <w:tcPr>
            <w:tcW w:w="942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企业贷款余额</w:t>
            </w:r>
          </w:p>
        </w:tc>
        <w:tc>
          <w:tcPr>
            <w:tcW w:w="2488" w:type="dxa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52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其中：中长期贷款余额</w:t>
            </w:r>
          </w:p>
        </w:tc>
        <w:tc>
          <w:tcPr>
            <w:tcW w:w="178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36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短期贷款余额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9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  <w:lang w:val="en-US" w:eastAsia="zh-CN"/>
              </w:rPr>
              <w:t>2020</w:t>
            </w:r>
            <w:r>
              <w:rPr>
                <w:rFonts w:hint="eastAsia" w:ascii="宋体-PUA" w:hAnsi="宋体-PUA" w:eastAsia="宋体-PUA" w:cs="Times New Roman"/>
                <w:sz w:val="21"/>
              </w:rPr>
              <w:t>年底主要产品生产能力，国内市场占有率，水、能源及相关资源消费量</w:t>
            </w:r>
          </w:p>
        </w:tc>
        <w:tc>
          <w:tcPr>
            <w:tcW w:w="11413" w:type="dxa"/>
            <w:gridSpan w:val="11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66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>
            <w:pPr>
              <w:ind w:firstLine="718" w:firstLineChars="342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年度（近三年）</w:t>
            </w:r>
          </w:p>
          <w:p>
            <w:pPr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 xml:space="preserve">企业经营情况             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sz w:val="21"/>
              </w:rPr>
              <w:t>201</w:t>
            </w:r>
            <w:r>
              <w:rPr>
                <w:rFonts w:hint="eastAsia" w:ascii="黑体" w:hAnsi="黑体" w:eastAsia="黑体" w:cs="宋体"/>
                <w:sz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宋体"/>
                <w:sz w:val="21"/>
              </w:rPr>
              <w:t>年</w:t>
            </w: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sz w:val="21"/>
              </w:rPr>
              <w:t>201</w:t>
            </w:r>
            <w:r>
              <w:rPr>
                <w:rFonts w:hint="eastAsia" w:ascii="黑体" w:hAnsi="黑体" w:eastAsia="黑体" w:cs="宋体"/>
                <w:sz w:val="21"/>
                <w:lang w:val="en-US" w:eastAsia="zh-CN"/>
              </w:rPr>
              <w:t>9</w:t>
            </w:r>
            <w:r>
              <w:rPr>
                <w:rFonts w:hint="eastAsia" w:ascii="黑体" w:hAnsi="黑体" w:eastAsia="黑体" w:cs="宋体"/>
                <w:sz w:val="21"/>
              </w:rPr>
              <w:t>年</w:t>
            </w: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sz w:val="21"/>
              </w:rPr>
              <w:t>20</w:t>
            </w:r>
            <w:r>
              <w:rPr>
                <w:rFonts w:hint="eastAsia" w:ascii="黑体" w:hAnsi="黑体" w:eastAsia="黑体" w:cs="Times New Roman"/>
                <w:sz w:val="21"/>
                <w:lang w:val="en-US" w:eastAsia="zh-CN"/>
              </w:rPr>
              <w:t>20</w:t>
            </w:r>
            <w:r>
              <w:rPr>
                <w:rFonts w:hint="eastAsia" w:ascii="黑体" w:hAnsi="黑体" w:eastAsia="黑体" w:cs="宋体"/>
                <w:sz w:val="21"/>
              </w:rPr>
              <w:t>年</w:t>
            </w: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Times New Roman"/>
                <w:sz w:val="21"/>
              </w:rPr>
            </w:pPr>
            <w:r>
              <w:rPr>
                <w:rFonts w:hint="eastAsia" w:ascii="黑体" w:hAnsi="黑体" w:eastAsia="黑体" w:cs="Times New Roman"/>
                <w:sz w:val="21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销售收入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利    润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66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  <w:r>
              <w:rPr>
                <w:rFonts w:hint="eastAsia" w:ascii="宋体-PUA" w:hAnsi="宋体-PUA" w:eastAsia="宋体-PUA" w:cs="Times New Roman"/>
                <w:sz w:val="21"/>
              </w:rPr>
              <w:t>税    金</w:t>
            </w:r>
          </w:p>
        </w:tc>
        <w:tc>
          <w:tcPr>
            <w:tcW w:w="259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5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3299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  <w:tc>
          <w:tcPr>
            <w:tcW w:w="226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-PUA" w:hAnsi="宋体-PUA" w:eastAsia="宋体-PUA" w:cs="Times New Roman"/>
                <w:sz w:val="21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464027"/>
    <w:rsid w:val="3146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2021-10-20T00:35:00Z</dcterms:created>
  <dc:creator>许文宇</dc:creator>
  <cp:lastModifiedBy>许文宇</cp:lastModifiedBy>
  <dcterms:modified xsi:type="dcterms:W3CDTF">2021-10-20T00:36:11Z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388B046AA49546BC9A9982C36380619A</vt:lpwstr>
  </property>
</Properties>
</file>