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112" w:rightChars="36" w:firstLine="0" w:firstLineChars="0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112" w:rightChars="36" w:firstLine="0" w:firstLineChars="0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lang w:val="en-US" w:eastAsia="zh-CN" w:bidi="ar"/>
        </w:rPr>
        <w:t>陕煤集团榆林化学3个项目年度能耗指标落实情况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firstLine="0" w:firstLineChars="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tbl>
      <w:tblPr>
        <w:tblStyle w:val="5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0"/>
        <w:gridCol w:w="3232"/>
        <w:gridCol w:w="3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3个项目能耗指标落实情况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（万吨标准煤）</w:t>
            </w:r>
          </w:p>
        </w:tc>
        <w:tc>
          <w:tcPr>
            <w:tcW w:w="3188" w:type="dxa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3个项目年度用能预算上限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（万吨标准煤）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27.51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230.45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230.45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262.45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262.45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287.69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287.69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4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3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  <w:tc>
          <w:tcPr>
            <w:tcW w:w="31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112" w:rightChars="36" w:firstLine="466" w:firstLineChars="20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  <w:t>备注：省级配套指标按照进度逐年配置。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8B7931"/>
    <w:rsid w:val="338B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540" w:lineRule="exact"/>
      <w:ind w:right="108" w:rightChars="36"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2022-01-19T01:41:00Z</dcterms:created>
  <dc:creator>许文宇</dc:creator>
  <cp:lastModifiedBy>许文宇</cp:lastModifiedBy>
  <dcterms:modified xsi:type="dcterms:W3CDTF">2022-01-19T01:42:12Z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179A6CFCE32B476C9104408466D61A21</vt:lpwstr>
  </property>
</Properties>
</file>