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hint="eastAsia" w:ascii="黑体" w:hAnsi="黑体" w:eastAsia="黑体" w:cs="黑体"/>
          <w:sz w:val="32"/>
          <w:szCs w:val="32"/>
          <w:lang w:val="en-US" w:eastAsia="zh-CN"/>
        </w:rPr>
      </w:pPr>
      <w:bookmarkStart w:id="34" w:name="_GoBack"/>
      <w:bookmarkEnd w:id="34"/>
    </w:p>
    <w:p>
      <w:pPr>
        <w:jc w:val="center"/>
        <w:rPr>
          <w:rFonts w:hint="eastAsia" w:ascii="黑体" w:hAnsi="黑体" w:eastAsia="黑体" w:cs="黑体"/>
          <w:sz w:val="32"/>
          <w:szCs w:val="32"/>
          <w:lang w:val="en-US" w:eastAsia="zh-CN"/>
        </w:rPr>
      </w:pPr>
    </w:p>
    <w:p>
      <w:pPr>
        <w:jc w:val="center"/>
        <w:rPr>
          <w:rFonts w:hint="eastAsia" w:ascii="黑体" w:hAnsi="黑体" w:eastAsia="黑体" w:cs="黑体"/>
          <w:sz w:val="32"/>
          <w:szCs w:val="32"/>
          <w:lang w:val="en-US" w:eastAsia="zh-CN"/>
        </w:rPr>
      </w:pPr>
    </w:p>
    <w:p>
      <w:pPr>
        <w:jc w:val="both"/>
        <w:rPr>
          <w:rFonts w:hint="eastAsia" w:ascii="黑体" w:hAnsi="黑体" w:eastAsia="黑体" w:cs="黑体"/>
          <w:sz w:val="32"/>
          <w:szCs w:val="32"/>
          <w:lang w:val="en-US" w:eastAsia="zh-CN"/>
        </w:rPr>
      </w:pPr>
    </w:p>
    <w:p>
      <w:pPr>
        <w:spacing w:line="360" w:lineRule="auto"/>
        <w:jc w:val="center"/>
        <w:rPr>
          <w:rFonts w:hint="eastAsia" w:ascii="方正小标宋简体" w:hAnsi="方正小标宋简体" w:eastAsia="方正小标宋简体" w:cs="方正小标宋简体"/>
          <w:sz w:val="48"/>
          <w:szCs w:val="48"/>
          <w:lang w:val="en-US" w:eastAsia="zh-CN"/>
        </w:rPr>
      </w:pPr>
      <w:r>
        <w:rPr>
          <w:rFonts w:hint="eastAsia" w:ascii="方正小标宋简体" w:hAnsi="方正小标宋简体" w:eastAsia="方正小标宋简体" w:cs="方正小标宋简体"/>
          <w:sz w:val="48"/>
          <w:szCs w:val="48"/>
          <w:lang w:val="en-US" w:eastAsia="zh-CN"/>
        </w:rPr>
        <w:t>陕西省“十四五”</w:t>
      </w:r>
    </w:p>
    <w:p>
      <w:pPr>
        <w:spacing w:line="360" w:lineRule="auto"/>
        <w:jc w:val="center"/>
        <w:rPr>
          <w:rFonts w:hint="eastAsia" w:ascii="方正小标宋简体" w:hAnsi="方正小标宋简体" w:eastAsia="方正小标宋简体" w:cs="方正小标宋简体"/>
          <w:sz w:val="48"/>
          <w:szCs w:val="48"/>
          <w:lang w:val="en-US" w:eastAsia="zh-CN"/>
        </w:rPr>
      </w:pPr>
      <w:r>
        <w:rPr>
          <w:rFonts w:hint="eastAsia" w:ascii="方正小标宋简体" w:hAnsi="方正小标宋简体" w:eastAsia="方正小标宋简体" w:cs="方正小标宋简体"/>
          <w:sz w:val="48"/>
          <w:szCs w:val="48"/>
          <w:lang w:val="en-US" w:eastAsia="zh-CN"/>
        </w:rPr>
        <w:t>物流业高质量发展规划</w:t>
      </w:r>
    </w:p>
    <w:p>
      <w:pPr>
        <w:pStyle w:val="2"/>
        <w:spacing w:line="360" w:lineRule="auto"/>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tabs>
          <w:tab w:val="left" w:pos="2460"/>
        </w:tabs>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ab/>
      </w: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keepNext w:val="0"/>
        <w:keepLines w:val="0"/>
        <w:pageBreakBefore w:val="0"/>
        <w:kinsoku/>
        <w:topLinePunct w:val="0"/>
        <w:autoSpaceDE/>
        <w:autoSpaceDN/>
        <w:bidi w:val="0"/>
        <w:ind w:left="0" w:leftChars="0"/>
        <w:jc w:val="center"/>
        <w:textAlignment w:val="auto"/>
        <w:rPr>
          <w:rFonts w:hint="eastAsia" w:ascii="Times New Roman" w:hAnsi="Times New Roman" w:eastAsia="楷体_GB2312" w:cs="Times New Roman"/>
          <w:color w:val="000000"/>
          <w:sz w:val="32"/>
          <w:szCs w:val="32"/>
          <w:lang w:val="en-US" w:eastAsia="zh-CN"/>
        </w:rPr>
      </w:pPr>
      <w:r>
        <w:rPr>
          <w:rFonts w:hint="eastAsia" w:ascii="Times New Roman" w:hAnsi="Times New Roman" w:eastAsia="楷体_GB2312" w:cs="Times New Roman"/>
          <w:color w:val="000000"/>
          <w:sz w:val="32"/>
          <w:szCs w:val="32"/>
          <w:lang w:val="en-US" w:eastAsia="zh-CN"/>
        </w:rPr>
        <w:t>陕西省发展和改革委员会</w:t>
      </w:r>
    </w:p>
    <w:p>
      <w:pPr>
        <w:keepNext w:val="0"/>
        <w:keepLines w:val="0"/>
        <w:pageBreakBefore w:val="0"/>
        <w:kinsoku/>
        <w:topLinePunct w:val="0"/>
        <w:autoSpaceDE/>
        <w:autoSpaceDN/>
        <w:bidi w:val="0"/>
        <w:ind w:left="0" w:leftChars="0"/>
        <w:jc w:val="center"/>
        <w:textAlignment w:val="auto"/>
        <w:rPr>
          <w:rFonts w:hint="default" w:ascii="Times New Roman" w:hAnsi="Times New Roman" w:eastAsia="楷体_GB2312" w:cs="Times New Roman"/>
          <w:color w:val="000000"/>
          <w:sz w:val="32"/>
          <w:szCs w:val="32"/>
          <w:lang w:val="en-US" w:eastAsia="zh-CN"/>
        </w:rPr>
      </w:pPr>
      <w:r>
        <w:rPr>
          <w:rFonts w:hint="eastAsia" w:ascii="Times New Roman" w:hAnsi="Times New Roman" w:eastAsia="楷体_GB2312" w:cs="Times New Roman"/>
          <w:color w:val="000000"/>
          <w:sz w:val="32"/>
          <w:szCs w:val="32"/>
          <w:lang w:val="en-US" w:eastAsia="zh-CN"/>
        </w:rPr>
        <w:t>二0二一年十一月</w:t>
      </w:r>
    </w:p>
    <w:p>
      <w:pPr>
        <w:keepNext w:val="0"/>
        <w:keepLines w:val="0"/>
        <w:pageBreakBefore w:val="0"/>
        <w:kinsoku/>
        <w:topLinePunct w:val="0"/>
        <w:autoSpaceDE/>
        <w:autoSpaceDN/>
        <w:bidi w:val="0"/>
        <w:ind w:left="0" w:leftChars="0"/>
        <w:jc w:val="center"/>
        <w:textAlignment w:val="auto"/>
        <w:rPr>
          <w:rFonts w:hint="eastAsia" w:ascii="Times New Roman" w:hAnsi="Times New Roman" w:eastAsia="楷体_GB2312" w:cs="Times New Roman"/>
          <w:color w:val="000000"/>
          <w:sz w:val="36"/>
          <w:szCs w:val="36"/>
          <w:lang w:val="en-US" w:eastAsia="zh-CN"/>
        </w:rPr>
      </w:pPr>
    </w:p>
    <w:p>
      <w:pPr>
        <w:pStyle w:val="8"/>
        <w:tabs>
          <w:tab w:val="right" w:leader="dot" w:pos="8306"/>
        </w:tabs>
        <w:jc w:val="both"/>
        <w:rPr>
          <w:rFonts w:hint="eastAsia" w:ascii="黑体" w:hAnsi="黑体" w:eastAsia="黑体" w:cs="黑体"/>
          <w:b/>
          <w:bCs/>
          <w:sz w:val="32"/>
          <w:szCs w:val="32"/>
          <w:lang w:val="en-US" w:eastAsia="zh-CN"/>
        </w:rPr>
        <w:sectPr>
          <w:head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decimal" w:start="1"/>
          <w:cols w:space="720" w:num="1"/>
          <w:docGrid w:type="lines" w:linePitch="312" w:charSpace="0"/>
        </w:sectPr>
      </w:pP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bCs/>
          <w:sz w:val="44"/>
          <w:szCs w:val="44"/>
          <w:lang w:val="en-US" w:eastAsia="zh-CN"/>
        </w:rPr>
      </w:pP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560" w:lineRule="exact"/>
        <w:jc w:val="center"/>
        <w:textAlignment w:val="auto"/>
        <w:outlineLvl w:val="9"/>
        <w:rPr>
          <w:rFonts w:hint="eastAsia" w:ascii="黑体" w:hAnsi="黑体" w:eastAsia="黑体" w:cs="黑体"/>
          <w:b/>
          <w:bCs/>
          <w:sz w:val="44"/>
          <w:szCs w:val="44"/>
          <w:lang w:val="en-US" w:eastAsia="zh-CN"/>
        </w:rPr>
      </w:pPr>
      <w:r>
        <w:rPr>
          <w:rFonts w:hint="eastAsia" w:ascii="黑体" w:hAnsi="黑体" w:eastAsia="黑体" w:cs="黑体"/>
          <w:b/>
          <w:bCs/>
          <w:sz w:val="44"/>
          <w:szCs w:val="44"/>
          <w:lang w:val="en-US" w:eastAsia="zh-CN"/>
        </w:rPr>
        <w:t>目    录</w:t>
      </w:r>
    </w:p>
    <w:p>
      <w:pPr>
        <w:rPr>
          <w:rFonts w:hint="eastAsia"/>
          <w:lang w:val="en-US" w:eastAsia="zh-CN"/>
        </w:rPr>
      </w:pPr>
    </w:p>
    <w:p>
      <w:pPr>
        <w:rPr>
          <w:rFonts w:hint="default"/>
          <w:lang w:val="en-US" w:eastAsia="zh-CN"/>
        </w:rPr>
      </w:pP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680" w:lineRule="exact"/>
        <w:textAlignment w:val="auto"/>
        <w:rPr>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TOC \o "1-2" \h \u </w:instrText>
      </w:r>
      <w:r>
        <w:rPr>
          <w:rFonts w:hint="eastAsia" w:ascii="黑体" w:hAnsi="黑体" w:eastAsia="黑体" w:cs="黑体"/>
          <w:sz w:val="32"/>
          <w:szCs w:val="32"/>
          <w:lang w:val="en-US" w:eastAsia="zh-CN"/>
        </w:rPr>
        <w:fldChar w:fldCharType="separate"/>
      </w: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_Toc21539 </w:instrText>
      </w:r>
      <w:r>
        <w:rPr>
          <w:rFonts w:hint="eastAsia" w:ascii="黑体" w:hAnsi="黑体" w:eastAsia="黑体" w:cs="黑体"/>
          <w:sz w:val="32"/>
          <w:szCs w:val="32"/>
          <w:lang w:val="en-US" w:eastAsia="zh-CN"/>
        </w:rPr>
        <w:fldChar w:fldCharType="separate"/>
      </w:r>
      <w:r>
        <w:rPr>
          <w:rFonts w:hint="eastAsia" w:ascii="黑体" w:hAnsi="黑体" w:eastAsia="黑体" w:cs="黑体"/>
          <w:bCs w:val="0"/>
          <w:sz w:val="32"/>
          <w:szCs w:val="32"/>
          <w:lang w:val="en-US" w:eastAsia="zh-CN"/>
        </w:rPr>
        <w:t>一、发展基础</w:t>
      </w:r>
      <w:r>
        <w:rPr>
          <w:sz w:val="32"/>
          <w:szCs w:val="32"/>
        </w:rPr>
        <w:tab/>
      </w:r>
      <w:r>
        <w:rPr>
          <w:rFonts w:hint="eastAsia"/>
          <w:sz w:val="32"/>
          <w:szCs w:val="32"/>
          <w:lang w:val="en-US" w:eastAsia="zh-CN"/>
        </w:rPr>
        <w:t>1</w:t>
      </w:r>
      <w:r>
        <w:rPr>
          <w:rFonts w:hint="eastAsia" w:ascii="黑体" w:hAnsi="黑体" w:eastAsia="黑体" w:cs="黑体"/>
          <w:sz w:val="32"/>
          <w:szCs w:val="32"/>
          <w:lang w:val="en-US"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680" w:lineRule="exact"/>
        <w:textAlignment w:val="auto"/>
        <w:rPr>
          <w:rFonts w:hint="eastAsia" w:ascii="楷体" w:hAnsi="楷体" w:eastAsia="楷体" w:cs="楷体"/>
          <w:b w:val="0"/>
          <w:bCs w:val="0"/>
          <w:kern w:val="2"/>
          <w:sz w:val="32"/>
          <w:szCs w:val="32"/>
          <w:highlight w:val="none"/>
          <w:lang w:val="en-US" w:eastAsia="zh-CN" w:bidi="ar-SA"/>
        </w:rPr>
      </w:pPr>
      <w:r>
        <w:rPr>
          <w:rFonts w:hint="eastAsia" w:ascii="楷体" w:hAnsi="楷体" w:eastAsia="楷体" w:cs="楷体"/>
          <w:b w:val="0"/>
          <w:bCs w:val="0"/>
          <w:kern w:val="2"/>
          <w:sz w:val="32"/>
          <w:szCs w:val="32"/>
          <w:highlight w:val="none"/>
          <w:lang w:val="en-US" w:eastAsia="zh-CN" w:bidi="ar-SA"/>
        </w:rPr>
        <w:fldChar w:fldCharType="begin"/>
      </w:r>
      <w:r>
        <w:rPr>
          <w:rFonts w:hint="eastAsia" w:ascii="楷体" w:hAnsi="楷体" w:eastAsia="楷体" w:cs="楷体"/>
          <w:b w:val="0"/>
          <w:bCs w:val="0"/>
          <w:kern w:val="2"/>
          <w:sz w:val="32"/>
          <w:szCs w:val="32"/>
          <w:highlight w:val="none"/>
          <w:lang w:val="en-US" w:eastAsia="zh-CN" w:bidi="ar-SA"/>
        </w:rPr>
        <w:instrText xml:space="preserve"> HYPERLINK \l _Toc8393 </w:instrText>
      </w:r>
      <w:r>
        <w:rPr>
          <w:rFonts w:hint="eastAsia" w:ascii="楷体" w:hAnsi="楷体" w:eastAsia="楷体" w:cs="楷体"/>
          <w:b w:val="0"/>
          <w:bCs w:val="0"/>
          <w:kern w:val="2"/>
          <w:sz w:val="32"/>
          <w:szCs w:val="32"/>
          <w:highlight w:val="none"/>
          <w:lang w:val="en-US" w:eastAsia="zh-CN" w:bidi="ar-SA"/>
        </w:rPr>
        <w:fldChar w:fldCharType="separate"/>
      </w:r>
      <w:r>
        <w:rPr>
          <w:rFonts w:hint="eastAsia" w:ascii="楷体" w:hAnsi="楷体" w:eastAsia="楷体" w:cs="楷体"/>
          <w:b w:val="0"/>
          <w:bCs w:val="0"/>
          <w:kern w:val="2"/>
          <w:sz w:val="32"/>
          <w:szCs w:val="32"/>
          <w:highlight w:val="none"/>
          <w:lang w:val="en-US" w:eastAsia="zh-CN" w:bidi="ar-SA"/>
        </w:rPr>
        <w:t>（一）发展现状</w:t>
      </w:r>
      <w:r>
        <w:rPr>
          <w:rFonts w:hint="eastAsia" w:ascii="楷体" w:hAnsi="楷体" w:eastAsia="楷体" w:cs="楷体"/>
          <w:b w:val="0"/>
          <w:bCs w:val="0"/>
          <w:kern w:val="2"/>
          <w:sz w:val="32"/>
          <w:szCs w:val="32"/>
          <w:highlight w:val="none"/>
          <w:lang w:val="en-US" w:eastAsia="zh-CN" w:bidi="ar-SA"/>
        </w:rPr>
        <w:tab/>
      </w:r>
      <w:r>
        <w:rPr>
          <w:rFonts w:hint="eastAsia" w:ascii="楷体" w:hAnsi="楷体" w:eastAsia="楷体" w:cs="楷体"/>
          <w:b w:val="0"/>
          <w:bCs w:val="0"/>
          <w:kern w:val="2"/>
          <w:sz w:val="32"/>
          <w:szCs w:val="32"/>
          <w:highlight w:val="none"/>
          <w:lang w:val="en-US" w:eastAsia="zh-CN" w:bidi="ar-SA"/>
        </w:rPr>
        <w:t>1</w:t>
      </w:r>
      <w:r>
        <w:rPr>
          <w:rFonts w:hint="eastAsia" w:ascii="楷体" w:hAnsi="楷体" w:eastAsia="楷体" w:cs="楷体"/>
          <w:b w:val="0"/>
          <w:bCs w:val="0"/>
          <w:kern w:val="2"/>
          <w:sz w:val="32"/>
          <w:szCs w:val="32"/>
          <w:highlight w:val="none"/>
          <w:lang w:val="en-US" w:eastAsia="zh-CN" w:bidi="ar-SA"/>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680" w:lineRule="exact"/>
        <w:textAlignment w:val="auto"/>
        <w:rPr>
          <w:sz w:val="32"/>
          <w:szCs w:val="32"/>
        </w:rPr>
      </w:pPr>
      <w:r>
        <w:rPr>
          <w:rFonts w:hint="eastAsia" w:ascii="楷体" w:hAnsi="楷体" w:eastAsia="楷体" w:cs="楷体"/>
          <w:b w:val="0"/>
          <w:bCs w:val="0"/>
          <w:kern w:val="2"/>
          <w:sz w:val="32"/>
          <w:szCs w:val="32"/>
          <w:highlight w:val="none"/>
          <w:lang w:val="en-US" w:eastAsia="zh-CN" w:bidi="ar-SA"/>
        </w:rPr>
        <w:fldChar w:fldCharType="begin"/>
      </w:r>
      <w:r>
        <w:rPr>
          <w:rFonts w:hint="eastAsia" w:ascii="楷体" w:hAnsi="楷体" w:eastAsia="楷体" w:cs="楷体"/>
          <w:b w:val="0"/>
          <w:bCs w:val="0"/>
          <w:kern w:val="2"/>
          <w:sz w:val="32"/>
          <w:szCs w:val="32"/>
          <w:highlight w:val="none"/>
          <w:lang w:val="en-US" w:eastAsia="zh-CN" w:bidi="ar-SA"/>
        </w:rPr>
        <w:instrText xml:space="preserve"> HYPERLINK \l _Toc3414 </w:instrText>
      </w:r>
      <w:r>
        <w:rPr>
          <w:rFonts w:hint="eastAsia" w:ascii="楷体" w:hAnsi="楷体" w:eastAsia="楷体" w:cs="楷体"/>
          <w:b w:val="0"/>
          <w:bCs w:val="0"/>
          <w:kern w:val="2"/>
          <w:sz w:val="32"/>
          <w:szCs w:val="32"/>
          <w:highlight w:val="none"/>
          <w:lang w:val="en-US" w:eastAsia="zh-CN" w:bidi="ar-SA"/>
        </w:rPr>
        <w:fldChar w:fldCharType="separate"/>
      </w:r>
      <w:r>
        <w:rPr>
          <w:rFonts w:hint="eastAsia" w:ascii="楷体" w:hAnsi="楷体" w:eastAsia="楷体" w:cs="楷体"/>
          <w:b w:val="0"/>
          <w:bCs w:val="0"/>
          <w:kern w:val="2"/>
          <w:sz w:val="32"/>
          <w:szCs w:val="32"/>
          <w:highlight w:val="none"/>
          <w:lang w:val="en-US" w:eastAsia="zh-CN" w:bidi="ar-SA"/>
        </w:rPr>
        <w:t>（二）面临形势</w:t>
      </w:r>
      <w:r>
        <w:rPr>
          <w:rFonts w:hint="eastAsia" w:ascii="楷体" w:hAnsi="楷体" w:eastAsia="楷体" w:cs="楷体"/>
          <w:b w:val="0"/>
          <w:bCs w:val="0"/>
          <w:kern w:val="2"/>
          <w:sz w:val="32"/>
          <w:szCs w:val="32"/>
          <w:highlight w:val="none"/>
          <w:lang w:val="en-US" w:eastAsia="zh-CN" w:bidi="ar-SA"/>
        </w:rPr>
        <w:tab/>
      </w:r>
      <w:r>
        <w:rPr>
          <w:rFonts w:hint="eastAsia" w:ascii="楷体" w:hAnsi="楷体" w:eastAsia="楷体" w:cs="楷体"/>
          <w:b w:val="0"/>
          <w:bCs w:val="0"/>
          <w:kern w:val="2"/>
          <w:sz w:val="32"/>
          <w:szCs w:val="32"/>
          <w:highlight w:val="none"/>
          <w:lang w:val="en-US" w:eastAsia="zh-CN" w:bidi="ar-SA"/>
        </w:rPr>
        <w:t>3</w:t>
      </w:r>
      <w:r>
        <w:rPr>
          <w:rFonts w:hint="eastAsia" w:ascii="楷体" w:hAnsi="楷体" w:eastAsia="楷体" w:cs="楷体"/>
          <w:b w:val="0"/>
          <w:bCs w:val="0"/>
          <w:kern w:val="2"/>
          <w:sz w:val="32"/>
          <w:szCs w:val="32"/>
          <w:highlight w:val="none"/>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680" w:lineRule="exact"/>
        <w:textAlignment w:val="auto"/>
        <w:rPr>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_Toc6495 </w:instrText>
      </w:r>
      <w:r>
        <w:rPr>
          <w:rFonts w:hint="eastAsia" w:ascii="黑体" w:hAnsi="黑体" w:eastAsia="黑体" w:cs="黑体"/>
          <w:sz w:val="32"/>
          <w:szCs w:val="32"/>
          <w:lang w:val="en-US" w:eastAsia="zh-CN"/>
        </w:rPr>
        <w:fldChar w:fldCharType="separate"/>
      </w:r>
      <w:r>
        <w:rPr>
          <w:rFonts w:hint="eastAsia" w:ascii="黑体" w:hAnsi="黑体" w:eastAsia="黑体" w:cs="黑体"/>
          <w:sz w:val="32"/>
          <w:szCs w:val="32"/>
          <w:lang w:val="en-US" w:eastAsia="zh-CN"/>
        </w:rPr>
        <w:t>二、总体要求</w:t>
      </w:r>
      <w:r>
        <w:rPr>
          <w:sz w:val="32"/>
          <w:szCs w:val="32"/>
        </w:rPr>
        <w:tab/>
      </w:r>
      <w:r>
        <w:rPr>
          <w:rFonts w:hint="eastAsia"/>
          <w:sz w:val="32"/>
          <w:szCs w:val="32"/>
          <w:lang w:val="en-US" w:eastAsia="zh-CN"/>
        </w:rPr>
        <w:t>3</w:t>
      </w:r>
      <w:r>
        <w:rPr>
          <w:rFonts w:hint="eastAsia" w:ascii="黑体" w:hAnsi="黑体" w:eastAsia="黑体" w:cs="黑体"/>
          <w:sz w:val="32"/>
          <w:szCs w:val="32"/>
          <w:lang w:val="en-US"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680" w:lineRule="exact"/>
        <w:textAlignment w:val="auto"/>
        <w:rPr>
          <w:rFonts w:hint="eastAsia" w:ascii="楷体" w:hAnsi="楷体" w:eastAsia="楷体" w:cs="楷体"/>
          <w:b w:val="0"/>
          <w:bCs w:val="0"/>
          <w:kern w:val="2"/>
          <w:sz w:val="32"/>
          <w:szCs w:val="32"/>
          <w:highlight w:val="none"/>
          <w:lang w:val="en-US" w:eastAsia="zh-CN" w:bidi="ar-SA"/>
        </w:rPr>
      </w:pPr>
      <w:r>
        <w:rPr>
          <w:rFonts w:hint="eastAsia" w:ascii="楷体" w:hAnsi="楷体" w:eastAsia="楷体" w:cs="楷体"/>
          <w:b w:val="0"/>
          <w:bCs w:val="0"/>
          <w:kern w:val="2"/>
          <w:sz w:val="32"/>
          <w:szCs w:val="32"/>
          <w:highlight w:val="none"/>
          <w:lang w:val="en-US" w:eastAsia="zh-CN" w:bidi="ar-SA"/>
        </w:rPr>
        <w:fldChar w:fldCharType="begin"/>
      </w:r>
      <w:r>
        <w:rPr>
          <w:rFonts w:hint="eastAsia" w:ascii="楷体" w:hAnsi="楷体" w:eastAsia="楷体" w:cs="楷体"/>
          <w:b w:val="0"/>
          <w:bCs w:val="0"/>
          <w:kern w:val="2"/>
          <w:sz w:val="32"/>
          <w:szCs w:val="32"/>
          <w:highlight w:val="none"/>
          <w:lang w:val="en-US" w:eastAsia="zh-CN" w:bidi="ar-SA"/>
        </w:rPr>
        <w:instrText xml:space="preserve"> HYPERLINK \l _Toc25769 </w:instrText>
      </w:r>
      <w:r>
        <w:rPr>
          <w:rFonts w:hint="eastAsia" w:ascii="楷体" w:hAnsi="楷体" w:eastAsia="楷体" w:cs="楷体"/>
          <w:b w:val="0"/>
          <w:bCs w:val="0"/>
          <w:kern w:val="2"/>
          <w:sz w:val="32"/>
          <w:szCs w:val="32"/>
          <w:highlight w:val="none"/>
          <w:lang w:val="en-US" w:eastAsia="zh-CN" w:bidi="ar-SA"/>
        </w:rPr>
        <w:fldChar w:fldCharType="separate"/>
      </w:r>
      <w:r>
        <w:rPr>
          <w:rFonts w:hint="eastAsia" w:ascii="楷体" w:hAnsi="楷体" w:eastAsia="楷体" w:cs="楷体"/>
          <w:b w:val="0"/>
          <w:bCs w:val="0"/>
          <w:kern w:val="2"/>
          <w:sz w:val="32"/>
          <w:szCs w:val="32"/>
          <w:highlight w:val="none"/>
          <w:lang w:val="en-US" w:eastAsia="zh-CN" w:bidi="ar-SA"/>
        </w:rPr>
        <w:t>（一）指导思想</w:t>
      </w:r>
      <w:r>
        <w:rPr>
          <w:rFonts w:hint="eastAsia" w:ascii="楷体" w:hAnsi="楷体" w:eastAsia="楷体" w:cs="楷体"/>
          <w:b w:val="0"/>
          <w:bCs w:val="0"/>
          <w:kern w:val="2"/>
          <w:sz w:val="32"/>
          <w:szCs w:val="32"/>
          <w:highlight w:val="none"/>
          <w:lang w:val="en-US" w:eastAsia="zh-CN" w:bidi="ar-SA"/>
        </w:rPr>
        <w:tab/>
      </w:r>
      <w:r>
        <w:rPr>
          <w:rFonts w:hint="eastAsia" w:ascii="楷体" w:hAnsi="楷体" w:eastAsia="楷体" w:cs="楷体"/>
          <w:b w:val="0"/>
          <w:bCs w:val="0"/>
          <w:kern w:val="2"/>
          <w:sz w:val="32"/>
          <w:szCs w:val="32"/>
          <w:highlight w:val="none"/>
          <w:lang w:val="en-US" w:eastAsia="zh-CN" w:bidi="ar-SA"/>
        </w:rPr>
        <w:t>3</w:t>
      </w:r>
      <w:r>
        <w:rPr>
          <w:rFonts w:hint="eastAsia" w:ascii="楷体" w:hAnsi="楷体" w:eastAsia="楷体" w:cs="楷体"/>
          <w:b w:val="0"/>
          <w:bCs w:val="0"/>
          <w:kern w:val="2"/>
          <w:sz w:val="32"/>
          <w:szCs w:val="32"/>
          <w:highlight w:val="none"/>
          <w:lang w:val="en-US" w:eastAsia="zh-CN" w:bidi="ar-SA"/>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680" w:lineRule="exact"/>
        <w:textAlignment w:val="auto"/>
        <w:rPr>
          <w:rFonts w:hint="eastAsia" w:ascii="楷体" w:hAnsi="楷体" w:eastAsia="楷体" w:cs="楷体"/>
          <w:b w:val="0"/>
          <w:bCs w:val="0"/>
          <w:kern w:val="2"/>
          <w:sz w:val="32"/>
          <w:szCs w:val="32"/>
          <w:highlight w:val="none"/>
          <w:lang w:val="en-US" w:eastAsia="zh-CN" w:bidi="ar-SA"/>
        </w:rPr>
      </w:pPr>
      <w:r>
        <w:rPr>
          <w:rFonts w:hint="eastAsia" w:ascii="楷体" w:hAnsi="楷体" w:eastAsia="楷体" w:cs="楷体"/>
          <w:b w:val="0"/>
          <w:bCs w:val="0"/>
          <w:kern w:val="2"/>
          <w:sz w:val="32"/>
          <w:szCs w:val="32"/>
          <w:highlight w:val="none"/>
          <w:lang w:val="en-US" w:eastAsia="zh-CN" w:bidi="ar-SA"/>
        </w:rPr>
        <w:fldChar w:fldCharType="begin"/>
      </w:r>
      <w:r>
        <w:rPr>
          <w:rFonts w:hint="eastAsia" w:ascii="楷体" w:hAnsi="楷体" w:eastAsia="楷体" w:cs="楷体"/>
          <w:b w:val="0"/>
          <w:bCs w:val="0"/>
          <w:kern w:val="2"/>
          <w:sz w:val="32"/>
          <w:szCs w:val="32"/>
          <w:highlight w:val="none"/>
          <w:lang w:val="en-US" w:eastAsia="zh-CN" w:bidi="ar-SA"/>
        </w:rPr>
        <w:instrText xml:space="preserve"> HYPERLINK \l _Toc18251 </w:instrText>
      </w:r>
      <w:r>
        <w:rPr>
          <w:rFonts w:hint="eastAsia" w:ascii="楷体" w:hAnsi="楷体" w:eastAsia="楷体" w:cs="楷体"/>
          <w:b w:val="0"/>
          <w:bCs w:val="0"/>
          <w:kern w:val="2"/>
          <w:sz w:val="32"/>
          <w:szCs w:val="32"/>
          <w:highlight w:val="none"/>
          <w:lang w:val="en-US" w:eastAsia="zh-CN" w:bidi="ar-SA"/>
        </w:rPr>
        <w:fldChar w:fldCharType="separate"/>
      </w:r>
      <w:r>
        <w:rPr>
          <w:rFonts w:hint="eastAsia" w:ascii="楷体" w:hAnsi="楷体" w:eastAsia="楷体" w:cs="楷体"/>
          <w:b w:val="0"/>
          <w:bCs w:val="0"/>
          <w:kern w:val="2"/>
          <w:sz w:val="32"/>
          <w:szCs w:val="32"/>
          <w:highlight w:val="none"/>
          <w:lang w:val="en-US" w:eastAsia="zh-CN" w:bidi="ar-SA"/>
        </w:rPr>
        <w:t>（二）基本原则</w:t>
      </w:r>
      <w:r>
        <w:rPr>
          <w:rFonts w:hint="eastAsia" w:ascii="楷体" w:hAnsi="楷体" w:eastAsia="楷体" w:cs="楷体"/>
          <w:b w:val="0"/>
          <w:bCs w:val="0"/>
          <w:kern w:val="2"/>
          <w:sz w:val="32"/>
          <w:szCs w:val="32"/>
          <w:highlight w:val="none"/>
          <w:lang w:val="en-US" w:eastAsia="zh-CN" w:bidi="ar-SA"/>
        </w:rPr>
        <w:tab/>
      </w:r>
      <w:r>
        <w:rPr>
          <w:rFonts w:hint="eastAsia" w:ascii="楷体" w:hAnsi="楷体" w:eastAsia="楷体" w:cs="楷体"/>
          <w:b w:val="0"/>
          <w:bCs w:val="0"/>
          <w:kern w:val="2"/>
          <w:sz w:val="32"/>
          <w:szCs w:val="32"/>
          <w:highlight w:val="none"/>
          <w:lang w:val="en-US" w:eastAsia="zh-CN" w:bidi="ar-SA"/>
        </w:rPr>
        <w:t>4</w:t>
      </w:r>
      <w:r>
        <w:rPr>
          <w:rFonts w:hint="eastAsia" w:ascii="楷体" w:hAnsi="楷体" w:eastAsia="楷体" w:cs="楷体"/>
          <w:b w:val="0"/>
          <w:bCs w:val="0"/>
          <w:kern w:val="2"/>
          <w:sz w:val="32"/>
          <w:szCs w:val="32"/>
          <w:highlight w:val="none"/>
          <w:lang w:val="en-US" w:eastAsia="zh-CN" w:bidi="ar-SA"/>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680" w:lineRule="exact"/>
        <w:textAlignment w:val="auto"/>
        <w:rPr>
          <w:sz w:val="32"/>
          <w:szCs w:val="32"/>
        </w:rPr>
      </w:pPr>
      <w:r>
        <w:rPr>
          <w:rFonts w:hint="eastAsia" w:ascii="楷体" w:hAnsi="楷体" w:eastAsia="楷体" w:cs="楷体"/>
          <w:b w:val="0"/>
          <w:bCs w:val="0"/>
          <w:kern w:val="2"/>
          <w:sz w:val="32"/>
          <w:szCs w:val="32"/>
          <w:highlight w:val="none"/>
          <w:lang w:val="en-US" w:eastAsia="zh-CN" w:bidi="ar-SA"/>
        </w:rPr>
        <w:fldChar w:fldCharType="begin"/>
      </w:r>
      <w:r>
        <w:rPr>
          <w:rFonts w:hint="eastAsia" w:ascii="楷体" w:hAnsi="楷体" w:eastAsia="楷体" w:cs="楷体"/>
          <w:b w:val="0"/>
          <w:bCs w:val="0"/>
          <w:kern w:val="2"/>
          <w:sz w:val="32"/>
          <w:szCs w:val="32"/>
          <w:highlight w:val="none"/>
          <w:lang w:val="en-US" w:eastAsia="zh-CN" w:bidi="ar-SA"/>
        </w:rPr>
        <w:instrText xml:space="preserve"> HYPERLINK \l _Toc22993 </w:instrText>
      </w:r>
      <w:r>
        <w:rPr>
          <w:rFonts w:hint="eastAsia" w:ascii="楷体" w:hAnsi="楷体" w:eastAsia="楷体" w:cs="楷体"/>
          <w:b w:val="0"/>
          <w:bCs w:val="0"/>
          <w:kern w:val="2"/>
          <w:sz w:val="32"/>
          <w:szCs w:val="32"/>
          <w:highlight w:val="none"/>
          <w:lang w:val="en-US" w:eastAsia="zh-CN" w:bidi="ar-SA"/>
        </w:rPr>
        <w:fldChar w:fldCharType="separate"/>
      </w:r>
      <w:r>
        <w:rPr>
          <w:rFonts w:hint="eastAsia" w:ascii="楷体" w:hAnsi="楷体" w:eastAsia="楷体" w:cs="楷体"/>
          <w:b w:val="0"/>
          <w:bCs w:val="0"/>
          <w:kern w:val="2"/>
          <w:sz w:val="32"/>
          <w:szCs w:val="32"/>
          <w:highlight w:val="none"/>
          <w:lang w:val="en-US" w:eastAsia="zh-CN" w:bidi="ar-SA"/>
        </w:rPr>
        <w:t>（三）发展目标</w:t>
      </w:r>
      <w:r>
        <w:rPr>
          <w:rFonts w:hint="eastAsia" w:ascii="楷体" w:hAnsi="楷体" w:eastAsia="楷体" w:cs="楷体"/>
          <w:b w:val="0"/>
          <w:bCs w:val="0"/>
          <w:kern w:val="2"/>
          <w:sz w:val="32"/>
          <w:szCs w:val="32"/>
          <w:highlight w:val="none"/>
          <w:lang w:val="en-US" w:eastAsia="zh-CN" w:bidi="ar-SA"/>
        </w:rPr>
        <w:tab/>
      </w:r>
      <w:r>
        <w:rPr>
          <w:rFonts w:hint="eastAsia" w:ascii="楷体" w:hAnsi="楷体" w:eastAsia="楷体" w:cs="楷体"/>
          <w:b w:val="0"/>
          <w:bCs w:val="0"/>
          <w:kern w:val="2"/>
          <w:sz w:val="32"/>
          <w:szCs w:val="32"/>
          <w:highlight w:val="none"/>
          <w:lang w:val="en-US" w:eastAsia="zh-CN" w:bidi="ar-SA"/>
        </w:rPr>
        <w:t>6</w:t>
      </w:r>
      <w:r>
        <w:rPr>
          <w:rFonts w:hint="eastAsia" w:ascii="楷体" w:hAnsi="楷体" w:eastAsia="楷体" w:cs="楷体"/>
          <w:b w:val="0"/>
          <w:bCs w:val="0"/>
          <w:kern w:val="2"/>
          <w:sz w:val="32"/>
          <w:szCs w:val="32"/>
          <w:highlight w:val="none"/>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680" w:lineRule="exact"/>
        <w:textAlignment w:val="auto"/>
        <w:rPr>
          <w:sz w:val="32"/>
          <w:szCs w:val="32"/>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_Toc6955 </w:instrText>
      </w:r>
      <w:r>
        <w:rPr>
          <w:rFonts w:hint="eastAsia" w:ascii="黑体" w:hAnsi="黑体" w:eastAsia="黑体" w:cs="黑体"/>
          <w:sz w:val="32"/>
          <w:szCs w:val="32"/>
          <w:lang w:val="en-US" w:eastAsia="zh-CN"/>
        </w:rPr>
        <w:fldChar w:fldCharType="separate"/>
      </w:r>
      <w:r>
        <w:rPr>
          <w:rFonts w:hint="eastAsia" w:ascii="黑体" w:hAnsi="黑体" w:eastAsia="黑体" w:cs="黑体"/>
          <w:bCs w:val="0"/>
          <w:sz w:val="32"/>
          <w:szCs w:val="32"/>
          <w:lang w:val="en-US" w:eastAsia="zh-CN"/>
        </w:rPr>
        <w:t>三、空间布局</w:t>
      </w:r>
      <w:r>
        <w:rPr>
          <w:sz w:val="32"/>
          <w:szCs w:val="32"/>
        </w:rPr>
        <w:tab/>
      </w:r>
      <w:r>
        <w:rPr>
          <w:rFonts w:hint="eastAsia"/>
          <w:sz w:val="32"/>
          <w:szCs w:val="32"/>
          <w:lang w:val="en-US" w:eastAsia="zh-CN"/>
        </w:rPr>
        <w:t>6</w:t>
      </w:r>
      <w:r>
        <w:rPr>
          <w:rFonts w:hint="eastAsia" w:ascii="黑体" w:hAnsi="黑体" w:eastAsia="黑体" w:cs="黑体"/>
          <w:sz w:val="32"/>
          <w:szCs w:val="32"/>
          <w:lang w:val="en-US" w:eastAsia="zh-CN"/>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680" w:lineRule="exact"/>
        <w:textAlignment w:val="auto"/>
        <w:rPr>
          <w:rFonts w:hint="eastAsia" w:ascii="楷体" w:hAnsi="楷体" w:eastAsia="楷体" w:cs="楷体"/>
          <w:b w:val="0"/>
          <w:bCs w:val="0"/>
          <w:kern w:val="2"/>
          <w:sz w:val="32"/>
          <w:szCs w:val="32"/>
          <w:highlight w:val="none"/>
          <w:lang w:val="en-US" w:eastAsia="zh-CN" w:bidi="ar-SA"/>
        </w:rPr>
      </w:pPr>
      <w:r>
        <w:rPr>
          <w:rFonts w:hint="eastAsia" w:ascii="楷体" w:hAnsi="楷体" w:eastAsia="楷体" w:cs="楷体"/>
          <w:b w:val="0"/>
          <w:bCs w:val="0"/>
          <w:kern w:val="2"/>
          <w:sz w:val="32"/>
          <w:szCs w:val="32"/>
          <w:highlight w:val="none"/>
          <w:lang w:val="en-US" w:eastAsia="zh-CN" w:bidi="ar-SA"/>
        </w:rPr>
        <w:fldChar w:fldCharType="begin"/>
      </w:r>
      <w:r>
        <w:rPr>
          <w:rFonts w:hint="eastAsia" w:ascii="楷体" w:hAnsi="楷体" w:eastAsia="楷体" w:cs="楷体"/>
          <w:b w:val="0"/>
          <w:bCs w:val="0"/>
          <w:kern w:val="2"/>
          <w:sz w:val="32"/>
          <w:szCs w:val="32"/>
          <w:highlight w:val="none"/>
          <w:lang w:val="en-US" w:eastAsia="zh-CN" w:bidi="ar-SA"/>
        </w:rPr>
        <w:instrText xml:space="preserve"> HYPERLINK \l _Toc13259 </w:instrText>
      </w:r>
      <w:r>
        <w:rPr>
          <w:rFonts w:hint="eastAsia" w:ascii="楷体" w:hAnsi="楷体" w:eastAsia="楷体" w:cs="楷体"/>
          <w:b w:val="0"/>
          <w:bCs w:val="0"/>
          <w:kern w:val="2"/>
          <w:sz w:val="32"/>
          <w:szCs w:val="32"/>
          <w:highlight w:val="none"/>
          <w:lang w:val="en-US" w:eastAsia="zh-CN" w:bidi="ar-SA"/>
        </w:rPr>
        <w:fldChar w:fldCharType="separate"/>
      </w:r>
      <w:r>
        <w:rPr>
          <w:rFonts w:hint="eastAsia" w:ascii="楷体" w:hAnsi="楷体" w:eastAsia="楷体" w:cs="楷体"/>
          <w:b w:val="0"/>
          <w:bCs w:val="0"/>
          <w:kern w:val="2"/>
          <w:sz w:val="32"/>
          <w:szCs w:val="32"/>
          <w:highlight w:val="none"/>
          <w:lang w:val="en-US" w:eastAsia="zh-CN" w:bidi="ar-SA"/>
        </w:rPr>
        <w:t>（一）强化与周边区域互联互通</w:t>
      </w:r>
      <w:r>
        <w:rPr>
          <w:rFonts w:hint="eastAsia" w:ascii="楷体" w:hAnsi="楷体" w:eastAsia="楷体" w:cs="楷体"/>
          <w:b w:val="0"/>
          <w:bCs w:val="0"/>
          <w:kern w:val="2"/>
          <w:sz w:val="32"/>
          <w:szCs w:val="32"/>
          <w:highlight w:val="none"/>
          <w:lang w:val="en-US" w:eastAsia="zh-CN" w:bidi="ar-SA"/>
        </w:rPr>
        <w:tab/>
      </w:r>
      <w:r>
        <w:rPr>
          <w:rFonts w:hint="eastAsia" w:ascii="楷体" w:hAnsi="楷体" w:eastAsia="楷体" w:cs="楷体"/>
          <w:b w:val="0"/>
          <w:bCs w:val="0"/>
          <w:kern w:val="2"/>
          <w:sz w:val="32"/>
          <w:szCs w:val="32"/>
          <w:highlight w:val="none"/>
          <w:lang w:val="en-US" w:eastAsia="zh-CN" w:bidi="ar-SA"/>
        </w:rPr>
        <w:t>7</w:t>
      </w:r>
      <w:r>
        <w:rPr>
          <w:rFonts w:hint="eastAsia" w:ascii="楷体" w:hAnsi="楷体" w:eastAsia="楷体" w:cs="楷体"/>
          <w:b w:val="0"/>
          <w:bCs w:val="0"/>
          <w:kern w:val="2"/>
          <w:sz w:val="32"/>
          <w:szCs w:val="32"/>
          <w:highlight w:val="none"/>
          <w:lang w:val="en-US" w:eastAsia="zh-CN" w:bidi="ar-SA"/>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680" w:lineRule="exact"/>
        <w:textAlignment w:val="auto"/>
        <w:rPr>
          <w:rFonts w:hint="eastAsia" w:ascii="楷体" w:hAnsi="楷体" w:eastAsia="楷体" w:cs="楷体"/>
          <w:b w:val="0"/>
          <w:bCs w:val="0"/>
          <w:kern w:val="2"/>
          <w:sz w:val="32"/>
          <w:szCs w:val="32"/>
          <w:highlight w:val="none"/>
          <w:lang w:val="en-US" w:eastAsia="zh-CN" w:bidi="ar-SA"/>
        </w:rPr>
      </w:pPr>
      <w:r>
        <w:rPr>
          <w:rFonts w:hint="eastAsia" w:ascii="楷体" w:hAnsi="楷体" w:eastAsia="楷体" w:cs="楷体"/>
          <w:b w:val="0"/>
          <w:bCs w:val="0"/>
          <w:kern w:val="2"/>
          <w:sz w:val="32"/>
          <w:szCs w:val="32"/>
          <w:highlight w:val="none"/>
          <w:lang w:val="en-US" w:eastAsia="zh-CN" w:bidi="ar-SA"/>
        </w:rPr>
        <w:fldChar w:fldCharType="begin"/>
      </w:r>
      <w:r>
        <w:rPr>
          <w:rFonts w:hint="eastAsia" w:ascii="楷体" w:hAnsi="楷体" w:eastAsia="楷体" w:cs="楷体"/>
          <w:b w:val="0"/>
          <w:bCs w:val="0"/>
          <w:kern w:val="2"/>
          <w:sz w:val="32"/>
          <w:szCs w:val="32"/>
          <w:highlight w:val="none"/>
          <w:lang w:val="en-US" w:eastAsia="zh-CN" w:bidi="ar-SA"/>
        </w:rPr>
        <w:instrText xml:space="preserve"> HYPERLINK \l _Toc15759 </w:instrText>
      </w:r>
      <w:r>
        <w:rPr>
          <w:rFonts w:hint="eastAsia" w:ascii="楷体" w:hAnsi="楷体" w:eastAsia="楷体" w:cs="楷体"/>
          <w:b w:val="0"/>
          <w:bCs w:val="0"/>
          <w:kern w:val="2"/>
          <w:sz w:val="32"/>
          <w:szCs w:val="32"/>
          <w:highlight w:val="none"/>
          <w:lang w:val="en-US" w:eastAsia="zh-CN" w:bidi="ar-SA"/>
        </w:rPr>
        <w:fldChar w:fldCharType="separate"/>
      </w:r>
      <w:r>
        <w:rPr>
          <w:rFonts w:hint="eastAsia" w:ascii="楷体" w:hAnsi="楷体" w:eastAsia="楷体" w:cs="楷体"/>
          <w:b w:val="0"/>
          <w:bCs w:val="0"/>
          <w:kern w:val="2"/>
          <w:sz w:val="32"/>
          <w:szCs w:val="32"/>
          <w:highlight w:val="none"/>
          <w:lang w:val="en-US" w:eastAsia="zh-CN" w:bidi="ar-SA"/>
        </w:rPr>
        <w:t>（二）优化省内物流设施布局</w:t>
      </w:r>
      <w:r>
        <w:rPr>
          <w:rFonts w:hint="eastAsia" w:ascii="楷体" w:hAnsi="楷体" w:eastAsia="楷体" w:cs="楷体"/>
          <w:b w:val="0"/>
          <w:bCs w:val="0"/>
          <w:kern w:val="2"/>
          <w:sz w:val="32"/>
          <w:szCs w:val="32"/>
          <w:highlight w:val="none"/>
          <w:lang w:val="en-US" w:eastAsia="zh-CN" w:bidi="ar-SA"/>
        </w:rPr>
        <w:tab/>
      </w:r>
      <w:r>
        <w:rPr>
          <w:rFonts w:hint="eastAsia" w:ascii="楷体" w:hAnsi="楷体" w:eastAsia="楷体" w:cs="楷体"/>
          <w:b w:val="0"/>
          <w:bCs w:val="0"/>
          <w:kern w:val="2"/>
          <w:sz w:val="32"/>
          <w:szCs w:val="32"/>
          <w:highlight w:val="none"/>
          <w:lang w:val="en-US" w:eastAsia="zh-CN" w:bidi="ar-SA"/>
        </w:rPr>
        <w:t>8</w:t>
      </w:r>
      <w:r>
        <w:rPr>
          <w:rFonts w:hint="eastAsia" w:ascii="楷体" w:hAnsi="楷体" w:eastAsia="楷体" w:cs="楷体"/>
          <w:b w:val="0"/>
          <w:bCs w:val="0"/>
          <w:kern w:val="2"/>
          <w:sz w:val="32"/>
          <w:szCs w:val="32"/>
          <w:highlight w:val="none"/>
          <w:lang w:val="en-US" w:eastAsia="zh-CN" w:bidi="ar-SA"/>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680" w:lineRule="exact"/>
        <w:textAlignment w:val="auto"/>
        <w:rPr>
          <w:rFonts w:hint="default"/>
          <w:sz w:val="32"/>
          <w:szCs w:val="32"/>
          <w:lang w:val="en-US"/>
        </w:rPr>
      </w:pPr>
      <w:r>
        <w:rPr>
          <w:rFonts w:hint="eastAsia" w:ascii="楷体" w:hAnsi="楷体" w:eastAsia="楷体" w:cs="楷体"/>
          <w:b w:val="0"/>
          <w:bCs w:val="0"/>
          <w:kern w:val="2"/>
          <w:sz w:val="32"/>
          <w:szCs w:val="32"/>
          <w:highlight w:val="none"/>
          <w:lang w:val="en-US" w:eastAsia="zh-CN" w:bidi="ar-SA"/>
        </w:rPr>
        <w:fldChar w:fldCharType="begin"/>
      </w:r>
      <w:r>
        <w:rPr>
          <w:rFonts w:hint="eastAsia" w:ascii="楷体" w:hAnsi="楷体" w:eastAsia="楷体" w:cs="楷体"/>
          <w:b w:val="0"/>
          <w:bCs w:val="0"/>
          <w:kern w:val="2"/>
          <w:sz w:val="32"/>
          <w:szCs w:val="32"/>
          <w:highlight w:val="none"/>
          <w:lang w:val="en-US" w:eastAsia="zh-CN" w:bidi="ar-SA"/>
        </w:rPr>
        <w:instrText xml:space="preserve"> HYPERLINK \l _Toc10313 </w:instrText>
      </w:r>
      <w:r>
        <w:rPr>
          <w:rFonts w:hint="eastAsia" w:ascii="楷体" w:hAnsi="楷体" w:eastAsia="楷体" w:cs="楷体"/>
          <w:b w:val="0"/>
          <w:bCs w:val="0"/>
          <w:kern w:val="2"/>
          <w:sz w:val="32"/>
          <w:szCs w:val="32"/>
          <w:highlight w:val="none"/>
          <w:lang w:val="en-US" w:eastAsia="zh-CN" w:bidi="ar-SA"/>
        </w:rPr>
        <w:fldChar w:fldCharType="separate"/>
      </w:r>
      <w:r>
        <w:rPr>
          <w:rFonts w:hint="eastAsia" w:ascii="楷体" w:hAnsi="楷体" w:eastAsia="楷体" w:cs="楷体"/>
          <w:b w:val="0"/>
          <w:bCs w:val="0"/>
          <w:kern w:val="2"/>
          <w:sz w:val="32"/>
          <w:szCs w:val="32"/>
          <w:highlight w:val="none"/>
          <w:lang w:val="en-US" w:eastAsia="zh-CN" w:bidi="ar-SA"/>
        </w:rPr>
        <w:t>（三）完善“通道+枢纽+网络”运行体系</w:t>
      </w:r>
      <w:r>
        <w:rPr>
          <w:rFonts w:hint="eastAsia" w:ascii="楷体" w:hAnsi="楷体" w:eastAsia="楷体" w:cs="楷体"/>
          <w:b w:val="0"/>
          <w:bCs w:val="0"/>
          <w:kern w:val="2"/>
          <w:sz w:val="32"/>
          <w:szCs w:val="32"/>
          <w:highlight w:val="none"/>
          <w:lang w:val="en-US" w:eastAsia="zh-CN" w:bidi="ar-SA"/>
        </w:rPr>
        <w:tab/>
      </w:r>
      <w:r>
        <w:rPr>
          <w:rFonts w:hint="eastAsia" w:ascii="楷体" w:hAnsi="楷体" w:eastAsia="楷体" w:cs="楷体"/>
          <w:b w:val="0"/>
          <w:bCs w:val="0"/>
          <w:kern w:val="2"/>
          <w:sz w:val="32"/>
          <w:szCs w:val="32"/>
          <w:highlight w:val="none"/>
          <w:lang w:val="en-US" w:eastAsia="zh-CN" w:bidi="ar-SA"/>
        </w:rPr>
        <w:t>9</w:t>
      </w:r>
      <w:r>
        <w:rPr>
          <w:rFonts w:hint="eastAsia" w:ascii="楷体" w:hAnsi="楷体" w:eastAsia="楷体" w:cs="楷体"/>
          <w:b w:val="0"/>
          <w:bCs w:val="0"/>
          <w:kern w:val="2"/>
          <w:sz w:val="32"/>
          <w:szCs w:val="32"/>
          <w:highlight w:val="none"/>
          <w:lang w:val="en-US" w:eastAsia="zh-CN" w:bidi="ar-SA"/>
        </w:rPr>
        <w:fldChar w:fldCharType="end"/>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680" w:lineRule="exact"/>
        <w:textAlignment w:val="auto"/>
        <w:rPr>
          <w:rFonts w:hint="default"/>
          <w:sz w:val="32"/>
          <w:szCs w:val="32"/>
          <w:lang w:val="en-US"/>
        </w:rPr>
      </w:pPr>
      <w:r>
        <w:rPr>
          <w:rFonts w:hint="eastAsia" w:ascii="黑体" w:hAnsi="黑体" w:eastAsia="黑体" w:cs="黑体"/>
          <w:sz w:val="32"/>
          <w:szCs w:val="32"/>
          <w:highlight w:val="none"/>
          <w:lang w:val="en-US" w:eastAsia="zh-CN"/>
        </w:rPr>
        <w:fldChar w:fldCharType="begin"/>
      </w:r>
      <w:r>
        <w:rPr>
          <w:rFonts w:hint="eastAsia" w:ascii="黑体" w:hAnsi="黑体" w:eastAsia="黑体" w:cs="黑体"/>
          <w:sz w:val="32"/>
          <w:szCs w:val="32"/>
          <w:highlight w:val="none"/>
          <w:lang w:val="en-US" w:eastAsia="zh-CN"/>
        </w:rPr>
        <w:instrText xml:space="preserve"> HYPERLINK \l _Toc21708 </w:instrText>
      </w:r>
      <w:r>
        <w:rPr>
          <w:rFonts w:hint="eastAsia" w:ascii="黑体" w:hAnsi="黑体" w:eastAsia="黑体" w:cs="黑体"/>
          <w:sz w:val="32"/>
          <w:szCs w:val="32"/>
          <w:highlight w:val="none"/>
          <w:lang w:val="en-US" w:eastAsia="zh-CN"/>
        </w:rPr>
        <w:fldChar w:fldCharType="separate"/>
      </w:r>
      <w:r>
        <w:rPr>
          <w:rFonts w:hint="eastAsia" w:ascii="黑体" w:hAnsi="黑体" w:eastAsia="黑体" w:cs="黑体"/>
          <w:sz w:val="32"/>
          <w:szCs w:val="32"/>
          <w:highlight w:val="none"/>
          <w:lang w:val="en-US" w:eastAsia="zh-CN"/>
        </w:rPr>
        <w:t>四</w:t>
      </w:r>
      <w:r>
        <w:rPr>
          <w:rFonts w:hint="eastAsia" w:ascii="黑体" w:hAnsi="黑体" w:eastAsia="黑体" w:cs="黑体"/>
          <w:bCs w:val="0"/>
          <w:sz w:val="32"/>
          <w:szCs w:val="32"/>
          <w:highlight w:val="none"/>
          <w:lang w:val="en-US" w:eastAsia="zh-CN"/>
        </w:rPr>
        <w:t>、主要任务</w:t>
      </w:r>
      <w:r>
        <w:rPr>
          <w:sz w:val="32"/>
          <w:szCs w:val="32"/>
          <w:highlight w:val="none"/>
        </w:rPr>
        <w:tab/>
      </w:r>
      <w:r>
        <w:rPr>
          <w:rFonts w:hint="eastAsia"/>
          <w:sz w:val="32"/>
          <w:szCs w:val="32"/>
          <w:highlight w:val="none"/>
          <w:lang w:val="en-US" w:eastAsia="zh-CN"/>
        </w:rPr>
        <w:t>1</w:t>
      </w:r>
      <w:r>
        <w:rPr>
          <w:rFonts w:hint="eastAsia" w:ascii="黑体" w:hAnsi="黑体" w:eastAsia="黑体" w:cs="黑体"/>
          <w:sz w:val="32"/>
          <w:szCs w:val="32"/>
          <w:highlight w:val="none"/>
          <w:lang w:val="en-US" w:eastAsia="zh-CN"/>
        </w:rPr>
        <w:fldChar w:fldCharType="end"/>
      </w:r>
      <w:r>
        <w:rPr>
          <w:rFonts w:hint="eastAsia" w:ascii="黑体" w:hAnsi="黑体" w:eastAsia="黑体" w:cs="黑体"/>
          <w:sz w:val="32"/>
          <w:szCs w:val="32"/>
          <w:highlight w:val="none"/>
          <w:lang w:val="en-US" w:eastAsia="zh-CN"/>
        </w:rPr>
        <w:t>0</w:t>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680" w:lineRule="exact"/>
        <w:textAlignment w:val="auto"/>
        <w:rPr>
          <w:rFonts w:hint="default" w:ascii="楷体" w:hAnsi="楷体" w:eastAsia="楷体" w:cs="楷体"/>
          <w:b w:val="0"/>
          <w:bCs w:val="0"/>
          <w:kern w:val="2"/>
          <w:sz w:val="32"/>
          <w:szCs w:val="32"/>
          <w:highlight w:val="none"/>
          <w:lang w:val="en-US" w:eastAsia="zh-CN" w:bidi="ar-SA"/>
        </w:rPr>
      </w:pPr>
      <w:r>
        <w:rPr>
          <w:rFonts w:hint="eastAsia" w:ascii="楷体" w:hAnsi="楷体" w:eastAsia="楷体" w:cs="楷体"/>
          <w:b w:val="0"/>
          <w:bCs w:val="0"/>
          <w:kern w:val="2"/>
          <w:sz w:val="32"/>
          <w:szCs w:val="32"/>
          <w:highlight w:val="none"/>
          <w:lang w:val="en-US" w:eastAsia="zh-CN" w:bidi="ar-SA"/>
        </w:rPr>
        <w:fldChar w:fldCharType="begin"/>
      </w:r>
      <w:r>
        <w:rPr>
          <w:rFonts w:hint="eastAsia" w:ascii="楷体" w:hAnsi="楷体" w:eastAsia="楷体" w:cs="楷体"/>
          <w:b w:val="0"/>
          <w:bCs w:val="0"/>
          <w:kern w:val="2"/>
          <w:sz w:val="32"/>
          <w:szCs w:val="32"/>
          <w:highlight w:val="none"/>
          <w:lang w:val="en-US" w:eastAsia="zh-CN" w:bidi="ar-SA"/>
        </w:rPr>
        <w:instrText xml:space="preserve"> HYPERLINK \l _Toc3039 </w:instrText>
      </w:r>
      <w:r>
        <w:rPr>
          <w:rFonts w:hint="eastAsia" w:ascii="楷体" w:hAnsi="楷体" w:eastAsia="楷体" w:cs="楷体"/>
          <w:b w:val="0"/>
          <w:bCs w:val="0"/>
          <w:kern w:val="2"/>
          <w:sz w:val="32"/>
          <w:szCs w:val="32"/>
          <w:highlight w:val="none"/>
          <w:lang w:val="en-US" w:eastAsia="zh-CN" w:bidi="ar-SA"/>
        </w:rPr>
        <w:fldChar w:fldCharType="separate"/>
      </w:r>
      <w:r>
        <w:rPr>
          <w:rFonts w:hint="eastAsia" w:ascii="楷体" w:hAnsi="楷体" w:eastAsia="楷体" w:cs="楷体"/>
          <w:b w:val="0"/>
          <w:bCs w:val="0"/>
          <w:kern w:val="2"/>
          <w:sz w:val="32"/>
          <w:szCs w:val="32"/>
          <w:highlight w:val="none"/>
          <w:lang w:val="en-US" w:eastAsia="zh-CN" w:bidi="ar-SA"/>
        </w:rPr>
        <w:t>（一）着力提升国际物流服务能级</w:t>
      </w:r>
      <w:r>
        <w:rPr>
          <w:rFonts w:hint="eastAsia" w:ascii="楷体" w:hAnsi="楷体" w:eastAsia="楷体" w:cs="楷体"/>
          <w:b w:val="0"/>
          <w:bCs w:val="0"/>
          <w:kern w:val="2"/>
          <w:sz w:val="32"/>
          <w:szCs w:val="32"/>
          <w:highlight w:val="none"/>
          <w:lang w:val="en-US" w:eastAsia="zh-CN" w:bidi="ar-SA"/>
        </w:rPr>
        <w:tab/>
      </w:r>
      <w:r>
        <w:rPr>
          <w:rFonts w:hint="eastAsia" w:ascii="楷体" w:hAnsi="楷体" w:eastAsia="楷体" w:cs="楷体"/>
          <w:b w:val="0"/>
          <w:bCs w:val="0"/>
          <w:kern w:val="2"/>
          <w:sz w:val="32"/>
          <w:szCs w:val="32"/>
          <w:highlight w:val="none"/>
          <w:lang w:val="en-US" w:eastAsia="zh-CN" w:bidi="ar-SA"/>
        </w:rPr>
        <w:t>1</w:t>
      </w:r>
      <w:r>
        <w:rPr>
          <w:rFonts w:hint="eastAsia" w:ascii="楷体" w:hAnsi="楷体" w:eastAsia="楷体" w:cs="楷体"/>
          <w:b w:val="0"/>
          <w:bCs w:val="0"/>
          <w:kern w:val="2"/>
          <w:sz w:val="32"/>
          <w:szCs w:val="32"/>
          <w:highlight w:val="none"/>
          <w:lang w:val="en-US" w:eastAsia="zh-CN" w:bidi="ar-SA"/>
        </w:rPr>
        <w:fldChar w:fldCharType="end"/>
      </w:r>
      <w:r>
        <w:rPr>
          <w:rFonts w:hint="eastAsia" w:ascii="楷体" w:hAnsi="楷体" w:eastAsia="楷体" w:cs="楷体"/>
          <w:b w:val="0"/>
          <w:bCs w:val="0"/>
          <w:kern w:val="2"/>
          <w:sz w:val="32"/>
          <w:szCs w:val="32"/>
          <w:highlight w:val="none"/>
          <w:lang w:val="en-US" w:eastAsia="zh-CN" w:bidi="ar-SA"/>
        </w:rPr>
        <w:t>0</w:t>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680" w:lineRule="exact"/>
        <w:textAlignment w:val="auto"/>
        <w:rPr>
          <w:rFonts w:hint="default" w:ascii="楷体" w:hAnsi="楷体" w:eastAsia="楷体" w:cs="楷体"/>
          <w:b w:val="0"/>
          <w:bCs w:val="0"/>
          <w:kern w:val="2"/>
          <w:sz w:val="32"/>
          <w:szCs w:val="32"/>
          <w:highlight w:val="none"/>
          <w:lang w:val="en-US" w:eastAsia="zh-CN" w:bidi="ar-SA"/>
        </w:rPr>
      </w:pPr>
      <w:r>
        <w:rPr>
          <w:rFonts w:hint="eastAsia" w:ascii="楷体" w:hAnsi="楷体" w:eastAsia="楷体" w:cs="楷体"/>
          <w:b w:val="0"/>
          <w:bCs w:val="0"/>
          <w:kern w:val="2"/>
          <w:sz w:val="32"/>
          <w:szCs w:val="32"/>
          <w:highlight w:val="none"/>
          <w:lang w:val="en-US" w:eastAsia="zh-CN" w:bidi="ar-SA"/>
        </w:rPr>
        <w:fldChar w:fldCharType="begin"/>
      </w:r>
      <w:r>
        <w:rPr>
          <w:rFonts w:hint="eastAsia" w:ascii="楷体" w:hAnsi="楷体" w:eastAsia="楷体" w:cs="楷体"/>
          <w:b w:val="0"/>
          <w:bCs w:val="0"/>
          <w:kern w:val="2"/>
          <w:sz w:val="32"/>
          <w:szCs w:val="32"/>
          <w:highlight w:val="none"/>
          <w:lang w:val="en-US" w:eastAsia="zh-CN" w:bidi="ar-SA"/>
        </w:rPr>
        <w:instrText xml:space="preserve"> HYPERLINK \l _Toc7647 </w:instrText>
      </w:r>
      <w:r>
        <w:rPr>
          <w:rFonts w:hint="eastAsia" w:ascii="楷体" w:hAnsi="楷体" w:eastAsia="楷体" w:cs="楷体"/>
          <w:b w:val="0"/>
          <w:bCs w:val="0"/>
          <w:kern w:val="2"/>
          <w:sz w:val="32"/>
          <w:szCs w:val="32"/>
          <w:highlight w:val="none"/>
          <w:lang w:val="en-US" w:eastAsia="zh-CN" w:bidi="ar-SA"/>
        </w:rPr>
        <w:fldChar w:fldCharType="separate"/>
      </w:r>
      <w:r>
        <w:rPr>
          <w:rFonts w:hint="eastAsia" w:ascii="楷体" w:hAnsi="楷体" w:eastAsia="楷体" w:cs="楷体"/>
          <w:b w:val="0"/>
          <w:bCs w:val="0"/>
          <w:kern w:val="2"/>
          <w:sz w:val="32"/>
          <w:szCs w:val="32"/>
          <w:highlight w:val="none"/>
          <w:lang w:val="en-US" w:eastAsia="zh-CN" w:bidi="ar-SA"/>
        </w:rPr>
        <w:t>（二）系统推进物流行业降本增效</w:t>
      </w:r>
      <w:r>
        <w:rPr>
          <w:rFonts w:hint="eastAsia" w:ascii="楷体" w:hAnsi="楷体" w:eastAsia="楷体" w:cs="楷体"/>
          <w:b w:val="0"/>
          <w:bCs w:val="0"/>
          <w:kern w:val="2"/>
          <w:sz w:val="32"/>
          <w:szCs w:val="32"/>
          <w:highlight w:val="none"/>
          <w:lang w:val="en-US" w:eastAsia="zh-CN" w:bidi="ar-SA"/>
        </w:rPr>
        <w:tab/>
      </w:r>
      <w:r>
        <w:rPr>
          <w:rFonts w:hint="eastAsia" w:ascii="楷体" w:hAnsi="楷体" w:eastAsia="楷体" w:cs="楷体"/>
          <w:b w:val="0"/>
          <w:bCs w:val="0"/>
          <w:kern w:val="2"/>
          <w:sz w:val="32"/>
          <w:szCs w:val="32"/>
          <w:highlight w:val="none"/>
          <w:lang w:val="en-US" w:eastAsia="zh-CN" w:bidi="ar-SA"/>
        </w:rPr>
        <w:t>1</w:t>
      </w:r>
      <w:r>
        <w:rPr>
          <w:rFonts w:hint="eastAsia" w:ascii="楷体" w:hAnsi="楷体" w:eastAsia="楷体" w:cs="楷体"/>
          <w:b w:val="0"/>
          <w:bCs w:val="0"/>
          <w:kern w:val="2"/>
          <w:sz w:val="32"/>
          <w:szCs w:val="32"/>
          <w:highlight w:val="none"/>
          <w:lang w:val="en-US" w:eastAsia="zh-CN" w:bidi="ar-SA"/>
        </w:rPr>
        <w:fldChar w:fldCharType="end"/>
      </w:r>
      <w:r>
        <w:rPr>
          <w:rFonts w:hint="eastAsia" w:ascii="楷体" w:hAnsi="楷体" w:eastAsia="楷体" w:cs="楷体"/>
          <w:b w:val="0"/>
          <w:bCs w:val="0"/>
          <w:kern w:val="2"/>
          <w:sz w:val="32"/>
          <w:szCs w:val="32"/>
          <w:highlight w:val="none"/>
          <w:lang w:val="en-US" w:eastAsia="zh-CN" w:bidi="ar-SA"/>
        </w:rPr>
        <w:t>2</w:t>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680" w:lineRule="exact"/>
        <w:textAlignment w:val="auto"/>
        <w:rPr>
          <w:rFonts w:hint="default" w:ascii="楷体" w:hAnsi="楷体" w:eastAsia="楷体" w:cs="楷体"/>
          <w:b w:val="0"/>
          <w:bCs w:val="0"/>
          <w:kern w:val="2"/>
          <w:sz w:val="32"/>
          <w:szCs w:val="32"/>
          <w:highlight w:val="none"/>
          <w:lang w:val="en-US" w:eastAsia="zh-CN" w:bidi="ar-SA"/>
        </w:rPr>
      </w:pPr>
      <w:r>
        <w:rPr>
          <w:rFonts w:hint="eastAsia" w:ascii="楷体" w:hAnsi="楷体" w:eastAsia="楷体" w:cs="楷体"/>
          <w:b w:val="0"/>
          <w:bCs w:val="0"/>
          <w:kern w:val="2"/>
          <w:sz w:val="32"/>
          <w:szCs w:val="32"/>
          <w:highlight w:val="none"/>
          <w:lang w:val="en-US" w:eastAsia="zh-CN" w:bidi="ar-SA"/>
        </w:rPr>
        <w:fldChar w:fldCharType="begin"/>
      </w:r>
      <w:r>
        <w:rPr>
          <w:rFonts w:hint="eastAsia" w:ascii="楷体" w:hAnsi="楷体" w:eastAsia="楷体" w:cs="楷体"/>
          <w:b w:val="0"/>
          <w:bCs w:val="0"/>
          <w:kern w:val="2"/>
          <w:sz w:val="32"/>
          <w:szCs w:val="32"/>
          <w:highlight w:val="none"/>
          <w:lang w:val="en-US" w:eastAsia="zh-CN" w:bidi="ar-SA"/>
        </w:rPr>
        <w:instrText xml:space="preserve"> HYPERLINK \l _Toc10088 </w:instrText>
      </w:r>
      <w:r>
        <w:rPr>
          <w:rFonts w:hint="eastAsia" w:ascii="楷体" w:hAnsi="楷体" w:eastAsia="楷体" w:cs="楷体"/>
          <w:b w:val="0"/>
          <w:bCs w:val="0"/>
          <w:kern w:val="2"/>
          <w:sz w:val="32"/>
          <w:szCs w:val="32"/>
          <w:highlight w:val="none"/>
          <w:lang w:val="en-US" w:eastAsia="zh-CN" w:bidi="ar-SA"/>
        </w:rPr>
        <w:fldChar w:fldCharType="separate"/>
      </w:r>
      <w:r>
        <w:rPr>
          <w:rFonts w:hint="eastAsia" w:ascii="楷体" w:hAnsi="楷体" w:eastAsia="楷体" w:cs="楷体"/>
          <w:b w:val="0"/>
          <w:bCs w:val="0"/>
          <w:kern w:val="2"/>
          <w:sz w:val="32"/>
          <w:szCs w:val="32"/>
          <w:highlight w:val="none"/>
          <w:lang w:val="en-US" w:eastAsia="zh-CN" w:bidi="ar-SA"/>
        </w:rPr>
        <w:t>（三）培育壮大物流市场运营主体</w:t>
      </w:r>
      <w:r>
        <w:rPr>
          <w:rFonts w:hint="eastAsia" w:ascii="楷体" w:hAnsi="楷体" w:eastAsia="楷体" w:cs="楷体"/>
          <w:b w:val="0"/>
          <w:bCs w:val="0"/>
          <w:kern w:val="2"/>
          <w:sz w:val="32"/>
          <w:szCs w:val="32"/>
          <w:highlight w:val="none"/>
          <w:lang w:val="en-US" w:eastAsia="zh-CN" w:bidi="ar-SA"/>
        </w:rPr>
        <w:tab/>
      </w:r>
      <w:r>
        <w:rPr>
          <w:rFonts w:hint="eastAsia" w:ascii="楷体" w:hAnsi="楷体" w:eastAsia="楷体" w:cs="楷体"/>
          <w:b w:val="0"/>
          <w:bCs w:val="0"/>
          <w:kern w:val="2"/>
          <w:sz w:val="32"/>
          <w:szCs w:val="32"/>
          <w:highlight w:val="none"/>
          <w:lang w:val="en-US" w:eastAsia="zh-CN" w:bidi="ar-SA"/>
        </w:rPr>
        <w:t>1</w:t>
      </w:r>
      <w:r>
        <w:rPr>
          <w:rFonts w:hint="eastAsia" w:ascii="楷体" w:hAnsi="楷体" w:eastAsia="楷体" w:cs="楷体"/>
          <w:b w:val="0"/>
          <w:bCs w:val="0"/>
          <w:kern w:val="2"/>
          <w:sz w:val="32"/>
          <w:szCs w:val="32"/>
          <w:highlight w:val="none"/>
          <w:lang w:val="en-US" w:eastAsia="zh-CN" w:bidi="ar-SA"/>
        </w:rPr>
        <w:fldChar w:fldCharType="end"/>
      </w:r>
      <w:r>
        <w:rPr>
          <w:rFonts w:hint="eastAsia" w:ascii="楷体" w:hAnsi="楷体" w:eastAsia="楷体" w:cs="楷体"/>
          <w:b w:val="0"/>
          <w:bCs w:val="0"/>
          <w:kern w:val="2"/>
          <w:sz w:val="32"/>
          <w:szCs w:val="32"/>
          <w:highlight w:val="none"/>
          <w:lang w:val="en-US" w:eastAsia="zh-CN" w:bidi="ar-SA"/>
        </w:rPr>
        <w:t>4</w:t>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680" w:lineRule="exact"/>
        <w:textAlignment w:val="auto"/>
        <w:rPr>
          <w:rFonts w:hint="default" w:ascii="楷体" w:hAnsi="楷体" w:eastAsia="楷体" w:cs="楷体"/>
          <w:b w:val="0"/>
          <w:bCs w:val="0"/>
          <w:kern w:val="2"/>
          <w:sz w:val="32"/>
          <w:szCs w:val="32"/>
          <w:highlight w:val="none"/>
          <w:lang w:val="en-US" w:eastAsia="zh-CN" w:bidi="ar-SA"/>
        </w:rPr>
      </w:pPr>
      <w:r>
        <w:rPr>
          <w:rFonts w:hint="eastAsia" w:ascii="楷体" w:hAnsi="楷体" w:eastAsia="楷体" w:cs="楷体"/>
          <w:b w:val="0"/>
          <w:bCs w:val="0"/>
          <w:kern w:val="2"/>
          <w:sz w:val="32"/>
          <w:szCs w:val="32"/>
          <w:highlight w:val="none"/>
          <w:lang w:val="en-US" w:eastAsia="zh-CN" w:bidi="ar-SA"/>
        </w:rPr>
        <w:fldChar w:fldCharType="begin"/>
      </w:r>
      <w:r>
        <w:rPr>
          <w:rFonts w:hint="eastAsia" w:ascii="楷体" w:hAnsi="楷体" w:eastAsia="楷体" w:cs="楷体"/>
          <w:b w:val="0"/>
          <w:bCs w:val="0"/>
          <w:kern w:val="2"/>
          <w:sz w:val="32"/>
          <w:szCs w:val="32"/>
          <w:highlight w:val="none"/>
          <w:lang w:val="en-US" w:eastAsia="zh-CN" w:bidi="ar-SA"/>
        </w:rPr>
        <w:instrText xml:space="preserve"> HYPERLINK \l _Toc23714 </w:instrText>
      </w:r>
      <w:r>
        <w:rPr>
          <w:rFonts w:hint="eastAsia" w:ascii="楷体" w:hAnsi="楷体" w:eastAsia="楷体" w:cs="楷体"/>
          <w:b w:val="0"/>
          <w:bCs w:val="0"/>
          <w:kern w:val="2"/>
          <w:sz w:val="32"/>
          <w:szCs w:val="32"/>
          <w:highlight w:val="none"/>
          <w:lang w:val="en-US" w:eastAsia="zh-CN" w:bidi="ar-SA"/>
        </w:rPr>
        <w:fldChar w:fldCharType="separate"/>
      </w:r>
      <w:r>
        <w:rPr>
          <w:rFonts w:hint="eastAsia" w:ascii="楷体" w:hAnsi="楷体" w:eastAsia="楷体" w:cs="楷体"/>
          <w:b w:val="0"/>
          <w:bCs w:val="0"/>
          <w:kern w:val="2"/>
          <w:sz w:val="32"/>
          <w:szCs w:val="32"/>
          <w:highlight w:val="none"/>
          <w:lang w:val="en-US" w:eastAsia="zh-CN" w:bidi="ar-SA"/>
        </w:rPr>
        <w:t>（四）切实提高绿色物流发展水平</w:t>
      </w:r>
      <w:r>
        <w:rPr>
          <w:rFonts w:hint="eastAsia" w:ascii="楷体" w:hAnsi="楷体" w:eastAsia="楷体" w:cs="楷体"/>
          <w:b w:val="0"/>
          <w:bCs w:val="0"/>
          <w:kern w:val="2"/>
          <w:sz w:val="32"/>
          <w:szCs w:val="32"/>
          <w:highlight w:val="none"/>
          <w:lang w:val="en-US" w:eastAsia="zh-CN" w:bidi="ar-SA"/>
        </w:rPr>
        <w:tab/>
      </w:r>
      <w:r>
        <w:rPr>
          <w:rFonts w:hint="eastAsia" w:ascii="楷体" w:hAnsi="楷体" w:eastAsia="楷体" w:cs="楷体"/>
          <w:b w:val="0"/>
          <w:bCs w:val="0"/>
          <w:kern w:val="2"/>
          <w:sz w:val="32"/>
          <w:szCs w:val="32"/>
          <w:highlight w:val="none"/>
          <w:lang w:val="en-US" w:eastAsia="zh-CN" w:bidi="ar-SA"/>
        </w:rPr>
        <w:t>1</w:t>
      </w:r>
      <w:r>
        <w:rPr>
          <w:rFonts w:hint="eastAsia" w:ascii="楷体" w:hAnsi="楷体" w:eastAsia="楷体" w:cs="楷体"/>
          <w:b w:val="0"/>
          <w:bCs w:val="0"/>
          <w:kern w:val="2"/>
          <w:sz w:val="32"/>
          <w:szCs w:val="32"/>
          <w:highlight w:val="none"/>
          <w:lang w:val="en-US" w:eastAsia="zh-CN" w:bidi="ar-SA"/>
        </w:rPr>
        <w:fldChar w:fldCharType="end"/>
      </w:r>
      <w:r>
        <w:rPr>
          <w:rFonts w:hint="eastAsia" w:ascii="楷体" w:hAnsi="楷体" w:eastAsia="楷体" w:cs="楷体"/>
          <w:b w:val="0"/>
          <w:bCs w:val="0"/>
          <w:kern w:val="2"/>
          <w:sz w:val="32"/>
          <w:szCs w:val="32"/>
          <w:highlight w:val="none"/>
          <w:lang w:val="en-US" w:eastAsia="zh-CN" w:bidi="ar-SA"/>
        </w:rPr>
        <w:t>5</w:t>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680" w:lineRule="exact"/>
        <w:textAlignment w:val="auto"/>
        <w:rPr>
          <w:rFonts w:hint="default" w:ascii="楷体" w:hAnsi="楷体" w:eastAsia="楷体" w:cs="楷体"/>
          <w:b w:val="0"/>
          <w:bCs w:val="0"/>
          <w:kern w:val="2"/>
          <w:sz w:val="32"/>
          <w:szCs w:val="32"/>
          <w:highlight w:val="none"/>
          <w:lang w:val="en-US" w:eastAsia="zh-CN" w:bidi="ar-SA"/>
        </w:rPr>
      </w:pPr>
      <w:r>
        <w:rPr>
          <w:rFonts w:hint="eastAsia" w:ascii="楷体" w:hAnsi="楷体" w:eastAsia="楷体" w:cs="楷体"/>
          <w:b w:val="0"/>
          <w:bCs w:val="0"/>
          <w:kern w:val="2"/>
          <w:sz w:val="32"/>
          <w:szCs w:val="32"/>
          <w:highlight w:val="none"/>
          <w:lang w:val="en-US" w:eastAsia="zh-CN" w:bidi="ar-SA"/>
        </w:rPr>
        <w:fldChar w:fldCharType="begin"/>
      </w:r>
      <w:r>
        <w:rPr>
          <w:rFonts w:hint="eastAsia" w:ascii="楷体" w:hAnsi="楷体" w:eastAsia="楷体" w:cs="楷体"/>
          <w:b w:val="0"/>
          <w:bCs w:val="0"/>
          <w:kern w:val="2"/>
          <w:sz w:val="32"/>
          <w:szCs w:val="32"/>
          <w:highlight w:val="none"/>
          <w:lang w:val="en-US" w:eastAsia="zh-CN" w:bidi="ar-SA"/>
        </w:rPr>
        <w:instrText xml:space="preserve"> HYPERLINK \l _Toc22056 </w:instrText>
      </w:r>
      <w:r>
        <w:rPr>
          <w:rFonts w:hint="eastAsia" w:ascii="楷体" w:hAnsi="楷体" w:eastAsia="楷体" w:cs="楷体"/>
          <w:b w:val="0"/>
          <w:bCs w:val="0"/>
          <w:kern w:val="2"/>
          <w:sz w:val="32"/>
          <w:szCs w:val="32"/>
          <w:highlight w:val="none"/>
          <w:lang w:val="en-US" w:eastAsia="zh-CN" w:bidi="ar-SA"/>
        </w:rPr>
        <w:fldChar w:fldCharType="separate"/>
      </w:r>
      <w:r>
        <w:rPr>
          <w:rFonts w:hint="eastAsia" w:ascii="楷体" w:hAnsi="楷体" w:eastAsia="楷体" w:cs="楷体"/>
          <w:b w:val="0"/>
          <w:bCs w:val="0"/>
          <w:kern w:val="2"/>
          <w:sz w:val="32"/>
          <w:szCs w:val="32"/>
          <w:highlight w:val="none"/>
          <w:lang w:val="en-US" w:eastAsia="zh-CN" w:bidi="ar-SA"/>
        </w:rPr>
        <w:t>（五）健全应急物流保障服务能力</w:t>
      </w:r>
      <w:r>
        <w:rPr>
          <w:rFonts w:hint="eastAsia" w:ascii="楷体" w:hAnsi="楷体" w:eastAsia="楷体" w:cs="楷体"/>
          <w:b w:val="0"/>
          <w:bCs w:val="0"/>
          <w:kern w:val="2"/>
          <w:sz w:val="32"/>
          <w:szCs w:val="32"/>
          <w:highlight w:val="none"/>
          <w:lang w:val="en-US" w:eastAsia="zh-CN" w:bidi="ar-SA"/>
        </w:rPr>
        <w:tab/>
      </w:r>
      <w:r>
        <w:rPr>
          <w:rFonts w:hint="eastAsia" w:ascii="楷体" w:hAnsi="楷体" w:eastAsia="楷体" w:cs="楷体"/>
          <w:b w:val="0"/>
          <w:bCs w:val="0"/>
          <w:kern w:val="2"/>
          <w:sz w:val="32"/>
          <w:szCs w:val="32"/>
          <w:highlight w:val="none"/>
          <w:lang w:val="en-US" w:eastAsia="zh-CN" w:bidi="ar-SA"/>
        </w:rPr>
        <w:t>1</w:t>
      </w:r>
      <w:r>
        <w:rPr>
          <w:rFonts w:hint="eastAsia" w:ascii="楷体" w:hAnsi="楷体" w:eastAsia="楷体" w:cs="楷体"/>
          <w:b w:val="0"/>
          <w:bCs w:val="0"/>
          <w:kern w:val="2"/>
          <w:sz w:val="32"/>
          <w:szCs w:val="32"/>
          <w:highlight w:val="none"/>
          <w:lang w:val="en-US" w:eastAsia="zh-CN" w:bidi="ar-SA"/>
        </w:rPr>
        <w:fldChar w:fldCharType="end"/>
      </w:r>
      <w:r>
        <w:rPr>
          <w:rFonts w:hint="eastAsia" w:ascii="楷体" w:hAnsi="楷体" w:eastAsia="楷体" w:cs="楷体"/>
          <w:b w:val="0"/>
          <w:bCs w:val="0"/>
          <w:kern w:val="2"/>
          <w:sz w:val="32"/>
          <w:szCs w:val="32"/>
          <w:highlight w:val="none"/>
          <w:lang w:val="en-US" w:eastAsia="zh-CN" w:bidi="ar-SA"/>
        </w:rPr>
        <w:t>7</w:t>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680" w:lineRule="exact"/>
        <w:textAlignment w:val="auto"/>
        <w:rPr>
          <w:rFonts w:hint="default"/>
          <w:sz w:val="32"/>
          <w:szCs w:val="32"/>
          <w:highlight w:val="none"/>
          <w:lang w:val="en-US"/>
        </w:rPr>
      </w:pPr>
      <w:r>
        <w:rPr>
          <w:rFonts w:hint="eastAsia" w:ascii="黑体" w:hAnsi="黑体" w:eastAsia="黑体" w:cs="黑体"/>
          <w:sz w:val="32"/>
          <w:szCs w:val="32"/>
          <w:highlight w:val="none"/>
          <w:lang w:val="en-US" w:eastAsia="zh-CN"/>
        </w:rPr>
        <w:fldChar w:fldCharType="begin"/>
      </w:r>
      <w:r>
        <w:rPr>
          <w:rFonts w:hint="eastAsia" w:ascii="黑体" w:hAnsi="黑体" w:eastAsia="黑体" w:cs="黑体"/>
          <w:sz w:val="32"/>
          <w:szCs w:val="32"/>
          <w:highlight w:val="none"/>
          <w:lang w:val="en-US" w:eastAsia="zh-CN"/>
        </w:rPr>
        <w:instrText xml:space="preserve"> HYPERLINK \l _Toc1854 </w:instrText>
      </w:r>
      <w:r>
        <w:rPr>
          <w:rFonts w:hint="eastAsia" w:ascii="黑体" w:hAnsi="黑体" w:eastAsia="黑体" w:cs="黑体"/>
          <w:sz w:val="32"/>
          <w:szCs w:val="32"/>
          <w:highlight w:val="none"/>
          <w:lang w:val="en-US" w:eastAsia="zh-CN"/>
        </w:rPr>
        <w:fldChar w:fldCharType="separate"/>
      </w:r>
      <w:r>
        <w:rPr>
          <w:rFonts w:hint="eastAsia" w:ascii="黑体" w:hAnsi="黑体" w:eastAsia="黑体" w:cs="黑体"/>
          <w:sz w:val="32"/>
          <w:szCs w:val="32"/>
          <w:highlight w:val="none"/>
          <w:lang w:val="en-US" w:eastAsia="zh-CN"/>
        </w:rPr>
        <w:t>五</w:t>
      </w:r>
      <w:r>
        <w:rPr>
          <w:rFonts w:hint="eastAsia" w:ascii="黑体" w:hAnsi="黑体" w:eastAsia="黑体" w:cs="黑体"/>
          <w:bCs w:val="0"/>
          <w:sz w:val="32"/>
          <w:szCs w:val="32"/>
          <w:highlight w:val="none"/>
          <w:lang w:val="en-US" w:eastAsia="zh-CN"/>
        </w:rPr>
        <w:t>、重点工程</w:t>
      </w:r>
      <w:r>
        <w:rPr>
          <w:sz w:val="32"/>
          <w:szCs w:val="32"/>
          <w:highlight w:val="none"/>
        </w:rPr>
        <w:tab/>
      </w:r>
      <w:r>
        <w:rPr>
          <w:rFonts w:hint="eastAsia"/>
          <w:sz w:val="32"/>
          <w:szCs w:val="32"/>
          <w:highlight w:val="none"/>
          <w:lang w:val="en-US" w:eastAsia="zh-CN"/>
        </w:rPr>
        <w:t>1</w:t>
      </w:r>
      <w:r>
        <w:rPr>
          <w:rFonts w:hint="eastAsia" w:ascii="黑体" w:hAnsi="黑体" w:eastAsia="黑体" w:cs="黑体"/>
          <w:sz w:val="32"/>
          <w:szCs w:val="32"/>
          <w:highlight w:val="none"/>
          <w:lang w:val="en-US" w:eastAsia="zh-CN"/>
        </w:rPr>
        <w:fldChar w:fldCharType="end"/>
      </w:r>
      <w:r>
        <w:rPr>
          <w:rFonts w:hint="eastAsia" w:ascii="黑体" w:hAnsi="黑体" w:eastAsia="黑体" w:cs="黑体"/>
          <w:sz w:val="32"/>
          <w:szCs w:val="32"/>
          <w:highlight w:val="none"/>
          <w:lang w:val="en-US" w:eastAsia="zh-CN"/>
        </w:rPr>
        <w:t>8</w:t>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680" w:lineRule="exact"/>
        <w:textAlignment w:val="auto"/>
        <w:rPr>
          <w:rFonts w:hint="default" w:ascii="楷体" w:hAnsi="楷体" w:eastAsia="楷体" w:cs="楷体"/>
          <w:b w:val="0"/>
          <w:bCs w:val="0"/>
          <w:kern w:val="2"/>
          <w:sz w:val="32"/>
          <w:szCs w:val="32"/>
          <w:highlight w:val="none"/>
          <w:lang w:val="en-US" w:eastAsia="zh-CN" w:bidi="ar-SA"/>
        </w:rPr>
      </w:pPr>
      <w:r>
        <w:rPr>
          <w:rFonts w:hint="eastAsia" w:ascii="楷体" w:hAnsi="楷体" w:eastAsia="楷体" w:cs="楷体"/>
          <w:b w:val="0"/>
          <w:bCs w:val="0"/>
          <w:kern w:val="2"/>
          <w:sz w:val="32"/>
          <w:szCs w:val="32"/>
          <w:highlight w:val="none"/>
          <w:lang w:val="en-US" w:eastAsia="zh-CN" w:bidi="ar-SA"/>
        </w:rPr>
        <w:fldChar w:fldCharType="begin"/>
      </w:r>
      <w:r>
        <w:rPr>
          <w:rFonts w:hint="eastAsia" w:ascii="楷体" w:hAnsi="楷体" w:eastAsia="楷体" w:cs="楷体"/>
          <w:b w:val="0"/>
          <w:bCs w:val="0"/>
          <w:kern w:val="2"/>
          <w:sz w:val="32"/>
          <w:szCs w:val="32"/>
          <w:highlight w:val="none"/>
          <w:lang w:val="en-US" w:eastAsia="zh-CN" w:bidi="ar-SA"/>
        </w:rPr>
        <w:instrText xml:space="preserve"> HYPERLINK \l _Toc10084 </w:instrText>
      </w:r>
      <w:r>
        <w:rPr>
          <w:rFonts w:hint="eastAsia" w:ascii="楷体" w:hAnsi="楷体" w:eastAsia="楷体" w:cs="楷体"/>
          <w:b w:val="0"/>
          <w:bCs w:val="0"/>
          <w:kern w:val="2"/>
          <w:sz w:val="32"/>
          <w:szCs w:val="32"/>
          <w:highlight w:val="none"/>
          <w:lang w:val="en-US" w:eastAsia="zh-CN" w:bidi="ar-SA"/>
        </w:rPr>
        <w:fldChar w:fldCharType="separate"/>
      </w:r>
      <w:r>
        <w:rPr>
          <w:rFonts w:hint="eastAsia" w:ascii="楷体" w:hAnsi="楷体" w:eastAsia="楷体" w:cs="楷体"/>
          <w:b w:val="0"/>
          <w:bCs w:val="0"/>
          <w:kern w:val="2"/>
          <w:sz w:val="32"/>
          <w:szCs w:val="32"/>
          <w:highlight w:val="none"/>
          <w:lang w:val="en-US" w:eastAsia="zh-CN" w:bidi="ar-SA"/>
        </w:rPr>
        <w:t>（一）冷链物流体系构建工程</w:t>
      </w:r>
      <w:r>
        <w:rPr>
          <w:rFonts w:hint="eastAsia" w:ascii="楷体" w:hAnsi="楷体" w:eastAsia="楷体" w:cs="楷体"/>
          <w:b w:val="0"/>
          <w:bCs w:val="0"/>
          <w:kern w:val="2"/>
          <w:sz w:val="32"/>
          <w:szCs w:val="32"/>
          <w:highlight w:val="none"/>
          <w:lang w:val="en-US" w:eastAsia="zh-CN" w:bidi="ar-SA"/>
        </w:rPr>
        <w:tab/>
      </w:r>
      <w:r>
        <w:rPr>
          <w:rFonts w:hint="eastAsia" w:ascii="楷体" w:hAnsi="楷体" w:eastAsia="楷体" w:cs="楷体"/>
          <w:b w:val="0"/>
          <w:bCs w:val="0"/>
          <w:kern w:val="2"/>
          <w:sz w:val="32"/>
          <w:szCs w:val="32"/>
          <w:highlight w:val="none"/>
          <w:lang w:val="en-US" w:eastAsia="zh-CN" w:bidi="ar-SA"/>
        </w:rPr>
        <w:t>1</w:t>
      </w:r>
      <w:r>
        <w:rPr>
          <w:rFonts w:hint="eastAsia" w:ascii="楷体" w:hAnsi="楷体" w:eastAsia="楷体" w:cs="楷体"/>
          <w:b w:val="0"/>
          <w:bCs w:val="0"/>
          <w:kern w:val="2"/>
          <w:sz w:val="32"/>
          <w:szCs w:val="32"/>
          <w:highlight w:val="none"/>
          <w:lang w:val="en-US" w:eastAsia="zh-CN" w:bidi="ar-SA"/>
        </w:rPr>
        <w:fldChar w:fldCharType="end"/>
      </w:r>
      <w:r>
        <w:rPr>
          <w:rFonts w:hint="eastAsia" w:ascii="楷体" w:hAnsi="楷体" w:eastAsia="楷体" w:cs="楷体"/>
          <w:b w:val="0"/>
          <w:bCs w:val="0"/>
          <w:kern w:val="2"/>
          <w:sz w:val="32"/>
          <w:szCs w:val="32"/>
          <w:highlight w:val="none"/>
          <w:lang w:val="en-US" w:eastAsia="zh-CN" w:bidi="ar-SA"/>
        </w:rPr>
        <w:t>8</w:t>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680" w:lineRule="exact"/>
        <w:textAlignment w:val="auto"/>
        <w:rPr>
          <w:rFonts w:hint="eastAsia" w:ascii="楷体" w:hAnsi="楷体" w:eastAsia="楷体" w:cs="楷体"/>
          <w:b w:val="0"/>
          <w:bCs w:val="0"/>
          <w:kern w:val="2"/>
          <w:sz w:val="32"/>
          <w:szCs w:val="32"/>
          <w:highlight w:val="none"/>
          <w:lang w:val="en-US" w:eastAsia="zh-CN" w:bidi="ar-SA"/>
        </w:rPr>
      </w:pPr>
      <w:r>
        <w:rPr>
          <w:rFonts w:hint="eastAsia" w:ascii="楷体" w:hAnsi="楷体" w:eastAsia="楷体" w:cs="楷体"/>
          <w:b w:val="0"/>
          <w:bCs w:val="0"/>
          <w:kern w:val="2"/>
          <w:sz w:val="32"/>
          <w:szCs w:val="32"/>
          <w:highlight w:val="none"/>
          <w:lang w:val="en-US" w:eastAsia="zh-CN" w:bidi="ar-SA"/>
        </w:rPr>
        <w:fldChar w:fldCharType="begin"/>
      </w:r>
      <w:r>
        <w:rPr>
          <w:rFonts w:hint="eastAsia" w:ascii="楷体" w:hAnsi="楷体" w:eastAsia="楷体" w:cs="楷体"/>
          <w:b w:val="0"/>
          <w:bCs w:val="0"/>
          <w:kern w:val="2"/>
          <w:sz w:val="32"/>
          <w:szCs w:val="32"/>
          <w:highlight w:val="none"/>
          <w:lang w:val="en-US" w:eastAsia="zh-CN" w:bidi="ar-SA"/>
        </w:rPr>
        <w:instrText xml:space="preserve"> HYPERLINK \l _Toc148 </w:instrText>
      </w:r>
      <w:r>
        <w:rPr>
          <w:rFonts w:hint="eastAsia" w:ascii="楷体" w:hAnsi="楷体" w:eastAsia="楷体" w:cs="楷体"/>
          <w:b w:val="0"/>
          <w:bCs w:val="0"/>
          <w:kern w:val="2"/>
          <w:sz w:val="32"/>
          <w:szCs w:val="32"/>
          <w:highlight w:val="none"/>
          <w:lang w:val="en-US" w:eastAsia="zh-CN" w:bidi="ar-SA"/>
        </w:rPr>
        <w:fldChar w:fldCharType="separate"/>
      </w:r>
      <w:r>
        <w:rPr>
          <w:rFonts w:hint="eastAsia" w:ascii="楷体" w:hAnsi="楷体" w:eastAsia="楷体" w:cs="楷体"/>
          <w:b w:val="0"/>
          <w:bCs w:val="0"/>
          <w:kern w:val="2"/>
          <w:sz w:val="32"/>
          <w:szCs w:val="32"/>
          <w:highlight w:val="none"/>
          <w:lang w:val="en-US" w:eastAsia="zh-CN" w:bidi="ar-SA"/>
        </w:rPr>
        <w:t>（二）商贸物流提档升级工程</w:t>
      </w:r>
      <w:r>
        <w:rPr>
          <w:rFonts w:hint="eastAsia" w:ascii="楷体" w:hAnsi="楷体" w:eastAsia="楷体" w:cs="楷体"/>
          <w:b w:val="0"/>
          <w:bCs w:val="0"/>
          <w:kern w:val="2"/>
          <w:sz w:val="32"/>
          <w:szCs w:val="32"/>
          <w:highlight w:val="none"/>
          <w:lang w:val="en-US" w:eastAsia="zh-CN" w:bidi="ar-SA"/>
        </w:rPr>
        <w:tab/>
      </w:r>
      <w:r>
        <w:rPr>
          <w:rFonts w:hint="eastAsia" w:ascii="楷体" w:hAnsi="楷体" w:eastAsia="楷体" w:cs="楷体"/>
          <w:b w:val="0"/>
          <w:bCs w:val="0"/>
          <w:kern w:val="2"/>
          <w:sz w:val="32"/>
          <w:szCs w:val="32"/>
          <w:highlight w:val="none"/>
          <w:lang w:val="en-US" w:eastAsia="zh-CN" w:bidi="ar-SA"/>
        </w:rPr>
        <w:fldChar w:fldCharType="begin"/>
      </w:r>
      <w:r>
        <w:rPr>
          <w:rFonts w:hint="eastAsia" w:ascii="楷体" w:hAnsi="楷体" w:eastAsia="楷体" w:cs="楷体"/>
          <w:b w:val="0"/>
          <w:bCs w:val="0"/>
          <w:kern w:val="2"/>
          <w:sz w:val="32"/>
          <w:szCs w:val="32"/>
          <w:highlight w:val="none"/>
          <w:lang w:val="en-US" w:eastAsia="zh-CN" w:bidi="ar-SA"/>
        </w:rPr>
        <w:instrText xml:space="preserve"> PAGEREF _Toc148 </w:instrText>
      </w:r>
      <w:r>
        <w:rPr>
          <w:rFonts w:hint="eastAsia" w:ascii="楷体" w:hAnsi="楷体" w:eastAsia="楷体" w:cs="楷体"/>
          <w:b w:val="0"/>
          <w:bCs w:val="0"/>
          <w:kern w:val="2"/>
          <w:sz w:val="32"/>
          <w:szCs w:val="32"/>
          <w:highlight w:val="none"/>
          <w:lang w:val="en-US" w:eastAsia="zh-CN" w:bidi="ar-SA"/>
        </w:rPr>
        <w:fldChar w:fldCharType="separate"/>
      </w:r>
      <w:r>
        <w:rPr>
          <w:rFonts w:hint="eastAsia" w:ascii="楷体" w:hAnsi="楷体" w:eastAsia="楷体" w:cs="楷体"/>
          <w:b w:val="0"/>
          <w:bCs w:val="0"/>
          <w:kern w:val="2"/>
          <w:sz w:val="32"/>
          <w:szCs w:val="32"/>
          <w:highlight w:val="none"/>
          <w:lang w:val="en-US" w:eastAsia="zh-CN" w:bidi="ar-SA"/>
        </w:rPr>
        <w:t>18</w:t>
      </w:r>
      <w:r>
        <w:rPr>
          <w:rFonts w:hint="eastAsia" w:ascii="楷体" w:hAnsi="楷体" w:eastAsia="楷体" w:cs="楷体"/>
          <w:b w:val="0"/>
          <w:bCs w:val="0"/>
          <w:kern w:val="2"/>
          <w:sz w:val="32"/>
          <w:szCs w:val="32"/>
          <w:highlight w:val="none"/>
          <w:lang w:val="en-US" w:eastAsia="zh-CN" w:bidi="ar-SA"/>
        </w:rPr>
        <w:fldChar w:fldCharType="end"/>
      </w:r>
      <w:r>
        <w:rPr>
          <w:rFonts w:hint="eastAsia" w:ascii="楷体" w:hAnsi="楷体" w:eastAsia="楷体" w:cs="楷体"/>
          <w:b w:val="0"/>
          <w:bCs w:val="0"/>
          <w:kern w:val="2"/>
          <w:sz w:val="32"/>
          <w:szCs w:val="32"/>
          <w:highlight w:val="none"/>
          <w:lang w:val="en-US" w:eastAsia="zh-CN" w:bidi="ar-SA"/>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680" w:lineRule="exact"/>
        <w:textAlignment w:val="auto"/>
        <w:rPr>
          <w:rFonts w:hint="default" w:ascii="楷体" w:hAnsi="楷体" w:eastAsia="楷体" w:cs="楷体"/>
          <w:b w:val="0"/>
          <w:bCs w:val="0"/>
          <w:kern w:val="2"/>
          <w:sz w:val="32"/>
          <w:szCs w:val="32"/>
          <w:highlight w:val="none"/>
          <w:lang w:val="en-US" w:eastAsia="zh-CN" w:bidi="ar-SA"/>
        </w:rPr>
      </w:pPr>
      <w:r>
        <w:rPr>
          <w:rFonts w:hint="eastAsia" w:ascii="楷体" w:hAnsi="楷体" w:eastAsia="楷体" w:cs="楷体"/>
          <w:b w:val="0"/>
          <w:bCs w:val="0"/>
          <w:kern w:val="2"/>
          <w:sz w:val="32"/>
          <w:szCs w:val="32"/>
          <w:highlight w:val="none"/>
          <w:lang w:val="en-US" w:eastAsia="zh-CN" w:bidi="ar-SA"/>
        </w:rPr>
        <w:fldChar w:fldCharType="begin"/>
      </w:r>
      <w:r>
        <w:rPr>
          <w:rFonts w:hint="eastAsia" w:ascii="楷体" w:hAnsi="楷体" w:eastAsia="楷体" w:cs="楷体"/>
          <w:b w:val="0"/>
          <w:bCs w:val="0"/>
          <w:kern w:val="2"/>
          <w:sz w:val="32"/>
          <w:szCs w:val="32"/>
          <w:highlight w:val="none"/>
          <w:lang w:val="en-US" w:eastAsia="zh-CN" w:bidi="ar-SA"/>
        </w:rPr>
        <w:instrText xml:space="preserve"> HYPERLINK \l _Toc13835 </w:instrText>
      </w:r>
      <w:r>
        <w:rPr>
          <w:rFonts w:hint="eastAsia" w:ascii="楷体" w:hAnsi="楷体" w:eastAsia="楷体" w:cs="楷体"/>
          <w:b w:val="0"/>
          <w:bCs w:val="0"/>
          <w:kern w:val="2"/>
          <w:sz w:val="32"/>
          <w:szCs w:val="32"/>
          <w:highlight w:val="none"/>
          <w:lang w:val="en-US" w:eastAsia="zh-CN" w:bidi="ar-SA"/>
        </w:rPr>
        <w:fldChar w:fldCharType="separate"/>
      </w:r>
      <w:r>
        <w:rPr>
          <w:rFonts w:hint="eastAsia" w:ascii="楷体" w:hAnsi="楷体" w:eastAsia="楷体" w:cs="楷体"/>
          <w:b w:val="0"/>
          <w:bCs w:val="0"/>
          <w:kern w:val="2"/>
          <w:sz w:val="32"/>
          <w:szCs w:val="32"/>
          <w:highlight w:val="none"/>
          <w:lang w:val="en-US" w:eastAsia="zh-CN" w:bidi="ar-SA"/>
        </w:rPr>
        <w:t>（三）专业物流高质量发展工程</w:t>
      </w:r>
      <w:r>
        <w:rPr>
          <w:rFonts w:hint="eastAsia" w:ascii="楷体" w:hAnsi="楷体" w:eastAsia="楷体" w:cs="楷体"/>
          <w:b w:val="0"/>
          <w:bCs w:val="0"/>
          <w:kern w:val="2"/>
          <w:sz w:val="32"/>
          <w:szCs w:val="32"/>
          <w:highlight w:val="none"/>
          <w:lang w:val="en-US" w:eastAsia="zh-CN" w:bidi="ar-SA"/>
        </w:rPr>
        <w:tab/>
      </w:r>
      <w:r>
        <w:rPr>
          <w:rFonts w:hint="eastAsia" w:ascii="楷体" w:hAnsi="楷体" w:eastAsia="楷体" w:cs="楷体"/>
          <w:b w:val="0"/>
          <w:bCs w:val="0"/>
          <w:kern w:val="2"/>
          <w:sz w:val="32"/>
          <w:szCs w:val="32"/>
          <w:highlight w:val="none"/>
          <w:lang w:val="en-US" w:eastAsia="zh-CN" w:bidi="ar-SA"/>
        </w:rPr>
        <w:t>2</w:t>
      </w:r>
      <w:r>
        <w:rPr>
          <w:rFonts w:hint="eastAsia" w:ascii="楷体" w:hAnsi="楷体" w:eastAsia="楷体" w:cs="楷体"/>
          <w:b w:val="0"/>
          <w:bCs w:val="0"/>
          <w:kern w:val="2"/>
          <w:sz w:val="32"/>
          <w:szCs w:val="32"/>
          <w:highlight w:val="none"/>
          <w:lang w:val="en-US" w:eastAsia="zh-CN" w:bidi="ar-SA"/>
        </w:rPr>
        <w:fldChar w:fldCharType="end"/>
      </w:r>
      <w:r>
        <w:rPr>
          <w:rFonts w:hint="eastAsia" w:ascii="楷体" w:hAnsi="楷体" w:eastAsia="楷体" w:cs="楷体"/>
          <w:b w:val="0"/>
          <w:bCs w:val="0"/>
          <w:kern w:val="2"/>
          <w:sz w:val="32"/>
          <w:szCs w:val="32"/>
          <w:highlight w:val="none"/>
          <w:lang w:val="en-US" w:eastAsia="zh-CN" w:bidi="ar-SA"/>
        </w:rPr>
        <w:t>0</w:t>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680" w:lineRule="exact"/>
        <w:textAlignment w:val="auto"/>
        <w:rPr>
          <w:rFonts w:hint="eastAsia" w:ascii="楷体" w:hAnsi="楷体" w:eastAsia="楷体" w:cs="楷体"/>
          <w:b w:val="0"/>
          <w:bCs w:val="0"/>
          <w:kern w:val="2"/>
          <w:sz w:val="32"/>
          <w:szCs w:val="32"/>
          <w:highlight w:val="none"/>
          <w:lang w:val="en-US" w:eastAsia="zh-CN" w:bidi="ar-SA"/>
        </w:rPr>
      </w:pPr>
      <w:r>
        <w:rPr>
          <w:rFonts w:hint="eastAsia" w:ascii="楷体" w:hAnsi="楷体" w:eastAsia="楷体" w:cs="楷体"/>
          <w:b w:val="0"/>
          <w:bCs w:val="0"/>
          <w:kern w:val="2"/>
          <w:sz w:val="32"/>
          <w:szCs w:val="32"/>
          <w:highlight w:val="none"/>
          <w:lang w:val="en-US" w:eastAsia="zh-CN" w:bidi="ar-SA"/>
        </w:rPr>
        <w:fldChar w:fldCharType="begin"/>
      </w:r>
      <w:r>
        <w:rPr>
          <w:rFonts w:hint="eastAsia" w:ascii="楷体" w:hAnsi="楷体" w:eastAsia="楷体" w:cs="楷体"/>
          <w:b w:val="0"/>
          <w:bCs w:val="0"/>
          <w:kern w:val="2"/>
          <w:sz w:val="32"/>
          <w:szCs w:val="32"/>
          <w:highlight w:val="none"/>
          <w:lang w:val="en-US" w:eastAsia="zh-CN" w:bidi="ar-SA"/>
        </w:rPr>
        <w:instrText xml:space="preserve"> HYPERLINK \l _Toc18622 </w:instrText>
      </w:r>
      <w:r>
        <w:rPr>
          <w:rFonts w:hint="eastAsia" w:ascii="楷体" w:hAnsi="楷体" w:eastAsia="楷体" w:cs="楷体"/>
          <w:b w:val="0"/>
          <w:bCs w:val="0"/>
          <w:kern w:val="2"/>
          <w:sz w:val="32"/>
          <w:szCs w:val="32"/>
          <w:highlight w:val="none"/>
          <w:lang w:val="en-US" w:eastAsia="zh-CN" w:bidi="ar-SA"/>
        </w:rPr>
        <w:fldChar w:fldCharType="separate"/>
      </w:r>
      <w:r>
        <w:rPr>
          <w:rFonts w:hint="eastAsia" w:ascii="楷体" w:hAnsi="楷体" w:eastAsia="楷体" w:cs="楷体"/>
          <w:b w:val="0"/>
          <w:bCs w:val="0"/>
          <w:kern w:val="2"/>
          <w:sz w:val="32"/>
          <w:szCs w:val="32"/>
          <w:highlight w:val="none"/>
          <w:lang w:val="en-US" w:eastAsia="zh-CN" w:bidi="ar-SA"/>
        </w:rPr>
        <w:t>（四）现代供应链创新融合工程</w:t>
      </w:r>
      <w:r>
        <w:rPr>
          <w:rFonts w:hint="eastAsia" w:ascii="楷体" w:hAnsi="楷体" w:eastAsia="楷体" w:cs="楷体"/>
          <w:b w:val="0"/>
          <w:bCs w:val="0"/>
          <w:kern w:val="2"/>
          <w:sz w:val="32"/>
          <w:szCs w:val="32"/>
          <w:highlight w:val="none"/>
          <w:lang w:val="en-US" w:eastAsia="zh-CN" w:bidi="ar-SA"/>
        </w:rPr>
        <w:tab/>
      </w:r>
      <w:r>
        <w:rPr>
          <w:rFonts w:hint="eastAsia" w:ascii="楷体" w:hAnsi="楷体" w:eastAsia="楷体" w:cs="楷体"/>
          <w:b w:val="0"/>
          <w:bCs w:val="0"/>
          <w:kern w:val="2"/>
          <w:sz w:val="32"/>
          <w:szCs w:val="32"/>
          <w:highlight w:val="none"/>
          <w:lang w:val="en-US" w:eastAsia="zh-CN" w:bidi="ar-SA"/>
        </w:rPr>
        <w:t>2</w:t>
      </w:r>
      <w:r>
        <w:rPr>
          <w:rFonts w:hint="eastAsia" w:ascii="楷体" w:hAnsi="楷体" w:eastAsia="楷体" w:cs="楷体"/>
          <w:b w:val="0"/>
          <w:bCs w:val="0"/>
          <w:kern w:val="2"/>
          <w:sz w:val="32"/>
          <w:szCs w:val="32"/>
          <w:highlight w:val="none"/>
          <w:lang w:val="en-US" w:eastAsia="zh-CN" w:bidi="ar-SA"/>
        </w:rPr>
        <w:fldChar w:fldCharType="end"/>
      </w:r>
      <w:r>
        <w:rPr>
          <w:rFonts w:hint="eastAsia" w:ascii="楷体" w:hAnsi="楷体" w:eastAsia="楷体" w:cs="楷体"/>
          <w:b w:val="0"/>
          <w:bCs w:val="0"/>
          <w:kern w:val="2"/>
          <w:sz w:val="32"/>
          <w:szCs w:val="32"/>
          <w:highlight w:val="none"/>
          <w:lang w:val="en-US" w:eastAsia="zh-CN" w:bidi="ar-SA"/>
        </w:rPr>
        <w:t>2</w:t>
      </w:r>
    </w:p>
    <w:p>
      <w:pPr>
        <w:pStyle w:val="8"/>
        <w:keepNext w:val="0"/>
        <w:keepLines w:val="0"/>
        <w:pageBreakBefore w:val="0"/>
        <w:widowControl w:val="0"/>
        <w:tabs>
          <w:tab w:val="right" w:leader="dot" w:pos="8306"/>
        </w:tabs>
        <w:kinsoku/>
        <w:wordWrap/>
        <w:overflowPunct/>
        <w:topLinePunct w:val="0"/>
        <w:autoSpaceDE/>
        <w:autoSpaceDN/>
        <w:bidi w:val="0"/>
        <w:adjustRightInd/>
        <w:snapToGrid/>
        <w:spacing w:line="680" w:lineRule="exact"/>
        <w:textAlignment w:val="auto"/>
        <w:rPr>
          <w:rFonts w:hint="default"/>
          <w:sz w:val="32"/>
          <w:szCs w:val="32"/>
          <w:lang w:val="en-US"/>
        </w:rPr>
      </w:pPr>
      <w:r>
        <w:rPr>
          <w:rFonts w:hint="eastAsia" w:ascii="黑体" w:hAnsi="黑体" w:eastAsia="黑体" w:cs="黑体"/>
          <w:sz w:val="32"/>
          <w:szCs w:val="32"/>
          <w:lang w:val="en-US" w:eastAsia="zh-CN"/>
        </w:rPr>
        <w:fldChar w:fldCharType="begin"/>
      </w:r>
      <w:r>
        <w:rPr>
          <w:rFonts w:hint="eastAsia" w:ascii="黑体" w:hAnsi="黑体" w:eastAsia="黑体" w:cs="黑体"/>
          <w:sz w:val="32"/>
          <w:szCs w:val="32"/>
          <w:lang w:val="en-US" w:eastAsia="zh-CN"/>
        </w:rPr>
        <w:instrText xml:space="preserve"> HYPERLINK \l _Toc12776 </w:instrText>
      </w:r>
      <w:r>
        <w:rPr>
          <w:rFonts w:hint="eastAsia" w:ascii="黑体" w:hAnsi="黑体" w:eastAsia="黑体" w:cs="黑体"/>
          <w:sz w:val="32"/>
          <w:szCs w:val="32"/>
          <w:lang w:val="en-US" w:eastAsia="zh-CN"/>
        </w:rPr>
        <w:fldChar w:fldCharType="separate"/>
      </w:r>
      <w:r>
        <w:rPr>
          <w:rFonts w:hint="eastAsia" w:ascii="黑体" w:hAnsi="黑体" w:eastAsia="黑体" w:cs="黑体"/>
          <w:bCs w:val="0"/>
          <w:sz w:val="32"/>
          <w:szCs w:val="32"/>
          <w:lang w:val="en-US" w:eastAsia="zh-CN"/>
        </w:rPr>
        <w:t>六、保障措施</w:t>
      </w:r>
      <w:r>
        <w:rPr>
          <w:sz w:val="32"/>
          <w:szCs w:val="32"/>
        </w:rPr>
        <w:tab/>
      </w:r>
      <w:r>
        <w:rPr>
          <w:rFonts w:hint="eastAsia"/>
          <w:sz w:val="32"/>
          <w:szCs w:val="32"/>
          <w:lang w:val="en-US" w:eastAsia="zh-CN"/>
        </w:rPr>
        <w:t>2</w:t>
      </w:r>
      <w:r>
        <w:rPr>
          <w:rFonts w:hint="eastAsia" w:ascii="黑体" w:hAnsi="黑体" w:eastAsia="黑体" w:cs="黑体"/>
          <w:sz w:val="32"/>
          <w:szCs w:val="32"/>
          <w:lang w:val="en-US" w:eastAsia="zh-CN"/>
        </w:rPr>
        <w:fldChar w:fldCharType="end"/>
      </w:r>
      <w:r>
        <w:rPr>
          <w:rFonts w:hint="eastAsia" w:ascii="黑体" w:hAnsi="黑体" w:eastAsia="黑体" w:cs="黑体"/>
          <w:sz w:val="32"/>
          <w:szCs w:val="32"/>
          <w:lang w:val="en-US" w:eastAsia="zh-CN"/>
        </w:rPr>
        <w:t>3</w:t>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680" w:lineRule="exact"/>
        <w:textAlignment w:val="auto"/>
        <w:rPr>
          <w:rFonts w:hint="default" w:ascii="楷体" w:hAnsi="楷体" w:eastAsia="楷体" w:cs="楷体"/>
          <w:b w:val="0"/>
          <w:bCs w:val="0"/>
          <w:kern w:val="2"/>
          <w:sz w:val="32"/>
          <w:szCs w:val="32"/>
          <w:highlight w:val="none"/>
          <w:lang w:val="en-US" w:eastAsia="zh-CN" w:bidi="ar-SA"/>
        </w:rPr>
      </w:pPr>
      <w:r>
        <w:rPr>
          <w:rFonts w:hint="eastAsia" w:ascii="楷体" w:hAnsi="楷体" w:eastAsia="楷体" w:cs="楷体"/>
          <w:b w:val="0"/>
          <w:bCs w:val="0"/>
          <w:kern w:val="2"/>
          <w:sz w:val="32"/>
          <w:szCs w:val="32"/>
          <w:highlight w:val="none"/>
          <w:lang w:val="en-US" w:eastAsia="zh-CN" w:bidi="ar-SA"/>
        </w:rPr>
        <w:fldChar w:fldCharType="begin"/>
      </w:r>
      <w:r>
        <w:rPr>
          <w:rFonts w:hint="eastAsia" w:ascii="楷体" w:hAnsi="楷体" w:eastAsia="楷体" w:cs="楷体"/>
          <w:b w:val="0"/>
          <w:bCs w:val="0"/>
          <w:kern w:val="2"/>
          <w:sz w:val="32"/>
          <w:szCs w:val="32"/>
          <w:highlight w:val="none"/>
          <w:lang w:val="en-US" w:eastAsia="zh-CN" w:bidi="ar-SA"/>
        </w:rPr>
        <w:instrText xml:space="preserve"> HYPERLINK \l _Toc18911 </w:instrText>
      </w:r>
      <w:r>
        <w:rPr>
          <w:rFonts w:hint="eastAsia" w:ascii="楷体" w:hAnsi="楷体" w:eastAsia="楷体" w:cs="楷体"/>
          <w:b w:val="0"/>
          <w:bCs w:val="0"/>
          <w:kern w:val="2"/>
          <w:sz w:val="32"/>
          <w:szCs w:val="32"/>
          <w:highlight w:val="none"/>
          <w:lang w:val="en-US" w:eastAsia="zh-CN" w:bidi="ar-SA"/>
        </w:rPr>
        <w:fldChar w:fldCharType="separate"/>
      </w:r>
      <w:r>
        <w:rPr>
          <w:rFonts w:hint="eastAsia" w:ascii="楷体" w:hAnsi="楷体" w:eastAsia="楷体" w:cs="楷体"/>
          <w:b w:val="0"/>
          <w:bCs w:val="0"/>
          <w:kern w:val="2"/>
          <w:sz w:val="32"/>
          <w:szCs w:val="32"/>
          <w:highlight w:val="none"/>
          <w:lang w:val="en-US" w:eastAsia="zh-CN" w:bidi="ar-SA"/>
        </w:rPr>
        <w:t>（一）加强组织协调</w:t>
      </w:r>
      <w:r>
        <w:rPr>
          <w:rFonts w:hint="eastAsia" w:ascii="楷体" w:hAnsi="楷体" w:eastAsia="楷体" w:cs="楷体"/>
          <w:b w:val="0"/>
          <w:bCs w:val="0"/>
          <w:kern w:val="2"/>
          <w:sz w:val="32"/>
          <w:szCs w:val="32"/>
          <w:highlight w:val="none"/>
          <w:lang w:val="en-US" w:eastAsia="zh-CN" w:bidi="ar-SA"/>
        </w:rPr>
        <w:tab/>
      </w:r>
      <w:r>
        <w:rPr>
          <w:rFonts w:hint="eastAsia" w:ascii="楷体" w:hAnsi="楷体" w:eastAsia="楷体" w:cs="楷体"/>
          <w:b w:val="0"/>
          <w:bCs w:val="0"/>
          <w:kern w:val="2"/>
          <w:sz w:val="32"/>
          <w:szCs w:val="32"/>
          <w:highlight w:val="none"/>
          <w:lang w:val="en-US" w:eastAsia="zh-CN" w:bidi="ar-SA"/>
        </w:rPr>
        <w:t>2</w:t>
      </w:r>
      <w:r>
        <w:rPr>
          <w:rFonts w:hint="eastAsia" w:ascii="楷体" w:hAnsi="楷体" w:eastAsia="楷体" w:cs="楷体"/>
          <w:b w:val="0"/>
          <w:bCs w:val="0"/>
          <w:kern w:val="2"/>
          <w:sz w:val="32"/>
          <w:szCs w:val="32"/>
          <w:highlight w:val="none"/>
          <w:lang w:val="en-US" w:eastAsia="zh-CN" w:bidi="ar-SA"/>
        </w:rPr>
        <w:fldChar w:fldCharType="end"/>
      </w:r>
      <w:r>
        <w:rPr>
          <w:rFonts w:hint="eastAsia" w:ascii="楷体" w:hAnsi="楷体" w:eastAsia="楷体" w:cs="楷体"/>
          <w:b w:val="0"/>
          <w:bCs w:val="0"/>
          <w:kern w:val="2"/>
          <w:sz w:val="32"/>
          <w:szCs w:val="32"/>
          <w:highlight w:val="none"/>
          <w:lang w:val="en-US" w:eastAsia="zh-CN" w:bidi="ar-SA"/>
        </w:rPr>
        <w:t>3</w:t>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680" w:lineRule="exact"/>
        <w:textAlignment w:val="auto"/>
        <w:rPr>
          <w:rFonts w:hint="default" w:ascii="楷体" w:hAnsi="楷体" w:eastAsia="楷体" w:cs="楷体"/>
          <w:b w:val="0"/>
          <w:bCs w:val="0"/>
          <w:kern w:val="2"/>
          <w:sz w:val="32"/>
          <w:szCs w:val="32"/>
          <w:highlight w:val="none"/>
          <w:lang w:val="en-US" w:eastAsia="zh-CN" w:bidi="ar-SA"/>
        </w:rPr>
      </w:pPr>
      <w:r>
        <w:rPr>
          <w:rFonts w:hint="eastAsia" w:ascii="楷体" w:hAnsi="楷体" w:eastAsia="楷体" w:cs="楷体"/>
          <w:b w:val="0"/>
          <w:bCs w:val="0"/>
          <w:kern w:val="2"/>
          <w:sz w:val="32"/>
          <w:szCs w:val="32"/>
          <w:highlight w:val="none"/>
          <w:lang w:val="en-US" w:eastAsia="zh-CN" w:bidi="ar-SA"/>
        </w:rPr>
        <w:fldChar w:fldCharType="begin"/>
      </w:r>
      <w:r>
        <w:rPr>
          <w:rFonts w:hint="eastAsia" w:ascii="楷体" w:hAnsi="楷体" w:eastAsia="楷体" w:cs="楷体"/>
          <w:b w:val="0"/>
          <w:bCs w:val="0"/>
          <w:kern w:val="2"/>
          <w:sz w:val="32"/>
          <w:szCs w:val="32"/>
          <w:highlight w:val="none"/>
          <w:lang w:val="en-US" w:eastAsia="zh-CN" w:bidi="ar-SA"/>
        </w:rPr>
        <w:instrText xml:space="preserve"> HYPERLINK \l _Toc13256 </w:instrText>
      </w:r>
      <w:r>
        <w:rPr>
          <w:rFonts w:hint="eastAsia" w:ascii="楷体" w:hAnsi="楷体" w:eastAsia="楷体" w:cs="楷体"/>
          <w:b w:val="0"/>
          <w:bCs w:val="0"/>
          <w:kern w:val="2"/>
          <w:sz w:val="32"/>
          <w:szCs w:val="32"/>
          <w:highlight w:val="none"/>
          <w:lang w:val="en-US" w:eastAsia="zh-CN" w:bidi="ar-SA"/>
        </w:rPr>
        <w:fldChar w:fldCharType="separate"/>
      </w:r>
      <w:r>
        <w:rPr>
          <w:rFonts w:hint="eastAsia" w:ascii="楷体" w:hAnsi="楷体" w:eastAsia="楷体" w:cs="楷体"/>
          <w:b w:val="0"/>
          <w:bCs w:val="0"/>
          <w:kern w:val="2"/>
          <w:sz w:val="32"/>
          <w:szCs w:val="32"/>
          <w:highlight w:val="none"/>
          <w:lang w:val="en-US" w:eastAsia="zh-CN" w:bidi="ar-SA"/>
        </w:rPr>
        <w:t>（二）强化项目支撑</w:t>
      </w:r>
      <w:r>
        <w:rPr>
          <w:rFonts w:hint="eastAsia" w:ascii="楷体" w:hAnsi="楷体" w:eastAsia="楷体" w:cs="楷体"/>
          <w:b w:val="0"/>
          <w:bCs w:val="0"/>
          <w:kern w:val="2"/>
          <w:sz w:val="32"/>
          <w:szCs w:val="32"/>
          <w:highlight w:val="none"/>
          <w:lang w:val="en-US" w:eastAsia="zh-CN" w:bidi="ar-SA"/>
        </w:rPr>
        <w:tab/>
      </w:r>
      <w:r>
        <w:rPr>
          <w:rFonts w:hint="eastAsia" w:ascii="楷体" w:hAnsi="楷体" w:eastAsia="楷体" w:cs="楷体"/>
          <w:b w:val="0"/>
          <w:bCs w:val="0"/>
          <w:kern w:val="2"/>
          <w:sz w:val="32"/>
          <w:szCs w:val="32"/>
          <w:highlight w:val="none"/>
          <w:lang w:val="en-US" w:eastAsia="zh-CN" w:bidi="ar-SA"/>
        </w:rPr>
        <w:t>2</w:t>
      </w:r>
      <w:r>
        <w:rPr>
          <w:rFonts w:hint="eastAsia" w:ascii="楷体" w:hAnsi="楷体" w:eastAsia="楷体" w:cs="楷体"/>
          <w:b w:val="0"/>
          <w:bCs w:val="0"/>
          <w:kern w:val="2"/>
          <w:sz w:val="32"/>
          <w:szCs w:val="32"/>
          <w:highlight w:val="none"/>
          <w:lang w:val="en-US" w:eastAsia="zh-CN" w:bidi="ar-SA"/>
        </w:rPr>
        <w:fldChar w:fldCharType="end"/>
      </w:r>
      <w:r>
        <w:rPr>
          <w:rFonts w:hint="eastAsia" w:ascii="楷体" w:hAnsi="楷体" w:eastAsia="楷体" w:cs="楷体"/>
          <w:b w:val="0"/>
          <w:bCs w:val="0"/>
          <w:kern w:val="2"/>
          <w:sz w:val="32"/>
          <w:szCs w:val="32"/>
          <w:highlight w:val="none"/>
          <w:lang w:val="en-US" w:eastAsia="zh-CN" w:bidi="ar-SA"/>
        </w:rPr>
        <w:t>4</w:t>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680" w:lineRule="exact"/>
        <w:textAlignment w:val="auto"/>
        <w:rPr>
          <w:rFonts w:hint="default" w:ascii="楷体" w:hAnsi="楷体" w:eastAsia="楷体" w:cs="楷体"/>
          <w:b w:val="0"/>
          <w:bCs w:val="0"/>
          <w:kern w:val="2"/>
          <w:sz w:val="32"/>
          <w:szCs w:val="32"/>
          <w:highlight w:val="none"/>
          <w:lang w:val="en-US" w:eastAsia="zh-CN" w:bidi="ar-SA"/>
        </w:rPr>
      </w:pPr>
      <w:r>
        <w:rPr>
          <w:rFonts w:hint="eastAsia" w:ascii="楷体" w:hAnsi="楷体" w:eastAsia="楷体" w:cs="楷体"/>
          <w:b w:val="0"/>
          <w:bCs w:val="0"/>
          <w:kern w:val="2"/>
          <w:sz w:val="32"/>
          <w:szCs w:val="32"/>
          <w:highlight w:val="none"/>
          <w:lang w:val="en-US" w:eastAsia="zh-CN" w:bidi="ar-SA"/>
        </w:rPr>
        <w:fldChar w:fldCharType="begin"/>
      </w:r>
      <w:r>
        <w:rPr>
          <w:rFonts w:hint="eastAsia" w:ascii="楷体" w:hAnsi="楷体" w:eastAsia="楷体" w:cs="楷体"/>
          <w:b w:val="0"/>
          <w:bCs w:val="0"/>
          <w:kern w:val="2"/>
          <w:sz w:val="32"/>
          <w:szCs w:val="32"/>
          <w:highlight w:val="none"/>
          <w:lang w:val="en-US" w:eastAsia="zh-CN" w:bidi="ar-SA"/>
        </w:rPr>
        <w:instrText xml:space="preserve"> HYPERLINK \l _Toc1620 </w:instrText>
      </w:r>
      <w:r>
        <w:rPr>
          <w:rFonts w:hint="eastAsia" w:ascii="楷体" w:hAnsi="楷体" w:eastAsia="楷体" w:cs="楷体"/>
          <w:b w:val="0"/>
          <w:bCs w:val="0"/>
          <w:kern w:val="2"/>
          <w:sz w:val="32"/>
          <w:szCs w:val="32"/>
          <w:highlight w:val="none"/>
          <w:lang w:val="en-US" w:eastAsia="zh-CN" w:bidi="ar-SA"/>
        </w:rPr>
        <w:fldChar w:fldCharType="separate"/>
      </w:r>
      <w:r>
        <w:rPr>
          <w:rFonts w:hint="eastAsia" w:ascii="楷体" w:hAnsi="楷体" w:eastAsia="楷体" w:cs="楷体"/>
          <w:b w:val="0"/>
          <w:bCs w:val="0"/>
          <w:kern w:val="2"/>
          <w:sz w:val="32"/>
          <w:szCs w:val="32"/>
          <w:highlight w:val="none"/>
          <w:lang w:val="en-US" w:eastAsia="zh-CN" w:bidi="ar-SA"/>
        </w:rPr>
        <w:t>（三）加大要素保障</w:t>
      </w:r>
      <w:r>
        <w:rPr>
          <w:rFonts w:hint="eastAsia" w:ascii="楷体" w:hAnsi="楷体" w:eastAsia="楷体" w:cs="楷体"/>
          <w:b w:val="0"/>
          <w:bCs w:val="0"/>
          <w:kern w:val="2"/>
          <w:sz w:val="32"/>
          <w:szCs w:val="32"/>
          <w:highlight w:val="none"/>
          <w:lang w:val="en-US" w:eastAsia="zh-CN" w:bidi="ar-SA"/>
        </w:rPr>
        <w:tab/>
      </w:r>
      <w:r>
        <w:rPr>
          <w:rFonts w:hint="eastAsia" w:ascii="楷体" w:hAnsi="楷体" w:eastAsia="楷体" w:cs="楷体"/>
          <w:b w:val="0"/>
          <w:bCs w:val="0"/>
          <w:kern w:val="2"/>
          <w:sz w:val="32"/>
          <w:szCs w:val="32"/>
          <w:highlight w:val="none"/>
          <w:lang w:val="en-US" w:eastAsia="zh-CN" w:bidi="ar-SA"/>
        </w:rPr>
        <w:fldChar w:fldCharType="begin"/>
      </w:r>
      <w:r>
        <w:rPr>
          <w:rFonts w:hint="eastAsia" w:ascii="楷体" w:hAnsi="楷体" w:eastAsia="楷体" w:cs="楷体"/>
          <w:b w:val="0"/>
          <w:bCs w:val="0"/>
          <w:kern w:val="2"/>
          <w:sz w:val="32"/>
          <w:szCs w:val="32"/>
          <w:highlight w:val="none"/>
          <w:lang w:val="en-US" w:eastAsia="zh-CN" w:bidi="ar-SA"/>
        </w:rPr>
        <w:instrText xml:space="preserve"> PAGEREF _Toc1620 </w:instrText>
      </w:r>
      <w:r>
        <w:rPr>
          <w:rFonts w:hint="eastAsia" w:ascii="楷体" w:hAnsi="楷体" w:eastAsia="楷体" w:cs="楷体"/>
          <w:b w:val="0"/>
          <w:bCs w:val="0"/>
          <w:kern w:val="2"/>
          <w:sz w:val="32"/>
          <w:szCs w:val="32"/>
          <w:highlight w:val="none"/>
          <w:lang w:val="en-US" w:eastAsia="zh-CN" w:bidi="ar-SA"/>
        </w:rPr>
        <w:fldChar w:fldCharType="separate"/>
      </w:r>
      <w:r>
        <w:rPr>
          <w:rFonts w:hint="eastAsia" w:ascii="楷体" w:hAnsi="楷体" w:eastAsia="楷体" w:cs="楷体"/>
          <w:b w:val="0"/>
          <w:bCs w:val="0"/>
          <w:kern w:val="2"/>
          <w:sz w:val="32"/>
          <w:szCs w:val="32"/>
          <w:highlight w:val="none"/>
          <w:lang w:val="en-US" w:eastAsia="zh-CN" w:bidi="ar-SA"/>
        </w:rPr>
        <w:t>24</w:t>
      </w:r>
      <w:r>
        <w:rPr>
          <w:rFonts w:hint="eastAsia" w:ascii="楷体" w:hAnsi="楷体" w:eastAsia="楷体" w:cs="楷体"/>
          <w:b w:val="0"/>
          <w:bCs w:val="0"/>
          <w:kern w:val="2"/>
          <w:sz w:val="32"/>
          <w:szCs w:val="32"/>
          <w:highlight w:val="none"/>
          <w:lang w:val="en-US" w:eastAsia="zh-CN" w:bidi="ar-SA"/>
        </w:rPr>
        <w:fldChar w:fldCharType="end"/>
      </w:r>
      <w:r>
        <w:rPr>
          <w:rFonts w:hint="eastAsia" w:ascii="楷体" w:hAnsi="楷体" w:eastAsia="楷体" w:cs="楷体"/>
          <w:b w:val="0"/>
          <w:bCs w:val="0"/>
          <w:kern w:val="2"/>
          <w:sz w:val="32"/>
          <w:szCs w:val="32"/>
          <w:highlight w:val="none"/>
          <w:lang w:val="en-US" w:eastAsia="zh-CN" w:bidi="ar-SA"/>
        </w:rPr>
        <w:fldChar w:fldCharType="end"/>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680" w:lineRule="exact"/>
        <w:textAlignment w:val="auto"/>
        <w:rPr>
          <w:rFonts w:hint="default" w:ascii="仿宋_GB2312" w:hAnsi="仿宋_GB2312" w:eastAsia="仿宋_GB2312" w:cs="仿宋_GB2312"/>
          <w:b/>
          <w:bCs/>
          <w:sz w:val="32"/>
          <w:szCs w:val="32"/>
          <w:lang w:val="en-US" w:eastAsia="zh-CN"/>
        </w:rPr>
      </w:pPr>
      <w:r>
        <w:rPr>
          <w:rFonts w:hint="eastAsia" w:ascii="楷体" w:hAnsi="楷体" w:eastAsia="楷体" w:cs="楷体"/>
          <w:b w:val="0"/>
          <w:bCs w:val="0"/>
          <w:kern w:val="2"/>
          <w:sz w:val="32"/>
          <w:szCs w:val="32"/>
          <w:highlight w:val="none"/>
          <w:lang w:val="en-US" w:eastAsia="zh-CN" w:bidi="ar-SA"/>
        </w:rPr>
        <w:fldChar w:fldCharType="begin"/>
      </w:r>
      <w:r>
        <w:rPr>
          <w:rFonts w:hint="eastAsia" w:ascii="楷体" w:hAnsi="楷体" w:eastAsia="楷体" w:cs="楷体"/>
          <w:b w:val="0"/>
          <w:bCs w:val="0"/>
          <w:kern w:val="2"/>
          <w:sz w:val="32"/>
          <w:szCs w:val="32"/>
          <w:highlight w:val="none"/>
          <w:lang w:val="en-US" w:eastAsia="zh-CN" w:bidi="ar-SA"/>
        </w:rPr>
        <w:instrText xml:space="preserve"> HYPERLINK \l _Toc11467 </w:instrText>
      </w:r>
      <w:r>
        <w:rPr>
          <w:rFonts w:hint="eastAsia" w:ascii="楷体" w:hAnsi="楷体" w:eastAsia="楷体" w:cs="楷体"/>
          <w:b w:val="0"/>
          <w:bCs w:val="0"/>
          <w:kern w:val="2"/>
          <w:sz w:val="32"/>
          <w:szCs w:val="32"/>
          <w:highlight w:val="none"/>
          <w:lang w:val="en-US" w:eastAsia="zh-CN" w:bidi="ar-SA"/>
        </w:rPr>
        <w:fldChar w:fldCharType="separate"/>
      </w:r>
      <w:r>
        <w:rPr>
          <w:rFonts w:hint="eastAsia" w:ascii="楷体" w:hAnsi="楷体" w:eastAsia="楷体" w:cs="楷体"/>
          <w:b w:val="0"/>
          <w:bCs w:val="0"/>
          <w:kern w:val="2"/>
          <w:sz w:val="32"/>
          <w:szCs w:val="32"/>
          <w:highlight w:val="none"/>
          <w:lang w:val="en-US" w:eastAsia="zh-CN" w:bidi="ar-SA"/>
        </w:rPr>
        <w:t>（四）健全标准体系</w:t>
      </w:r>
      <w:r>
        <w:rPr>
          <w:rFonts w:hint="eastAsia" w:ascii="楷体" w:hAnsi="楷体" w:eastAsia="楷体" w:cs="楷体"/>
          <w:b w:val="0"/>
          <w:bCs w:val="0"/>
          <w:kern w:val="2"/>
          <w:sz w:val="32"/>
          <w:szCs w:val="32"/>
          <w:highlight w:val="none"/>
          <w:lang w:val="en-US" w:eastAsia="zh-CN" w:bidi="ar-SA"/>
        </w:rPr>
        <w:tab/>
      </w:r>
      <w:r>
        <w:rPr>
          <w:rFonts w:hint="eastAsia" w:ascii="楷体" w:hAnsi="楷体" w:eastAsia="楷体" w:cs="楷体"/>
          <w:b w:val="0"/>
          <w:bCs w:val="0"/>
          <w:kern w:val="2"/>
          <w:sz w:val="32"/>
          <w:szCs w:val="32"/>
          <w:highlight w:val="none"/>
          <w:lang w:val="en-US" w:eastAsia="zh-CN" w:bidi="ar-SA"/>
        </w:rPr>
        <w:t>2</w:t>
      </w:r>
      <w:r>
        <w:rPr>
          <w:rFonts w:hint="eastAsia" w:ascii="楷体" w:hAnsi="楷体" w:eastAsia="楷体" w:cs="楷体"/>
          <w:b w:val="0"/>
          <w:bCs w:val="0"/>
          <w:kern w:val="2"/>
          <w:sz w:val="32"/>
          <w:szCs w:val="32"/>
          <w:highlight w:val="none"/>
          <w:lang w:val="en-US" w:eastAsia="zh-CN" w:bidi="ar-SA"/>
        </w:rPr>
        <w:fldChar w:fldCharType="end"/>
      </w:r>
      <w:r>
        <w:rPr>
          <w:rFonts w:hint="eastAsia" w:ascii="楷体" w:hAnsi="楷体" w:eastAsia="楷体" w:cs="楷体"/>
          <w:b w:val="0"/>
          <w:bCs w:val="0"/>
          <w:kern w:val="2"/>
          <w:sz w:val="32"/>
          <w:szCs w:val="32"/>
          <w:highlight w:val="none"/>
          <w:lang w:val="en-US" w:eastAsia="zh-CN" w:bidi="ar-SA"/>
        </w:rPr>
        <w:t>4</w:t>
      </w:r>
    </w:p>
    <w:p>
      <w:pPr>
        <w:pStyle w:val="9"/>
        <w:keepNext w:val="0"/>
        <w:keepLines w:val="0"/>
        <w:pageBreakBefore w:val="0"/>
        <w:widowControl w:val="0"/>
        <w:tabs>
          <w:tab w:val="right" w:leader="dot" w:pos="8306"/>
        </w:tabs>
        <w:kinsoku/>
        <w:wordWrap/>
        <w:overflowPunct/>
        <w:topLinePunct w:val="0"/>
        <w:autoSpaceDE/>
        <w:autoSpaceDN/>
        <w:bidi w:val="0"/>
        <w:adjustRightInd/>
        <w:snapToGrid/>
        <w:spacing w:line="680" w:lineRule="exact"/>
        <w:textAlignment w:val="auto"/>
        <w:rPr>
          <w:rFonts w:hint="default" w:ascii="楷体" w:hAnsi="楷体" w:eastAsia="楷体" w:cs="楷体"/>
          <w:b w:val="0"/>
          <w:bCs w:val="0"/>
          <w:kern w:val="2"/>
          <w:sz w:val="32"/>
          <w:szCs w:val="32"/>
          <w:highlight w:val="none"/>
          <w:lang w:val="en-US" w:eastAsia="zh-CN" w:bidi="ar-SA"/>
        </w:rPr>
      </w:pPr>
      <w:r>
        <w:rPr>
          <w:rFonts w:hint="eastAsia" w:ascii="楷体" w:hAnsi="楷体" w:eastAsia="楷体" w:cs="楷体"/>
          <w:b w:val="0"/>
          <w:bCs w:val="0"/>
          <w:kern w:val="2"/>
          <w:sz w:val="32"/>
          <w:szCs w:val="32"/>
          <w:highlight w:val="none"/>
          <w:lang w:val="en-US" w:eastAsia="zh-CN" w:bidi="ar-SA"/>
        </w:rPr>
        <w:fldChar w:fldCharType="begin"/>
      </w:r>
      <w:r>
        <w:rPr>
          <w:rFonts w:hint="eastAsia" w:ascii="楷体" w:hAnsi="楷体" w:eastAsia="楷体" w:cs="楷体"/>
          <w:b w:val="0"/>
          <w:bCs w:val="0"/>
          <w:kern w:val="2"/>
          <w:sz w:val="32"/>
          <w:szCs w:val="32"/>
          <w:highlight w:val="none"/>
          <w:lang w:val="en-US" w:eastAsia="zh-CN" w:bidi="ar-SA"/>
        </w:rPr>
        <w:instrText xml:space="preserve"> HYPERLINK \l _Toc12867 </w:instrText>
      </w:r>
      <w:r>
        <w:rPr>
          <w:rFonts w:hint="eastAsia" w:ascii="楷体" w:hAnsi="楷体" w:eastAsia="楷体" w:cs="楷体"/>
          <w:b w:val="0"/>
          <w:bCs w:val="0"/>
          <w:kern w:val="2"/>
          <w:sz w:val="32"/>
          <w:szCs w:val="32"/>
          <w:highlight w:val="none"/>
          <w:lang w:val="en-US" w:eastAsia="zh-CN" w:bidi="ar-SA"/>
        </w:rPr>
        <w:fldChar w:fldCharType="separate"/>
      </w:r>
      <w:r>
        <w:rPr>
          <w:rFonts w:hint="eastAsia" w:ascii="楷体" w:hAnsi="楷体" w:eastAsia="楷体" w:cs="楷体"/>
          <w:b w:val="0"/>
          <w:bCs w:val="0"/>
          <w:kern w:val="2"/>
          <w:sz w:val="32"/>
          <w:szCs w:val="32"/>
          <w:highlight w:val="none"/>
          <w:lang w:val="en-US" w:eastAsia="zh-CN" w:bidi="ar-SA"/>
        </w:rPr>
        <w:t>（五）开展监测评估</w:t>
      </w:r>
      <w:r>
        <w:rPr>
          <w:rFonts w:hint="eastAsia" w:ascii="楷体" w:hAnsi="楷体" w:eastAsia="楷体" w:cs="楷体"/>
          <w:b w:val="0"/>
          <w:bCs w:val="0"/>
          <w:kern w:val="2"/>
          <w:sz w:val="32"/>
          <w:szCs w:val="32"/>
          <w:highlight w:val="none"/>
          <w:lang w:val="en-US" w:eastAsia="zh-CN" w:bidi="ar-SA"/>
        </w:rPr>
        <w:tab/>
      </w:r>
      <w:r>
        <w:rPr>
          <w:rFonts w:hint="eastAsia" w:ascii="楷体" w:hAnsi="楷体" w:eastAsia="楷体" w:cs="楷体"/>
          <w:b w:val="0"/>
          <w:bCs w:val="0"/>
          <w:kern w:val="2"/>
          <w:sz w:val="32"/>
          <w:szCs w:val="32"/>
          <w:highlight w:val="none"/>
          <w:lang w:val="en-US" w:eastAsia="zh-CN" w:bidi="ar-SA"/>
        </w:rPr>
        <w:t>2</w:t>
      </w:r>
      <w:r>
        <w:rPr>
          <w:rFonts w:hint="eastAsia" w:ascii="楷体" w:hAnsi="楷体" w:eastAsia="楷体" w:cs="楷体"/>
          <w:b w:val="0"/>
          <w:bCs w:val="0"/>
          <w:kern w:val="2"/>
          <w:sz w:val="32"/>
          <w:szCs w:val="32"/>
          <w:highlight w:val="none"/>
          <w:lang w:val="en-US" w:eastAsia="zh-CN" w:bidi="ar-SA"/>
        </w:rPr>
        <w:fldChar w:fldCharType="end"/>
      </w:r>
      <w:r>
        <w:rPr>
          <w:rFonts w:hint="eastAsia" w:ascii="楷体" w:hAnsi="楷体" w:eastAsia="楷体" w:cs="楷体"/>
          <w:b w:val="0"/>
          <w:bCs w:val="0"/>
          <w:kern w:val="2"/>
          <w:sz w:val="32"/>
          <w:szCs w:val="32"/>
          <w:highlight w:val="none"/>
          <w:lang w:val="en-US" w:eastAsia="zh-CN" w:bidi="ar-SA"/>
        </w:rPr>
        <w:t>5</w:t>
      </w:r>
    </w:p>
    <w:p>
      <w:pPr>
        <w:pStyle w:val="2"/>
        <w:keepNext w:val="0"/>
        <w:keepLines w:val="0"/>
        <w:pageBreakBefore w:val="0"/>
        <w:widowControl w:val="0"/>
        <w:kinsoku/>
        <w:wordWrap/>
        <w:overflowPunct/>
        <w:topLinePunct w:val="0"/>
        <w:autoSpaceDE/>
        <w:autoSpaceDN/>
        <w:bidi w:val="0"/>
        <w:adjustRightInd/>
        <w:snapToGrid/>
        <w:spacing w:line="680" w:lineRule="exact"/>
        <w:ind w:left="0" w:leftChars="0" w:firstLine="0" w:firstLineChars="0"/>
        <w:jc w:val="both"/>
        <w:textAlignment w:val="auto"/>
        <w:outlineLvl w:val="9"/>
        <w:rPr>
          <w:rFonts w:hint="eastAsia" w:ascii="方正小标宋简体" w:hAnsi="方正小标宋简体" w:eastAsia="方正小标宋简体" w:cs="方正小标宋简体"/>
          <w:color w:val="000000"/>
          <w:kern w:val="2"/>
          <w:sz w:val="32"/>
          <w:szCs w:val="32"/>
          <w:lang w:val="en-US" w:eastAsia="zh-CN" w:bidi="ar-SA"/>
        </w:rPr>
        <w:sectPr>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fmt="upperRoman" w:start="1"/>
          <w:cols w:space="720" w:num="1"/>
          <w:docGrid w:type="lines" w:linePitch="312" w:charSpace="0"/>
        </w:sectPr>
      </w:pPr>
      <w:r>
        <w:rPr>
          <w:rFonts w:hint="eastAsia" w:ascii="黑体" w:hAnsi="黑体" w:eastAsia="黑体" w:cs="黑体"/>
          <w:sz w:val="32"/>
          <w:szCs w:val="32"/>
          <w:lang w:val="en-US" w:eastAsia="zh-CN"/>
        </w:rPr>
        <w:fldChar w:fldCharType="end"/>
      </w:r>
    </w:p>
    <w:p>
      <w:pPr>
        <w:keepNext w:val="0"/>
        <w:keepLines w:val="0"/>
        <w:pageBreakBefore w:val="0"/>
        <w:kinsoku/>
        <w:overflowPunct/>
        <w:topLinePunct w:val="0"/>
        <w:autoSpaceDE/>
        <w:autoSpaceDN/>
        <w:bidi w:val="0"/>
        <w:adjustRightInd/>
        <w:snapToGrid/>
        <w:spacing w:line="580" w:lineRule="exact"/>
        <w:ind w:firstLine="640" w:firstLineChars="200"/>
        <w:textAlignment w:val="auto"/>
        <w:rPr>
          <w:rFonts w:hint="eastAsia" w:ascii="楷体" w:hAnsi="楷体" w:eastAsia="楷体" w:cs="楷体"/>
          <w:b/>
          <w:bCs/>
          <w:sz w:val="32"/>
          <w:szCs w:val="32"/>
          <w:lang w:val="en-US" w:eastAsia="zh-CN"/>
        </w:rPr>
      </w:pPr>
      <w:r>
        <w:rPr>
          <w:rFonts w:hint="eastAsia" w:ascii="Times New Roman" w:hAnsi="Times New Roman" w:eastAsia="仿宋_GB2312" w:cs="Times New Roman"/>
          <w:color w:val="000000"/>
          <w:kern w:val="2"/>
          <w:sz w:val="32"/>
          <w:szCs w:val="32"/>
          <w:lang w:val="en-US" w:eastAsia="zh-CN" w:bidi="ar-SA"/>
        </w:rPr>
        <w:t>为深入贯彻新发展理念，支撑构建新发展格局，加快陕西物流高质量发展，按照党中央、国务院关于构建现代物流体系的决策部署，根据《陕西省国民经济和社会发展第十四个五年规划和二〇三五年远景目标纲要》，制定本规划。规划期为2021-2025年。</w:t>
      </w:r>
    </w:p>
    <w:p>
      <w:pPr>
        <w:keepNext w:val="0"/>
        <w:keepLines w:val="0"/>
        <w:pageBreakBefore w:val="0"/>
        <w:kinsoku/>
        <w:overflowPunct/>
        <w:topLinePunct w:val="0"/>
        <w:autoSpaceDE/>
        <w:autoSpaceDN/>
        <w:bidi w:val="0"/>
        <w:adjustRightInd/>
        <w:snapToGrid/>
        <w:spacing w:line="580" w:lineRule="exact"/>
        <w:ind w:left="0" w:leftChars="0" w:firstLine="640" w:firstLineChars="200"/>
        <w:jc w:val="left"/>
        <w:textAlignment w:val="auto"/>
        <w:outlineLvl w:val="0"/>
        <w:rPr>
          <w:rFonts w:hint="eastAsia" w:ascii="黑体" w:hAnsi="黑体" w:eastAsia="黑体" w:cs="黑体"/>
          <w:b w:val="0"/>
          <w:bCs w:val="0"/>
          <w:color w:val="000000"/>
          <w:sz w:val="32"/>
          <w:szCs w:val="32"/>
          <w:lang w:val="en-US" w:eastAsia="zh-CN"/>
        </w:rPr>
      </w:pPr>
      <w:bookmarkStart w:id="0" w:name="_Toc10089"/>
      <w:bookmarkStart w:id="1" w:name="_Toc21539"/>
      <w:r>
        <w:rPr>
          <w:rFonts w:hint="eastAsia" w:ascii="黑体" w:hAnsi="黑体" w:eastAsia="黑体" w:cs="黑体"/>
          <w:b w:val="0"/>
          <w:bCs w:val="0"/>
          <w:color w:val="000000"/>
          <w:sz w:val="32"/>
          <w:szCs w:val="32"/>
          <w:lang w:val="en-US" w:eastAsia="zh-CN"/>
        </w:rPr>
        <w:t>一、发展基础</w:t>
      </w:r>
      <w:bookmarkEnd w:id="0"/>
      <w:bookmarkEnd w:id="1"/>
    </w:p>
    <w:p>
      <w:pPr>
        <w:keepNext w:val="0"/>
        <w:keepLines w:val="0"/>
        <w:pageBreakBefore w:val="0"/>
        <w:numPr>
          <w:ilvl w:val="0"/>
          <w:numId w:val="0"/>
        </w:numPr>
        <w:kinsoku/>
        <w:overflowPunct/>
        <w:topLinePunct w:val="0"/>
        <w:autoSpaceDE/>
        <w:autoSpaceDN/>
        <w:bidi w:val="0"/>
        <w:adjustRightInd/>
        <w:snapToGrid/>
        <w:spacing w:line="580" w:lineRule="exact"/>
        <w:ind w:firstLine="643" w:firstLineChars="200"/>
        <w:textAlignment w:val="auto"/>
        <w:outlineLvl w:val="1"/>
        <w:rPr>
          <w:rFonts w:hint="eastAsia" w:ascii="CESI仿宋-GB2312" w:hAnsi="CESI仿宋-GB2312" w:eastAsia="CESI仿宋-GB2312" w:cs="CESI仿宋-GB2312"/>
          <w:b/>
          <w:bCs/>
          <w:sz w:val="32"/>
          <w:szCs w:val="32"/>
          <w:highlight w:val="none"/>
          <w:lang w:val="en-US" w:eastAsia="zh-CN"/>
        </w:rPr>
      </w:pPr>
      <w:bookmarkStart w:id="2" w:name="_Toc8393"/>
      <w:r>
        <w:rPr>
          <w:rFonts w:hint="eastAsia" w:ascii="CESI仿宋-GB2312" w:hAnsi="CESI仿宋-GB2312" w:eastAsia="CESI仿宋-GB2312" w:cs="CESI仿宋-GB2312"/>
          <w:b/>
          <w:bCs/>
          <w:sz w:val="32"/>
          <w:szCs w:val="32"/>
          <w:highlight w:val="none"/>
          <w:lang w:val="en-US" w:eastAsia="zh-CN"/>
        </w:rPr>
        <w:t>（一）发展现状</w:t>
      </w:r>
      <w:bookmarkEnd w:id="2"/>
    </w:p>
    <w:p>
      <w:pPr>
        <w:keepNext w:val="0"/>
        <w:keepLines w:val="0"/>
        <w:pageBreakBefore w:val="0"/>
        <w:numPr>
          <w:ilvl w:val="0"/>
          <w:numId w:val="0"/>
        </w:numPr>
        <w:kinsoku/>
        <w:overflowPunct/>
        <w:topLinePunct w:val="0"/>
        <w:autoSpaceDE/>
        <w:autoSpaceDN/>
        <w:bidi w:val="0"/>
        <w:adjustRightInd/>
        <w:snapToGrid/>
        <w:spacing w:line="580" w:lineRule="exact"/>
        <w:ind w:firstLine="640" w:firstLineChars="200"/>
        <w:textAlignment w:val="auto"/>
        <w:rPr>
          <w:rFonts w:hint="eastAsia" w:ascii="仿宋" w:hAnsi="仿宋" w:eastAsia="仿宋" w:cs="仿宋"/>
          <w:b/>
          <w:bCs/>
          <w:sz w:val="32"/>
          <w:szCs w:val="32"/>
          <w:highlight w:val="none"/>
          <w:lang w:val="en-US" w:eastAsia="zh-CN"/>
        </w:rPr>
      </w:pPr>
      <w:r>
        <w:rPr>
          <w:rFonts w:hint="eastAsia" w:ascii="Times New Roman" w:hAnsi="Times New Roman" w:eastAsia="仿宋_GB2312" w:cs="Times New Roman"/>
          <w:color w:val="000000"/>
          <w:kern w:val="2"/>
          <w:sz w:val="32"/>
          <w:szCs w:val="32"/>
          <w:lang w:val="en-US" w:eastAsia="zh-CN" w:bidi="ar-SA"/>
        </w:rPr>
        <w:t>“十三五”以来，我省加快完善交通物流基础设施建设，改善产业发展环境，推动“一带一路”国际交通商贸物流中心和“三网三港”核心物流体系建设，物流市场规模快速扩大、物流业发展质量有效提升，对全省经济和社会发展的支撑保障作用显著增强。</w:t>
      </w:r>
    </w:p>
    <w:p>
      <w:pPr>
        <w:keepNext w:val="0"/>
        <w:keepLines w:val="0"/>
        <w:pageBreakBefore w:val="0"/>
        <w:numPr>
          <w:ilvl w:val="0"/>
          <w:numId w:val="0"/>
        </w:numPr>
        <w:kinsoku/>
        <w:overflowPunct/>
        <w:topLinePunct w:val="0"/>
        <w:autoSpaceDE/>
        <w:autoSpaceDN/>
        <w:bidi w:val="0"/>
        <w:adjustRightInd/>
        <w:snapToGrid/>
        <w:spacing w:line="580" w:lineRule="exact"/>
        <w:ind w:firstLine="640" w:firstLineChars="200"/>
        <w:textAlignment w:val="auto"/>
        <w:rPr>
          <w:rFonts w:hint="eastAsia" w:ascii="仿宋_GB2312" w:eastAsia="仿宋_GB2312" w:cs="Times New Roman"/>
          <w:sz w:val="32"/>
          <w:szCs w:val="32"/>
          <w:lang w:val="en-US" w:eastAsia="zh-CN"/>
        </w:rPr>
      </w:pPr>
      <w:r>
        <w:rPr>
          <w:rFonts w:hint="eastAsia" w:ascii="楷体" w:hAnsi="楷体" w:eastAsia="楷体" w:cs="楷体"/>
          <w:b w:val="0"/>
          <w:bCs w:val="0"/>
          <w:sz w:val="32"/>
          <w:szCs w:val="32"/>
          <w:highlight w:val="none"/>
          <w:lang w:val="en-US" w:eastAsia="zh-CN"/>
        </w:rPr>
        <w:t>产业规模持续扩大。</w:t>
      </w:r>
      <w:r>
        <w:rPr>
          <w:rFonts w:hint="eastAsia" w:ascii="仿宋_GB2312" w:eastAsia="仿宋_GB2312" w:cs="Times New Roman"/>
          <w:sz w:val="32"/>
          <w:szCs w:val="32"/>
          <w:lang w:val="zh-CN" w:eastAsia="zh-CN"/>
        </w:rPr>
        <w:t>“十三五”期间，</w:t>
      </w:r>
      <w:r>
        <w:rPr>
          <w:rFonts w:hint="eastAsia" w:ascii="仿宋_GB2312" w:eastAsia="仿宋_GB2312" w:cs="Times New Roman"/>
          <w:sz w:val="32"/>
          <w:szCs w:val="32"/>
          <w:lang w:val="en-US" w:eastAsia="zh-CN"/>
        </w:rPr>
        <w:t>全省社会物流总额持续扩大，除2020年外，年均增长10.3%，达到5.5万亿元；物流总费用从3101亿元增至3914.5亿元（2019年）；社会物流总费用与全省GDP的比率由16.2%降至15.17%，2020年进一步降至12.9%，物流运行效率持续改善。</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80" w:lineRule="exact"/>
        <w:ind w:right="0" w:rightChars="0" w:firstLine="640" w:firstLineChars="200"/>
        <w:jc w:val="both"/>
        <w:textAlignment w:val="auto"/>
        <w:rPr>
          <w:rFonts w:hint="default" w:ascii="仿宋_GB2312" w:hAnsi="仿宋_GB2312" w:eastAsia="仿宋_GB2312" w:cs="仿宋_GB2312"/>
          <w:sz w:val="32"/>
          <w:lang w:val="en-US" w:eastAsia="zh-CN"/>
        </w:rPr>
      </w:pPr>
      <w:r>
        <w:rPr>
          <w:rFonts w:hint="eastAsia" w:ascii="楷体" w:hAnsi="楷体" w:eastAsia="楷体" w:cs="楷体"/>
          <w:b w:val="0"/>
          <w:bCs w:val="0"/>
          <w:sz w:val="32"/>
          <w:szCs w:val="32"/>
          <w:highlight w:val="none"/>
          <w:lang w:val="en-US" w:eastAsia="zh-CN"/>
        </w:rPr>
        <w:t>互联互通能力逐步提升。</w:t>
      </w:r>
      <w:r>
        <w:rPr>
          <w:rFonts w:hint="eastAsia" w:ascii="仿宋_GB2312" w:eastAsia="仿宋_GB2312" w:cs="Times New Roman"/>
          <w:sz w:val="32"/>
          <w:szCs w:val="32"/>
          <w:lang w:val="en-US" w:eastAsia="zh-CN"/>
        </w:rPr>
        <w:t>交通基础设施支撑物流发展能力显著提升，全省高速公路通车总里程达到6171公里，实现“县县通高速”,2020年全省累计完成公路货运量11.6亿吨；铁路营业里程达到6030公里，“米”字型高铁骨架网加快完善。</w:t>
      </w:r>
      <w:r>
        <w:rPr>
          <w:rFonts w:hint="eastAsia" w:ascii="仿宋_GB2312" w:eastAsia="仿宋_GB2312" w:cs="Times New Roman"/>
          <w:sz w:val="32"/>
          <w:szCs w:val="32"/>
          <w:lang w:val="zh-CN" w:eastAsia="zh-CN"/>
        </w:rPr>
        <w:t>中铁</w:t>
      </w:r>
      <w:r>
        <w:rPr>
          <w:rFonts w:hint="eastAsia" w:ascii="仿宋_GB2312" w:hAnsi="仿宋_GB2312" w:eastAsia="仿宋_GB2312" w:cs="仿宋_GB2312"/>
          <w:sz w:val="32"/>
          <w:lang w:val="en-US" w:eastAsia="zh-CN"/>
        </w:rPr>
        <w:t>西安局集团公司货运量</w:t>
      </w:r>
      <w:r>
        <w:rPr>
          <w:rFonts w:hint="default" w:ascii="仿宋_GB2312" w:hAnsi="仿宋_GB2312" w:eastAsia="仿宋_GB2312" w:cs="仿宋_GB2312"/>
          <w:sz w:val="32"/>
          <w:lang w:val="en-US" w:eastAsia="zh-CN"/>
        </w:rPr>
        <w:t>从20</w:t>
      </w:r>
      <w:r>
        <w:rPr>
          <w:rFonts w:hint="eastAsia" w:ascii="仿宋_GB2312" w:hAnsi="仿宋_GB2312" w:eastAsia="仿宋_GB2312" w:cs="仿宋_GB2312"/>
          <w:sz w:val="32"/>
          <w:lang w:val="en-US" w:eastAsia="zh-CN"/>
        </w:rPr>
        <w:t>16</w:t>
      </w:r>
      <w:r>
        <w:rPr>
          <w:rFonts w:hint="default" w:ascii="仿宋_GB2312" w:hAnsi="仿宋_GB2312" w:eastAsia="仿宋_GB2312" w:cs="仿宋_GB2312"/>
          <w:sz w:val="32"/>
          <w:lang w:val="en-US" w:eastAsia="zh-CN"/>
        </w:rPr>
        <w:t>年的</w:t>
      </w:r>
      <w:r>
        <w:rPr>
          <w:rFonts w:hint="eastAsia" w:ascii="仿宋_GB2312" w:hAnsi="仿宋_GB2312" w:eastAsia="仿宋_GB2312" w:cs="仿宋_GB2312"/>
          <w:sz w:val="32"/>
          <w:lang w:val="en-US" w:eastAsia="zh-CN"/>
        </w:rPr>
        <w:t>1.22</w:t>
      </w:r>
      <w:r>
        <w:rPr>
          <w:rFonts w:hint="default" w:ascii="仿宋_GB2312" w:hAnsi="仿宋_GB2312" w:eastAsia="仿宋_GB2312" w:cs="仿宋_GB2312"/>
          <w:sz w:val="32"/>
          <w:lang w:val="en-US" w:eastAsia="zh-CN"/>
        </w:rPr>
        <w:t>亿吨提高到20</w:t>
      </w:r>
      <w:r>
        <w:rPr>
          <w:rFonts w:hint="eastAsia" w:ascii="仿宋_GB2312" w:hAnsi="仿宋_GB2312" w:eastAsia="仿宋_GB2312" w:cs="仿宋_GB2312"/>
          <w:sz w:val="32"/>
          <w:lang w:val="en-US" w:eastAsia="zh-CN"/>
        </w:rPr>
        <w:t>20</w:t>
      </w:r>
      <w:r>
        <w:rPr>
          <w:rFonts w:hint="default" w:ascii="仿宋_GB2312" w:hAnsi="仿宋_GB2312" w:eastAsia="仿宋_GB2312" w:cs="仿宋_GB2312"/>
          <w:sz w:val="32"/>
          <w:lang w:val="en-US" w:eastAsia="zh-CN"/>
        </w:rPr>
        <w:t>年的</w:t>
      </w:r>
      <w:r>
        <w:rPr>
          <w:rFonts w:hint="eastAsia" w:ascii="仿宋_GB2312" w:hAnsi="仿宋_GB2312" w:eastAsia="仿宋_GB2312" w:cs="仿宋_GB2312"/>
          <w:sz w:val="32"/>
          <w:lang w:val="en-US" w:eastAsia="zh-CN"/>
        </w:rPr>
        <w:t>2.22</w:t>
      </w:r>
      <w:r>
        <w:rPr>
          <w:rFonts w:hint="default" w:ascii="仿宋_GB2312" w:hAnsi="仿宋_GB2312" w:eastAsia="仿宋_GB2312" w:cs="仿宋_GB2312"/>
          <w:sz w:val="32"/>
          <w:lang w:val="en-US" w:eastAsia="zh-CN"/>
        </w:rPr>
        <w:t>亿吨</w:t>
      </w:r>
      <w:r>
        <w:rPr>
          <w:rFonts w:hint="eastAsia" w:ascii="仿宋_GB2312" w:hAnsi="仿宋_GB2312" w:eastAsia="仿宋_GB2312" w:cs="仿宋_GB2312"/>
          <w:sz w:val="32"/>
          <w:lang w:val="en-US" w:eastAsia="zh-CN"/>
        </w:rPr>
        <w:t>,</w:t>
      </w:r>
      <w:r>
        <w:rPr>
          <w:rFonts w:hint="default" w:ascii="仿宋_GB2312" w:hAnsi="仿宋_GB2312" w:eastAsia="仿宋_GB2312" w:cs="仿宋_GB2312"/>
          <w:sz w:val="32"/>
          <w:lang w:val="en-US" w:eastAsia="zh-CN"/>
        </w:rPr>
        <w:t>年均</w:t>
      </w:r>
      <w:r>
        <w:rPr>
          <w:rFonts w:hint="eastAsia" w:ascii="仿宋_GB2312" w:hAnsi="仿宋_GB2312" w:eastAsia="仿宋_GB2312" w:cs="仿宋_GB2312"/>
          <w:sz w:val="32"/>
          <w:lang w:val="en-US" w:eastAsia="zh-CN"/>
        </w:rPr>
        <w:t>增长12.8</w:t>
      </w:r>
      <w:r>
        <w:rPr>
          <w:rFonts w:hint="default" w:ascii="仿宋_GB2312" w:hAnsi="仿宋_GB2312" w:eastAsia="仿宋_GB2312" w:cs="仿宋_GB2312"/>
          <w:sz w:val="32"/>
          <w:lang w:val="en-US" w:eastAsia="zh-CN"/>
        </w:rPr>
        <w:t>%。</w:t>
      </w:r>
      <w:r>
        <w:rPr>
          <w:rFonts w:hint="eastAsia" w:ascii="仿宋_GB2312" w:eastAsia="仿宋_GB2312" w:cs="Times New Roman"/>
          <w:sz w:val="32"/>
          <w:szCs w:val="32"/>
          <w:lang w:val="zh-CN" w:eastAsia="zh-CN"/>
        </w:rPr>
        <w:t>中欧班列长安号常态化运行</w:t>
      </w:r>
      <w:r>
        <w:rPr>
          <w:rFonts w:hint="eastAsia" w:ascii="Times New Roman" w:hAnsi="Times New Roman" w:eastAsia="仿宋_GB2312" w:cs="Times New Roman"/>
          <w:color w:val="000000"/>
          <w:sz w:val="32"/>
          <w:szCs w:val="32"/>
          <w:lang w:val="zh-CN" w:eastAsia="zh-CN"/>
        </w:rPr>
        <w:t>干线通道15条</w:t>
      </w:r>
      <w:r>
        <w:rPr>
          <w:rFonts w:hint="eastAsia" w:ascii="仿宋_GB2312" w:eastAsia="仿宋_GB2312" w:cs="Times New Roman"/>
          <w:sz w:val="32"/>
          <w:szCs w:val="32"/>
          <w:lang w:val="zh-CN" w:eastAsia="zh-CN"/>
        </w:rPr>
        <w:t>，覆盖亚欧大陆全境。全省航空货邮吞吐量增长</w:t>
      </w:r>
      <w:r>
        <w:rPr>
          <w:rFonts w:hint="eastAsia" w:ascii="仿宋_GB2312" w:eastAsia="仿宋_GB2312" w:cs="Times New Roman"/>
          <w:sz w:val="32"/>
          <w:szCs w:val="32"/>
          <w:lang w:val="en-US" w:eastAsia="zh-CN"/>
        </w:rPr>
        <w:t>69%，</w:t>
      </w:r>
      <w:r>
        <w:rPr>
          <w:rFonts w:hint="eastAsia" w:ascii="仿宋_GB2312" w:eastAsia="仿宋_GB2312" w:cs="Times New Roman"/>
          <w:sz w:val="32"/>
          <w:szCs w:val="32"/>
          <w:lang w:val="zh-CN" w:eastAsia="zh-CN"/>
        </w:rPr>
        <w:t>西安咸阳机场全货运航线由5条增至33条，货邮吞吐量</w:t>
      </w:r>
      <w:r>
        <w:rPr>
          <w:rFonts w:hint="eastAsia" w:ascii="仿宋_GB2312" w:eastAsia="仿宋_GB2312" w:cs="Times New Roman"/>
          <w:sz w:val="32"/>
          <w:szCs w:val="32"/>
          <w:lang w:val="en-US" w:eastAsia="zh-CN"/>
        </w:rPr>
        <w:t>进入</w:t>
      </w:r>
      <w:r>
        <w:rPr>
          <w:rFonts w:hint="eastAsia" w:ascii="仿宋_GB2312" w:eastAsia="仿宋_GB2312" w:cs="Times New Roman"/>
          <w:sz w:val="32"/>
          <w:szCs w:val="32"/>
          <w:lang w:val="zh-CN" w:eastAsia="zh-CN"/>
        </w:rPr>
        <w:t>全国机场前十。</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36"/>
        <w:jc w:val="both"/>
        <w:textAlignment w:val="auto"/>
        <w:rPr>
          <w:rFonts w:hint="eastAsia" w:ascii="仿宋_GB2312" w:eastAsia="仿宋_GB2312"/>
          <w:sz w:val="32"/>
          <w:szCs w:val="32"/>
          <w:lang w:eastAsia="zh-CN"/>
        </w:rPr>
      </w:pPr>
      <w:r>
        <w:rPr>
          <w:rFonts w:hint="eastAsia" w:ascii="楷体" w:hAnsi="楷体" w:eastAsia="楷体" w:cs="楷体"/>
          <w:b w:val="0"/>
          <w:bCs w:val="0"/>
          <w:sz w:val="32"/>
          <w:szCs w:val="32"/>
          <w:highlight w:val="none"/>
          <w:lang w:val="en-US" w:eastAsia="zh-CN"/>
        </w:rPr>
        <w:t>平台载体功能日趋完善。</w:t>
      </w:r>
      <w:r>
        <w:rPr>
          <w:rFonts w:hint="eastAsia" w:ascii="仿宋_GB2312" w:hAnsi="仿宋_GB2312" w:eastAsia="仿宋_GB2312" w:cs="仿宋_GB2312"/>
          <w:sz w:val="32"/>
          <w:lang w:val="en-US" w:eastAsia="zh-CN"/>
        </w:rPr>
        <w:t>西安被确定为国际性综合交通枢纽城市、国际航空货运枢纽、全球性国际邮政快递枢纽，延安获批陆港型国家物流枢纽，宝鸡列入国家骨干冷链物流基地。西咸新区空港获批建设临空经济示范区，西安陆港列入中欧班列集结中心示范工程和多式联运全国示范工程。西安阎良航空基地、宝鸡、陕西西咸空港、陕西杨凌等4个综合保税区先后获批建设，全省综合保税区增至7个，开放发展平台密集。</w:t>
      </w:r>
      <w:r>
        <w:rPr>
          <w:rFonts w:hint="eastAsia" w:ascii="仿宋_GB2312" w:hAnsi="仿宋_GB2312" w:eastAsia="仿宋_GB2312"/>
          <w:sz w:val="32"/>
          <w:lang w:val="en-US" w:eastAsia="zh-CN"/>
        </w:rPr>
        <w:t>西安咸阳机场三期、</w:t>
      </w:r>
      <w:r>
        <w:rPr>
          <w:rFonts w:ascii="仿宋_GB2312" w:eastAsia="仿宋_GB2312"/>
          <w:sz w:val="32"/>
          <w:szCs w:val="32"/>
        </w:rPr>
        <w:t>西安新筑铁路物流中心</w:t>
      </w:r>
      <w:r>
        <w:rPr>
          <w:rFonts w:hint="eastAsia" w:ascii="仿宋_GB2312" w:eastAsia="仿宋_GB2312"/>
          <w:sz w:val="32"/>
          <w:szCs w:val="32"/>
        </w:rPr>
        <w:t>、</w:t>
      </w:r>
      <w:r>
        <w:rPr>
          <w:rFonts w:hint="eastAsia" w:ascii="仿宋_GB2312" w:eastAsia="仿宋_GB2312"/>
          <w:sz w:val="32"/>
          <w:szCs w:val="32"/>
          <w:lang w:eastAsia="zh-CN"/>
        </w:rPr>
        <w:t>榆林象道现代物流园等物流领域重点项目顺利推进。</w:t>
      </w:r>
    </w:p>
    <w:p>
      <w:pPr>
        <w:keepNext w:val="0"/>
        <w:keepLines w:val="0"/>
        <w:pageBreakBefore w:val="0"/>
        <w:widowControl w:val="0"/>
        <w:kinsoku/>
        <w:wordWrap/>
        <w:overflowPunct/>
        <w:topLinePunct w:val="0"/>
        <w:autoSpaceDE/>
        <w:autoSpaceDN/>
        <w:bidi w:val="0"/>
        <w:adjustRightInd/>
        <w:snapToGrid/>
        <w:spacing w:before="0" w:beforeLines="0" w:after="0" w:afterLines="0" w:line="580" w:lineRule="exact"/>
        <w:ind w:left="0" w:leftChars="0" w:right="0" w:rightChars="0" w:firstLine="636"/>
        <w:jc w:val="both"/>
        <w:textAlignment w:val="auto"/>
        <w:rPr>
          <w:rFonts w:hint="eastAsia" w:ascii="仿宋_GB2312" w:hAnsi="仿宋_GB2312" w:eastAsia="仿宋_GB2312" w:cs="仿宋_GB2312"/>
          <w:sz w:val="32"/>
          <w:lang w:val="en-US" w:eastAsia="zh-CN"/>
        </w:rPr>
      </w:pPr>
      <w:r>
        <w:rPr>
          <w:rFonts w:hint="eastAsia" w:ascii="楷体" w:hAnsi="楷体" w:eastAsia="楷体" w:cs="楷体"/>
          <w:b w:val="0"/>
          <w:bCs w:val="0"/>
          <w:sz w:val="32"/>
          <w:szCs w:val="32"/>
          <w:highlight w:val="none"/>
          <w:lang w:val="en-US" w:eastAsia="zh-CN"/>
        </w:rPr>
        <w:t>物流市场主体快速成长。</w:t>
      </w:r>
      <w:r>
        <w:rPr>
          <w:rFonts w:hint="eastAsia" w:ascii="仿宋_GB2312" w:hAnsi="仿宋_GB2312" w:eastAsia="仿宋_GB2312" w:cs="仿宋_GB2312"/>
          <w:sz w:val="32"/>
          <w:szCs w:val="32"/>
          <w:lang w:val="en-US" w:eastAsia="zh-CN"/>
        </w:rPr>
        <w:t>全省从事交通运输、仓储和邮政业法人单位1.34万个，年营业收入过1000万元的企业近800家。创建国家A级物流企业</w:t>
      </w:r>
      <w:r>
        <w:rPr>
          <w:rFonts w:hint="eastAsia" w:ascii="仿宋_GB2312" w:hAnsi="仿宋_GB2312" w:eastAsia="仿宋_GB2312" w:cs="仿宋_GB2312"/>
          <w:sz w:val="32"/>
          <w:lang w:val="en-US" w:eastAsia="zh-CN"/>
        </w:rPr>
        <w:t>共174家，其</w:t>
      </w:r>
      <w:r>
        <w:rPr>
          <w:rFonts w:hint="eastAsia" w:ascii="仿宋_GB2312" w:hAnsi="仿宋_GB2312" w:eastAsia="仿宋_GB2312" w:cs="仿宋_GB2312"/>
          <w:sz w:val="32"/>
          <w:szCs w:val="32"/>
          <w:lang w:val="en-US" w:eastAsia="zh-CN"/>
        </w:rPr>
        <w:t>中3A级物流企业98家、4A级物流企业45家、5A级物流企业11家</w:t>
      </w:r>
      <w:r>
        <w:rPr>
          <w:rFonts w:hint="eastAsia" w:ascii="仿宋_GB2312" w:hAnsi="仿宋_GB2312" w:eastAsia="仿宋_GB2312" w:cs="仿宋_GB2312"/>
          <w:sz w:val="32"/>
          <w:lang w:val="en-US" w:eastAsia="zh-CN"/>
        </w:rPr>
        <w:t>。中外运、中远海运、京东集团、菜鸟网络等大型物流企业与陕西深化合作；顺丰速递、传化智联等在陕设立区域总部；省物流集团增资重组，延长石油、陕煤化工、西部机场集团等大型国企设立专业物流公司；和硕、货达、陆运帮等网络货运平台企业快速发展。</w:t>
      </w:r>
    </w:p>
    <w:p>
      <w:pPr>
        <w:keepNext w:val="0"/>
        <w:keepLines w:val="0"/>
        <w:pageBreakBefore w:val="0"/>
        <w:kinsoku/>
        <w:topLinePunct w:val="0"/>
        <w:autoSpaceDE/>
        <w:autoSpaceDN/>
        <w:bidi w:val="0"/>
        <w:spacing w:line="572" w:lineRule="exact"/>
        <w:ind w:left="0" w:leftChars="0" w:firstLine="640" w:firstLineChars="200"/>
        <w:textAlignment w:val="auto"/>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总体来看，“十三五”期间全省物流发展取得了显著成效，但仍存在一些短板问题：一是集疏运体系、物流服务网络不健全，多式联运衔接配套不畅，物流枢纽、园区协同和转换效率有待提高，降本增效仍需深化；二是低水平服务供给过剩，中高端供给不足，缺乏具有全国影响力的物流领军企业和服务品牌，物流服务质量仍需提升；三是物流数字化、绿色化、标准化程度不高，自动化装备应用程度较低，供应链管理、物流金融等专业领域发展不足，物流对经济社会的支撑能力仍需加强；四</w:t>
      </w:r>
      <w:r>
        <w:rPr>
          <w:rFonts w:hint="eastAsia" w:ascii="Times New Roman" w:hAnsi="Times New Roman" w:eastAsia="仿宋_GB2312"/>
          <w:color w:val="000000"/>
          <w:sz w:val="32"/>
          <w:szCs w:val="32"/>
        </w:rPr>
        <w:t>是物流从业人员专业化水平有待提高</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lang w:val="en-US" w:eastAsia="zh-CN"/>
        </w:rPr>
        <w:t>国际物流、航空物流、冷链物流、供应链管理等新兴业态专业</w:t>
      </w:r>
      <w:r>
        <w:rPr>
          <w:rFonts w:hint="eastAsia" w:ascii="Times New Roman" w:hAnsi="Times New Roman" w:eastAsia="仿宋_GB2312"/>
          <w:color w:val="000000"/>
          <w:sz w:val="32"/>
          <w:szCs w:val="32"/>
        </w:rPr>
        <w:t>人才缺乏。</w:t>
      </w:r>
    </w:p>
    <w:p>
      <w:pPr>
        <w:keepNext w:val="0"/>
        <w:keepLines w:val="0"/>
        <w:pageBreakBefore w:val="0"/>
        <w:numPr>
          <w:ilvl w:val="0"/>
          <w:numId w:val="0"/>
        </w:numPr>
        <w:kinsoku/>
        <w:overflowPunct/>
        <w:topLinePunct w:val="0"/>
        <w:autoSpaceDE/>
        <w:autoSpaceDN/>
        <w:bidi w:val="0"/>
        <w:adjustRightInd/>
        <w:snapToGrid/>
        <w:spacing w:line="580" w:lineRule="exact"/>
        <w:ind w:firstLine="643" w:firstLineChars="200"/>
        <w:textAlignment w:val="auto"/>
        <w:outlineLvl w:val="1"/>
        <w:rPr>
          <w:rFonts w:hint="eastAsia" w:ascii="CESI仿宋-GB2312" w:hAnsi="CESI仿宋-GB2312" w:eastAsia="CESI仿宋-GB2312" w:cs="CESI仿宋-GB2312"/>
          <w:sz w:val="32"/>
          <w:szCs w:val="32"/>
          <w:lang w:val="en-US" w:eastAsia="zh-CN"/>
        </w:rPr>
      </w:pPr>
      <w:bookmarkStart w:id="3" w:name="_Toc3414"/>
      <w:r>
        <w:rPr>
          <w:rFonts w:hint="eastAsia" w:ascii="CESI仿宋-GB2312" w:hAnsi="CESI仿宋-GB2312" w:eastAsia="CESI仿宋-GB2312" w:cs="CESI仿宋-GB2312"/>
          <w:b/>
          <w:bCs/>
          <w:sz w:val="32"/>
          <w:szCs w:val="32"/>
          <w:highlight w:val="none"/>
          <w:lang w:val="en-US" w:eastAsia="zh-CN"/>
        </w:rPr>
        <w:t>（二）面临形势</w:t>
      </w:r>
      <w:bookmarkEnd w:id="3"/>
    </w:p>
    <w:p>
      <w:pPr>
        <w:keepNext w:val="0"/>
        <w:keepLines w:val="0"/>
        <w:pageBreakBefore w:val="0"/>
        <w:kinsoku/>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color w:val="000000"/>
          <w:sz w:val="32"/>
          <w:szCs w:val="32"/>
          <w:lang w:val="en-US" w:eastAsia="zh-CN"/>
        </w:rPr>
      </w:pPr>
      <w:r>
        <w:rPr>
          <w:rFonts w:hint="eastAsia" w:ascii="楷体" w:hAnsi="楷体" w:eastAsia="楷体" w:cs="楷体"/>
          <w:b w:val="0"/>
          <w:bCs w:val="0"/>
          <w:sz w:val="32"/>
          <w:szCs w:val="32"/>
          <w:highlight w:val="none"/>
          <w:lang w:val="en-US" w:eastAsia="zh-CN"/>
        </w:rPr>
        <w:t>新发展阶段，带来升级发展新机遇。</w:t>
      </w:r>
      <w:r>
        <w:rPr>
          <w:rFonts w:hint="eastAsia" w:ascii="仿宋_GB2312" w:hAnsi="仿宋_GB2312" w:eastAsia="仿宋_GB2312" w:cs="仿宋_GB2312"/>
          <w:color w:val="000000"/>
          <w:sz w:val="32"/>
          <w:szCs w:val="32"/>
          <w:lang w:val="en-US" w:eastAsia="zh-CN"/>
        </w:rPr>
        <w:t>国际经贸合作格局将加速调整、全球供应链体系面临重构，我国处在转变发展方式、优化经济结构、转换增长动力的关键时期，陕西正从工业化中期向后期跨越。新发展阶段，建设现代产业体系和培育强大国内市场为陕西物流升级发展带来新的机遇。</w:t>
      </w:r>
    </w:p>
    <w:p>
      <w:pPr>
        <w:keepNext w:val="0"/>
        <w:keepLines w:val="0"/>
        <w:pageBreakBefore w:val="0"/>
        <w:kinsoku/>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highlight w:val="none"/>
          <w:lang w:val="en-US" w:eastAsia="zh-CN"/>
        </w:rPr>
        <w:t>新发展理念，提出降本增效新要求。</w:t>
      </w:r>
      <w:r>
        <w:rPr>
          <w:rFonts w:hint="eastAsia" w:ascii="仿宋_GB2312" w:hAnsi="仿宋_GB2312" w:eastAsia="仿宋_GB2312" w:cs="仿宋_GB2312"/>
          <w:color w:val="000000"/>
          <w:sz w:val="32"/>
          <w:szCs w:val="32"/>
          <w:lang w:val="en-US" w:eastAsia="zh-CN"/>
        </w:rPr>
        <w:t>新发展理念深入人心，要求物流行业加快转变发展方式、转换动能，锻长板、补短板，把创新作为推动现代物流高质量发展的第一动力，</w:t>
      </w:r>
      <w:r>
        <w:rPr>
          <w:rFonts w:hint="eastAsia" w:ascii="仿宋_GB2312" w:hAnsi="仿宋_GB2312" w:eastAsia="仿宋_GB2312" w:cs="仿宋_GB2312"/>
          <w:color w:val="000000"/>
          <w:sz w:val="32"/>
          <w:szCs w:val="32"/>
        </w:rPr>
        <w:t>深入推进物流业与生产制造</w:t>
      </w:r>
      <w:r>
        <w:rPr>
          <w:rFonts w:hint="eastAsia" w:ascii="仿宋_GB2312" w:hAnsi="仿宋_GB2312" w:eastAsia="仿宋_GB2312" w:cs="仿宋_GB2312"/>
          <w:color w:val="000000"/>
          <w:sz w:val="32"/>
          <w:szCs w:val="32"/>
          <w:lang w:val="en-US" w:eastAsia="zh-CN"/>
        </w:rPr>
        <w:t>和商贸流通等产业</w:t>
      </w:r>
      <w:r>
        <w:rPr>
          <w:rFonts w:hint="eastAsia" w:ascii="仿宋_GB2312" w:hAnsi="仿宋_GB2312" w:eastAsia="仿宋_GB2312" w:cs="仿宋_GB2312"/>
          <w:color w:val="000000"/>
          <w:sz w:val="32"/>
          <w:szCs w:val="32"/>
        </w:rPr>
        <w:t>的融合发展，</w:t>
      </w:r>
      <w:r>
        <w:rPr>
          <w:rFonts w:hint="eastAsia" w:ascii="仿宋_GB2312" w:hAnsi="仿宋_GB2312" w:eastAsia="仿宋_GB2312" w:cs="仿宋_GB2312"/>
          <w:color w:val="000000"/>
          <w:sz w:val="32"/>
          <w:szCs w:val="32"/>
          <w:lang w:eastAsia="zh-CN"/>
        </w:rPr>
        <w:t>提升物流资源集聚水平和行业集中度，</w:t>
      </w:r>
      <w:r>
        <w:rPr>
          <w:rFonts w:hint="eastAsia" w:ascii="仿宋_GB2312" w:hAnsi="仿宋_GB2312" w:eastAsia="仿宋_GB2312" w:cs="仿宋_GB2312"/>
          <w:color w:val="000000"/>
          <w:sz w:val="32"/>
          <w:szCs w:val="32"/>
          <w:lang w:val="en-US" w:eastAsia="zh-CN"/>
        </w:rPr>
        <w:t>提高物流运作效率和服务质量</w:t>
      </w:r>
      <w:r>
        <w:rPr>
          <w:rFonts w:hint="eastAsia" w:ascii="仿宋_GB2312" w:hAnsi="仿宋_GB2312" w:eastAsia="仿宋_GB2312" w:cs="仿宋_GB2312"/>
          <w:color w:val="000000"/>
          <w:sz w:val="32"/>
          <w:szCs w:val="32"/>
          <w:lang w:eastAsia="zh-CN"/>
        </w:rPr>
        <w:t>，实现质量变革、效率变革、动力变革</w:t>
      </w:r>
      <w:r>
        <w:rPr>
          <w:rFonts w:hint="eastAsia" w:ascii="仿宋_GB2312" w:hAnsi="仿宋_GB2312" w:eastAsia="仿宋_GB2312" w:cs="仿宋_GB2312"/>
          <w:color w:val="000000"/>
          <w:sz w:val="32"/>
          <w:szCs w:val="32"/>
        </w:rPr>
        <w:t>。</w:t>
      </w:r>
    </w:p>
    <w:p>
      <w:pPr>
        <w:keepNext w:val="0"/>
        <w:keepLines w:val="0"/>
        <w:pageBreakBefore w:val="0"/>
        <w:kinsoku/>
        <w:overflowPunct/>
        <w:topLinePunct w:val="0"/>
        <w:autoSpaceDE/>
        <w:autoSpaceDN/>
        <w:bidi w:val="0"/>
        <w:adjustRightInd/>
        <w:snapToGrid/>
        <w:spacing w:line="580" w:lineRule="exact"/>
        <w:ind w:left="0" w:leftChars="0" w:firstLine="640" w:firstLineChars="200"/>
        <w:textAlignment w:val="auto"/>
        <w:rPr>
          <w:rFonts w:hint="eastAsia" w:ascii="仿宋_GB2312" w:hAnsi="仿宋_GB2312" w:eastAsia="仿宋_GB2312" w:cs="仿宋_GB2312"/>
          <w:b/>
          <w:bCs/>
          <w:sz w:val="32"/>
          <w:szCs w:val="32"/>
          <w:lang w:val="en-US" w:eastAsia="zh-CN"/>
        </w:rPr>
      </w:pPr>
      <w:r>
        <w:rPr>
          <w:rFonts w:hint="eastAsia" w:ascii="楷体" w:hAnsi="楷体" w:eastAsia="楷体" w:cs="楷体"/>
          <w:b w:val="0"/>
          <w:bCs w:val="0"/>
          <w:sz w:val="32"/>
          <w:szCs w:val="32"/>
          <w:highlight w:val="none"/>
          <w:lang w:val="en-US" w:eastAsia="zh-CN"/>
        </w:rPr>
        <w:t>新发展格局，拓展现代物流新空间。</w:t>
      </w:r>
      <w:r>
        <w:rPr>
          <w:rFonts w:hint="eastAsia" w:ascii="仿宋_GB2312" w:hAnsi="仿宋_GB2312" w:eastAsia="仿宋_GB2312" w:cs="仿宋_GB2312"/>
          <w:color w:val="000000"/>
          <w:sz w:val="32"/>
          <w:szCs w:val="32"/>
          <w:lang w:val="en-US" w:eastAsia="zh-CN"/>
        </w:rPr>
        <w:t>我国已转向高质量发展阶段，强大国内市场正在形成，以国内大循环为主体、国内国际双循环相互促进的新发展格局正在加速构建，推动我国产业布局、流通方向、居民消费空间重构。陕</w:t>
      </w:r>
      <w:r>
        <w:rPr>
          <w:rFonts w:hint="eastAsia" w:ascii="仿宋_GB2312" w:hAnsi="仿宋_GB2312" w:eastAsia="仿宋_GB2312" w:cs="仿宋_GB2312"/>
          <w:color w:val="000000"/>
          <w:sz w:val="32"/>
          <w:szCs w:val="32"/>
          <w:lang w:eastAsia="zh-CN"/>
        </w:rPr>
        <w:t>西</w:t>
      </w:r>
      <w:r>
        <w:rPr>
          <w:rFonts w:hint="eastAsia" w:ascii="仿宋_GB2312" w:hAnsi="仿宋_GB2312" w:eastAsia="仿宋_GB2312" w:cs="仿宋_GB2312"/>
          <w:color w:val="000000"/>
          <w:sz w:val="32"/>
          <w:szCs w:val="32"/>
        </w:rPr>
        <w:t>连接东西、辐射全国</w:t>
      </w:r>
      <w:r>
        <w:rPr>
          <w:rFonts w:hint="eastAsia" w:ascii="仿宋_GB2312" w:hAnsi="仿宋_GB2312" w:eastAsia="仿宋_GB2312" w:cs="仿宋_GB2312"/>
          <w:color w:val="000000"/>
          <w:sz w:val="32"/>
          <w:szCs w:val="32"/>
          <w:lang w:eastAsia="zh-CN"/>
        </w:rPr>
        <w:t>、扼守亚欧大陆桥的枢纽价值进一步凸显，</w:t>
      </w:r>
      <w:r>
        <w:rPr>
          <w:rFonts w:hint="eastAsia" w:ascii="仿宋_GB2312" w:hAnsi="仿宋_GB2312" w:eastAsia="仿宋_GB2312" w:cs="仿宋_GB2312"/>
          <w:color w:val="000000"/>
          <w:sz w:val="32"/>
          <w:szCs w:val="32"/>
        </w:rPr>
        <w:t>为</w:t>
      </w:r>
      <w:r>
        <w:rPr>
          <w:rFonts w:hint="eastAsia" w:ascii="仿宋_GB2312" w:hAnsi="仿宋_GB2312" w:eastAsia="仿宋_GB2312" w:cs="仿宋_GB2312"/>
          <w:color w:val="000000"/>
          <w:sz w:val="32"/>
          <w:szCs w:val="32"/>
          <w:lang w:eastAsia="zh-CN"/>
        </w:rPr>
        <w:t>构建亚欧间贸易通道、融入国际物流体系、</w:t>
      </w:r>
      <w:r>
        <w:rPr>
          <w:rFonts w:hint="eastAsia" w:ascii="仿宋_GB2312" w:hAnsi="仿宋_GB2312" w:eastAsia="仿宋_GB2312" w:cs="仿宋_GB2312"/>
          <w:color w:val="000000"/>
          <w:sz w:val="32"/>
          <w:szCs w:val="32"/>
        </w:rPr>
        <w:t>拓展国内国际两个市场</w:t>
      </w:r>
      <w:r>
        <w:rPr>
          <w:rFonts w:hint="eastAsia" w:ascii="仿宋_GB2312" w:hAnsi="仿宋_GB2312" w:eastAsia="仿宋_GB2312" w:cs="仿宋_GB2312"/>
          <w:color w:val="000000"/>
          <w:sz w:val="32"/>
          <w:szCs w:val="32"/>
          <w:lang w:eastAsia="zh-CN"/>
        </w:rPr>
        <w:t>开辟了新的发展空间</w:t>
      </w:r>
      <w:r>
        <w:rPr>
          <w:rFonts w:hint="eastAsia" w:ascii="仿宋_GB2312" w:hAnsi="仿宋_GB2312" w:eastAsia="仿宋_GB2312" w:cs="仿宋_GB2312"/>
          <w:color w:val="000000"/>
          <w:sz w:val="32"/>
          <w:szCs w:val="32"/>
        </w:rPr>
        <w:t>。</w:t>
      </w:r>
    </w:p>
    <w:p>
      <w:pPr>
        <w:keepNext w:val="0"/>
        <w:keepLines w:val="0"/>
        <w:pageBreakBefore w:val="0"/>
        <w:numPr>
          <w:ilvl w:val="0"/>
          <w:numId w:val="0"/>
        </w:numPr>
        <w:kinsoku/>
        <w:overflowPunct/>
        <w:topLinePunct w:val="0"/>
        <w:autoSpaceDE/>
        <w:autoSpaceDN/>
        <w:bidi w:val="0"/>
        <w:adjustRightInd/>
        <w:snapToGrid/>
        <w:spacing w:line="580" w:lineRule="exact"/>
        <w:ind w:firstLine="640" w:firstLineChars="200"/>
        <w:textAlignment w:val="auto"/>
        <w:rPr>
          <w:rFonts w:hint="eastAsia"/>
          <w:lang w:val="en-US" w:eastAsia="zh-CN"/>
        </w:rPr>
      </w:pPr>
      <w:r>
        <w:rPr>
          <w:rFonts w:hint="eastAsia" w:ascii="楷体" w:hAnsi="楷体" w:eastAsia="楷体" w:cs="楷体"/>
          <w:b w:val="0"/>
          <w:bCs w:val="0"/>
          <w:sz w:val="32"/>
          <w:szCs w:val="32"/>
          <w:highlight w:val="none"/>
          <w:lang w:val="en-US" w:eastAsia="zh-CN"/>
        </w:rPr>
        <w:t>新科技革命，注入创新发展新活力。</w:t>
      </w:r>
      <w:r>
        <w:rPr>
          <w:rFonts w:hint="eastAsia" w:ascii="仿宋_GB2312" w:hAnsi="仿宋_GB2312" w:eastAsia="仿宋_GB2312" w:cs="仿宋_GB2312"/>
          <w:color w:val="000000"/>
          <w:sz w:val="32"/>
          <w:szCs w:val="32"/>
        </w:rPr>
        <w:t>新一代智慧交通、智慧港口、智慧物流园和无人配送中心、末端智能货柜等融合型新基设施</w:t>
      </w:r>
      <w:r>
        <w:rPr>
          <w:rFonts w:hint="eastAsia" w:ascii="仿宋_GB2312" w:hAnsi="仿宋_GB2312" w:eastAsia="仿宋_GB2312" w:cs="仿宋_GB2312"/>
          <w:color w:val="000000"/>
          <w:sz w:val="32"/>
          <w:szCs w:val="32"/>
          <w:lang w:eastAsia="zh-CN"/>
        </w:rPr>
        <w:t>加快</w:t>
      </w:r>
      <w:r>
        <w:rPr>
          <w:rFonts w:hint="eastAsia" w:ascii="仿宋_GB2312" w:hAnsi="仿宋_GB2312" w:eastAsia="仿宋_GB2312" w:cs="仿宋_GB2312"/>
          <w:color w:val="000000"/>
          <w:sz w:val="32"/>
          <w:szCs w:val="32"/>
        </w:rPr>
        <w:t>建设</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5G、物联网、人工智能、区块链等新兴技术</w:t>
      </w:r>
      <w:r>
        <w:rPr>
          <w:rFonts w:hint="eastAsia" w:ascii="仿宋_GB2312" w:hAnsi="仿宋_GB2312" w:eastAsia="仿宋_GB2312" w:cs="仿宋_GB2312"/>
          <w:color w:val="000000"/>
          <w:sz w:val="32"/>
          <w:szCs w:val="32"/>
          <w:lang w:eastAsia="zh-CN"/>
        </w:rPr>
        <w:t>、智能装备广泛应用，为物流组织方式深刻变革和创新发展注入了新的活力。</w:t>
      </w:r>
      <w:r>
        <w:rPr>
          <w:rFonts w:hint="eastAsia" w:ascii="仿宋_GB2312" w:hAnsi="仿宋_GB2312" w:eastAsia="仿宋_GB2312" w:cs="仿宋_GB2312"/>
          <w:color w:val="000000"/>
          <w:sz w:val="32"/>
          <w:szCs w:val="32"/>
        </w:rPr>
        <w:t>供应链管理和多式联运服务朝着数字化方向发展</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为现代物流优化供应链、融入产业链、重塑价值链，提高生产经</w:t>
      </w:r>
      <w:r>
        <w:rPr>
          <w:rFonts w:hint="eastAsia" w:ascii="Times New Roman" w:hAnsi="Times New Roman" w:eastAsia="仿宋_GB2312"/>
          <w:color w:val="000000"/>
          <w:sz w:val="32"/>
          <w:szCs w:val="32"/>
        </w:rPr>
        <w:t>营和流通效率，提供强劲新动能。</w:t>
      </w:r>
    </w:p>
    <w:p>
      <w:pPr>
        <w:keepNext w:val="0"/>
        <w:keepLines w:val="0"/>
        <w:pageBreakBefore w:val="0"/>
        <w:kinsoku/>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color w:val="000000"/>
          <w:sz w:val="32"/>
          <w:szCs w:val="32"/>
          <w:lang w:val="en-US" w:eastAsia="zh-CN"/>
        </w:rPr>
      </w:pPr>
      <w:bookmarkStart w:id="4" w:name="_Toc6495"/>
      <w:r>
        <w:rPr>
          <w:rFonts w:hint="eastAsia" w:ascii="黑体" w:hAnsi="黑体" w:eastAsia="黑体" w:cs="黑体"/>
          <w:color w:val="000000"/>
          <w:sz w:val="32"/>
          <w:szCs w:val="32"/>
          <w:lang w:val="en-US" w:eastAsia="zh-CN"/>
        </w:rPr>
        <w:t>二、总体要求</w:t>
      </w:r>
      <w:bookmarkEnd w:id="4"/>
    </w:p>
    <w:p>
      <w:pPr>
        <w:keepNext w:val="0"/>
        <w:keepLines w:val="0"/>
        <w:pageBreakBefore w:val="0"/>
        <w:kinsoku/>
        <w:overflowPunct/>
        <w:topLinePunct w:val="0"/>
        <w:autoSpaceDE/>
        <w:autoSpaceDN/>
        <w:bidi w:val="0"/>
        <w:adjustRightInd/>
        <w:snapToGrid/>
        <w:spacing w:line="580" w:lineRule="exact"/>
        <w:ind w:firstLine="643" w:firstLineChars="200"/>
        <w:textAlignment w:val="auto"/>
        <w:outlineLvl w:val="1"/>
        <w:rPr>
          <w:rFonts w:hint="eastAsia" w:ascii="CESI仿宋-GB2312" w:hAnsi="CESI仿宋-GB2312" w:eastAsia="CESI仿宋-GB2312" w:cs="CESI仿宋-GB2312"/>
          <w:b/>
          <w:bCs/>
          <w:color w:val="000000"/>
          <w:sz w:val="32"/>
          <w:szCs w:val="32"/>
          <w:lang w:val="en-US" w:eastAsia="zh-CN"/>
        </w:rPr>
      </w:pPr>
      <w:bookmarkStart w:id="5" w:name="_Toc25769"/>
      <w:r>
        <w:rPr>
          <w:rFonts w:hint="eastAsia" w:ascii="CESI仿宋-GB2312" w:hAnsi="CESI仿宋-GB2312" w:eastAsia="CESI仿宋-GB2312" w:cs="CESI仿宋-GB2312"/>
          <w:b/>
          <w:bCs/>
          <w:color w:val="000000"/>
          <w:sz w:val="32"/>
          <w:szCs w:val="32"/>
          <w:lang w:val="en-US" w:eastAsia="zh-CN"/>
        </w:rPr>
        <w:t>（一）指导思想</w:t>
      </w:r>
      <w:bookmarkEnd w:id="5"/>
    </w:p>
    <w:p>
      <w:pPr>
        <w:pStyle w:val="34"/>
        <w:keepNext w:val="0"/>
        <w:keepLines w:val="0"/>
        <w:pageBreakBefore w:val="0"/>
        <w:kinsoku/>
        <w:overflowPunct/>
        <w:topLinePunct w:val="0"/>
        <w:autoSpaceDE/>
        <w:autoSpaceDN/>
        <w:bidi w:val="0"/>
        <w:adjustRightInd/>
        <w:snapToGrid/>
        <w:spacing w:line="580" w:lineRule="exact"/>
        <w:ind w:left="0" w:leftChars="0" w:firstLine="640" w:firstLineChars="200"/>
        <w:jc w:val="both"/>
        <w:textAlignment w:val="auto"/>
        <w:rPr>
          <w:rFonts w:hint="eastAsia" w:ascii="Times New Roman" w:hAnsi="Times New Roman" w:eastAsia="仿宋_GB2312" w:cs="Times New Roman"/>
          <w:color w:val="000000"/>
          <w:kern w:val="2"/>
          <w:sz w:val="32"/>
          <w:szCs w:val="32"/>
          <w:lang w:val="en-US" w:eastAsia="zh-CN" w:bidi="ar-SA"/>
        </w:rPr>
      </w:pPr>
      <w:r>
        <w:rPr>
          <w:rFonts w:hint="default" w:ascii="Times New Roman" w:hAnsi="Times New Roman" w:eastAsia="仿宋_GB2312" w:cs="Times New Roman"/>
          <w:color w:val="000000"/>
          <w:kern w:val="2"/>
          <w:sz w:val="32"/>
          <w:szCs w:val="32"/>
          <w:lang w:val="en-US" w:eastAsia="zh-CN" w:bidi="ar-SA"/>
        </w:rPr>
        <w:t>以习近平新时代中国特色社会主义思想为指导，</w:t>
      </w:r>
      <w:r>
        <w:rPr>
          <w:rFonts w:hint="eastAsia" w:ascii="Times New Roman" w:hAnsi="Times New Roman" w:eastAsia="仿宋_GB2312" w:cs="Times New Roman"/>
          <w:color w:val="000000"/>
          <w:kern w:val="2"/>
          <w:sz w:val="32"/>
          <w:szCs w:val="32"/>
          <w:lang w:val="en-US" w:eastAsia="zh-CN" w:bidi="ar-SA"/>
        </w:rPr>
        <w:t>深入贯彻党的十九大和十九届二中、三中、四中、五中全会和习近平总书记来陕考察重要讲话精神，</w:t>
      </w:r>
      <w:r>
        <w:rPr>
          <w:rFonts w:hint="default" w:ascii="Times New Roman" w:hAnsi="Times New Roman" w:eastAsia="仿宋_GB2312" w:cs="Times New Roman"/>
          <w:color w:val="000000"/>
          <w:kern w:val="2"/>
          <w:sz w:val="32"/>
          <w:szCs w:val="32"/>
          <w:lang w:val="en-US" w:eastAsia="zh-CN" w:bidi="ar-SA"/>
        </w:rPr>
        <w:t>立足新发展阶段，贯彻新发展理念，以推动</w:t>
      </w:r>
      <w:r>
        <w:rPr>
          <w:rFonts w:hint="eastAsia" w:ascii="Times New Roman" w:hAnsi="Times New Roman" w:eastAsia="仿宋_GB2312" w:cs="Times New Roman"/>
          <w:color w:val="000000"/>
          <w:kern w:val="2"/>
          <w:sz w:val="32"/>
          <w:szCs w:val="32"/>
          <w:lang w:val="en-US" w:eastAsia="zh-CN" w:bidi="ar-SA"/>
        </w:rPr>
        <w:t>陕西物流业</w:t>
      </w:r>
      <w:r>
        <w:rPr>
          <w:rFonts w:hint="default" w:ascii="Times New Roman" w:hAnsi="Times New Roman" w:eastAsia="仿宋_GB2312" w:cs="Times New Roman"/>
          <w:color w:val="000000"/>
          <w:kern w:val="2"/>
          <w:sz w:val="32"/>
          <w:szCs w:val="32"/>
          <w:lang w:val="en-US" w:eastAsia="zh-CN" w:bidi="ar-SA"/>
        </w:rPr>
        <w:t>高质量发展为</w:t>
      </w:r>
      <w:r>
        <w:rPr>
          <w:rFonts w:hint="eastAsia" w:ascii="Times New Roman" w:hAnsi="Times New Roman" w:eastAsia="仿宋_GB2312" w:cs="Times New Roman"/>
          <w:color w:val="000000"/>
          <w:kern w:val="2"/>
          <w:sz w:val="32"/>
          <w:szCs w:val="32"/>
          <w:lang w:val="en-US" w:eastAsia="zh-CN" w:bidi="ar-SA"/>
        </w:rPr>
        <w:t>主题，</w:t>
      </w:r>
      <w:r>
        <w:rPr>
          <w:rFonts w:hint="default" w:ascii="Times New Roman" w:hAnsi="Times New Roman" w:eastAsia="仿宋_GB2312" w:cs="Times New Roman"/>
          <w:color w:val="000000"/>
          <w:kern w:val="2"/>
          <w:sz w:val="32"/>
          <w:szCs w:val="32"/>
          <w:lang w:val="en-US" w:eastAsia="zh-CN" w:bidi="ar-SA"/>
        </w:rPr>
        <w:t>以深化供给侧结构性改革为主线</w:t>
      </w:r>
      <w:r>
        <w:rPr>
          <w:rFonts w:hint="eastAsia" w:ascii="Times New Roman" w:hAnsi="Times New Roman" w:eastAsia="仿宋_GB2312" w:cs="Times New Roman"/>
          <w:color w:val="000000"/>
          <w:kern w:val="2"/>
          <w:sz w:val="32"/>
          <w:szCs w:val="32"/>
          <w:lang w:val="en-US" w:eastAsia="zh-CN" w:bidi="ar-SA"/>
        </w:rPr>
        <w:t>，聚焦“</w:t>
      </w:r>
      <w:r>
        <w:rPr>
          <w:rFonts w:hint="default" w:ascii="Times New Roman" w:hAnsi="Times New Roman" w:eastAsia="仿宋_GB2312" w:cs="Times New Roman"/>
          <w:color w:val="000000"/>
          <w:kern w:val="2"/>
          <w:sz w:val="32"/>
          <w:szCs w:val="32"/>
          <w:lang w:val="en-US" w:eastAsia="zh-CN" w:bidi="ar-SA"/>
        </w:rPr>
        <w:t>提质、降本、增效</w:t>
      </w:r>
      <w:r>
        <w:rPr>
          <w:rFonts w:hint="eastAsia" w:ascii="Times New Roman" w:hAnsi="Times New Roman" w:eastAsia="仿宋_GB2312" w:cs="Times New Roman"/>
          <w:color w:val="000000"/>
          <w:kern w:val="2"/>
          <w:sz w:val="32"/>
          <w:szCs w:val="32"/>
          <w:lang w:val="en-US" w:eastAsia="zh-CN" w:bidi="ar-SA"/>
        </w:rPr>
        <w:t>”总目标，进一步夯实产业基础，培育发展新动能，提升服务保障能力，</w:t>
      </w:r>
    </w:p>
    <w:p>
      <w:pPr>
        <w:pStyle w:val="34"/>
        <w:keepNext w:val="0"/>
        <w:keepLines w:val="0"/>
        <w:pageBreakBefore w:val="0"/>
        <w:kinsoku/>
        <w:overflowPunct/>
        <w:topLinePunct w:val="0"/>
        <w:autoSpaceDE/>
        <w:autoSpaceDN/>
        <w:bidi w:val="0"/>
        <w:adjustRightInd/>
        <w:snapToGrid/>
        <w:spacing w:line="580" w:lineRule="exact"/>
        <w:jc w:val="both"/>
        <w:textAlignment w:val="auto"/>
        <w:rPr>
          <w:rFonts w:hint="default" w:ascii="Times New Roman" w:hAnsi="Times New Roman" w:eastAsia="仿宋_GB2312"/>
          <w:color w:val="000000"/>
          <w:sz w:val="32"/>
          <w:szCs w:val="32"/>
          <w:lang w:val="en-US" w:eastAsia="zh-CN"/>
        </w:rPr>
      </w:pPr>
      <w:r>
        <w:rPr>
          <w:rFonts w:hint="default" w:ascii="Times New Roman" w:hAnsi="Times New Roman" w:eastAsia="仿宋_GB2312"/>
          <w:color w:val="000000"/>
          <w:sz w:val="32"/>
          <w:szCs w:val="32"/>
          <w:lang w:val="en-US" w:eastAsia="zh-CN"/>
        </w:rPr>
        <w:t>加快构建现代</w:t>
      </w:r>
      <w:r>
        <w:rPr>
          <w:rFonts w:hint="eastAsia" w:ascii="Times New Roman" w:hAnsi="Times New Roman" w:eastAsia="仿宋_GB2312"/>
          <w:color w:val="000000"/>
          <w:sz w:val="32"/>
          <w:szCs w:val="32"/>
          <w:lang w:val="en-US" w:eastAsia="zh-CN"/>
        </w:rPr>
        <w:t>物流</w:t>
      </w:r>
      <w:r>
        <w:rPr>
          <w:rFonts w:hint="default" w:ascii="Times New Roman" w:hAnsi="Times New Roman" w:eastAsia="仿宋_GB2312"/>
          <w:color w:val="000000"/>
          <w:sz w:val="32"/>
          <w:szCs w:val="32"/>
          <w:lang w:val="en-US" w:eastAsia="zh-CN"/>
        </w:rPr>
        <w:t>体系，为</w:t>
      </w:r>
      <w:r>
        <w:rPr>
          <w:rFonts w:hint="eastAsia" w:ascii="Times New Roman" w:hAnsi="Times New Roman" w:eastAsia="仿宋_GB2312"/>
          <w:color w:val="000000"/>
          <w:sz w:val="32"/>
          <w:szCs w:val="32"/>
          <w:lang w:val="en-US" w:eastAsia="zh-CN"/>
        </w:rPr>
        <w:t>谱写新时代追赶超越新篇章</w:t>
      </w:r>
      <w:r>
        <w:rPr>
          <w:rFonts w:hint="default" w:ascii="Times New Roman" w:hAnsi="Times New Roman" w:eastAsia="仿宋_GB2312"/>
          <w:color w:val="000000"/>
          <w:sz w:val="32"/>
          <w:szCs w:val="32"/>
          <w:lang w:val="en-US" w:eastAsia="zh-CN"/>
        </w:rPr>
        <w:t>提供坚实的物流保障</w:t>
      </w:r>
      <w:r>
        <w:rPr>
          <w:rFonts w:hint="eastAsia" w:ascii="Times New Roman" w:hAnsi="Times New Roman" w:eastAsia="仿宋_GB2312" w:cs="Times New Roman"/>
          <w:color w:val="000000"/>
          <w:kern w:val="2"/>
          <w:sz w:val="32"/>
          <w:szCs w:val="32"/>
          <w:lang w:val="en-US" w:eastAsia="zh-CN" w:bidi="ar-SA"/>
        </w:rPr>
        <w:t>。</w:t>
      </w:r>
    </w:p>
    <w:p>
      <w:pPr>
        <w:keepNext w:val="0"/>
        <w:keepLines w:val="0"/>
        <w:pageBreakBefore w:val="0"/>
        <w:kinsoku/>
        <w:overflowPunct/>
        <w:topLinePunct w:val="0"/>
        <w:autoSpaceDE/>
        <w:autoSpaceDN/>
        <w:bidi w:val="0"/>
        <w:adjustRightInd/>
        <w:snapToGrid/>
        <w:spacing w:line="580" w:lineRule="exact"/>
        <w:ind w:firstLine="643" w:firstLineChars="200"/>
        <w:textAlignment w:val="auto"/>
        <w:outlineLvl w:val="1"/>
        <w:rPr>
          <w:rFonts w:hint="eastAsia" w:ascii="CESI仿宋-GB2312" w:hAnsi="CESI仿宋-GB2312" w:eastAsia="CESI仿宋-GB2312" w:cs="CESI仿宋-GB2312"/>
          <w:b/>
          <w:bCs/>
          <w:color w:val="000000"/>
          <w:sz w:val="32"/>
          <w:szCs w:val="32"/>
          <w:lang w:val="en-US" w:eastAsia="zh-CN"/>
        </w:rPr>
      </w:pPr>
      <w:bookmarkStart w:id="6" w:name="_Toc18251"/>
      <w:r>
        <w:rPr>
          <w:rFonts w:hint="eastAsia" w:ascii="CESI仿宋-GB2312" w:hAnsi="CESI仿宋-GB2312" w:eastAsia="CESI仿宋-GB2312" w:cs="CESI仿宋-GB2312"/>
          <w:b/>
          <w:bCs/>
          <w:color w:val="000000"/>
          <w:sz w:val="32"/>
          <w:szCs w:val="32"/>
          <w:lang w:val="en-US" w:eastAsia="zh-CN"/>
        </w:rPr>
        <w:t>（二）基本原则</w:t>
      </w:r>
      <w:bookmarkEnd w:id="6"/>
    </w:p>
    <w:p>
      <w:pPr>
        <w:keepNext w:val="0"/>
        <w:keepLines w:val="0"/>
        <w:pageBreakBefore w:val="0"/>
        <w:numPr>
          <w:ilvl w:val="0"/>
          <w:numId w:val="0"/>
        </w:numPr>
        <w:kinsoku/>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highlight w:val="none"/>
          <w:lang w:val="en-US" w:eastAsia="zh-CN"/>
        </w:rPr>
        <w:t>战略引领，产业融合。</w:t>
      </w:r>
      <w:r>
        <w:rPr>
          <w:rFonts w:hint="eastAsia" w:ascii="仿宋_GB2312" w:hAnsi="仿宋_GB2312" w:eastAsia="仿宋_GB2312" w:cs="仿宋_GB2312"/>
          <w:sz w:val="32"/>
          <w:szCs w:val="32"/>
          <w:lang w:val="en-US" w:eastAsia="zh-CN"/>
        </w:rPr>
        <w:t>以“一带一路”建设、新时代推进西部大开发形成新格局、黄河流域生态保护与高质量发展、关中平原城市群建设等国家战略为引领，推进现代物流与生产制造、商贸流通、现代农业等产业深度融合，推动形成需求牵引供给、供给创造需求的良性互动。</w:t>
      </w:r>
    </w:p>
    <w:p>
      <w:pPr>
        <w:keepNext w:val="0"/>
        <w:keepLines w:val="0"/>
        <w:pageBreakBefore w:val="0"/>
        <w:numPr>
          <w:ilvl w:val="0"/>
          <w:numId w:val="0"/>
        </w:numPr>
        <w:kinsoku/>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highlight w:val="none"/>
          <w:lang w:val="en-US" w:eastAsia="zh-CN"/>
        </w:rPr>
        <w:t>资源整合，协同推进。</w:t>
      </w:r>
      <w:r>
        <w:rPr>
          <w:rFonts w:hint="eastAsia" w:ascii="仿宋_GB2312" w:hAnsi="仿宋_GB2312" w:eastAsia="仿宋_GB2312" w:cs="仿宋_GB2312"/>
          <w:sz w:val="32"/>
          <w:szCs w:val="32"/>
          <w:lang w:val="en-US" w:eastAsia="zh-CN"/>
        </w:rPr>
        <w:t>整合存量物流资源，科学布局物流枢纽、物流园区和重大物流项目，避免同质竞争，强化协同联动。统筹关中、陕北、陕南交通区位和产业资源，构建层次分明、高效集约、功能互补的物流协同发展体系，推进现代物流业与区域经济协同发展。</w:t>
      </w:r>
    </w:p>
    <w:p>
      <w:pPr>
        <w:keepNext w:val="0"/>
        <w:keepLines w:val="0"/>
        <w:pageBreakBefore w:val="0"/>
        <w:numPr>
          <w:ilvl w:val="0"/>
          <w:numId w:val="0"/>
        </w:numPr>
        <w:kinsoku/>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sz w:val="32"/>
          <w:szCs w:val="32"/>
          <w:lang w:val="en-US" w:eastAsia="zh-CN"/>
        </w:rPr>
      </w:pPr>
      <w:r>
        <w:rPr>
          <w:rFonts w:hint="eastAsia" w:ascii="楷体" w:hAnsi="楷体" w:eastAsia="楷体" w:cs="楷体"/>
          <w:b w:val="0"/>
          <w:bCs w:val="0"/>
          <w:sz w:val="32"/>
          <w:szCs w:val="32"/>
          <w:highlight w:val="none"/>
          <w:lang w:val="en-US" w:eastAsia="zh-CN"/>
        </w:rPr>
        <w:t>绿色发展，科技赋能。</w:t>
      </w:r>
      <w:r>
        <w:rPr>
          <w:rFonts w:hint="eastAsia" w:ascii="仿宋_GB2312" w:hAnsi="仿宋_GB2312" w:eastAsia="仿宋_GB2312" w:cs="仿宋_GB2312"/>
          <w:sz w:val="32"/>
          <w:szCs w:val="32"/>
          <w:lang w:val="en-US" w:eastAsia="zh-CN"/>
        </w:rPr>
        <w:t>以低碳化为导向，大力推广新能源装备、绿色包装，坚持绿色发展在现代物流高质量发展中的重要导向；进一步推广物联网、大数据、云计算、人工智能、区块链等新技术在物流领域的应用，培育发展物流新模式新业态，支持智慧园区、智慧仓储等新型设施建设，提升产业发展能级。</w:t>
      </w:r>
    </w:p>
    <w:p>
      <w:pPr>
        <w:keepNext w:val="0"/>
        <w:keepLines w:val="0"/>
        <w:pageBreakBefore w:val="0"/>
        <w:numPr>
          <w:ilvl w:val="0"/>
          <w:numId w:val="0"/>
        </w:numPr>
        <w:kinsoku/>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楷体" w:hAnsi="楷体" w:eastAsia="楷体" w:cs="楷体"/>
          <w:b w:val="0"/>
          <w:bCs w:val="0"/>
          <w:sz w:val="32"/>
          <w:szCs w:val="32"/>
          <w:highlight w:val="none"/>
          <w:lang w:val="en-US" w:eastAsia="zh-CN"/>
        </w:rPr>
        <w:t>开放导向，服务保障。</w:t>
      </w:r>
      <w:r>
        <w:rPr>
          <w:rFonts w:hint="eastAsia" w:ascii="仿宋_GB2312" w:hAnsi="仿宋_GB2312" w:eastAsia="仿宋_GB2312" w:cs="仿宋_GB2312"/>
          <w:b w:val="0"/>
          <w:bCs w:val="0"/>
          <w:sz w:val="32"/>
          <w:szCs w:val="32"/>
          <w:lang w:val="en-US" w:eastAsia="zh-CN"/>
        </w:rPr>
        <w:t>发挥市场在资源配置中的决定性作用，进一步理顺管理机制，激发市场主体发展活力。支持陕西物流扩大开放和“走出去”。强化社会民生与生产服务保障，完善应急物流体系，保障产业链供应链稳定，推动形成统一开放、高效规范、公平竞争的营商环境。</w:t>
      </w:r>
    </w:p>
    <w:p>
      <w:pPr>
        <w:keepNext w:val="0"/>
        <w:keepLines w:val="0"/>
        <w:pageBreakBefore w:val="0"/>
        <w:kinsoku/>
        <w:overflowPunct/>
        <w:topLinePunct w:val="0"/>
        <w:autoSpaceDE/>
        <w:autoSpaceDN/>
        <w:bidi w:val="0"/>
        <w:adjustRightInd/>
        <w:snapToGrid/>
        <w:spacing w:line="580" w:lineRule="exact"/>
        <w:ind w:firstLine="643" w:firstLineChars="200"/>
        <w:textAlignment w:val="auto"/>
        <w:outlineLvl w:val="1"/>
        <w:rPr>
          <w:rFonts w:hint="eastAsia" w:ascii="CESI仿宋-GB2312" w:hAnsi="CESI仿宋-GB2312" w:eastAsia="CESI仿宋-GB2312" w:cs="CESI仿宋-GB2312"/>
          <w:b/>
          <w:bCs/>
          <w:color w:val="000000"/>
          <w:sz w:val="32"/>
          <w:szCs w:val="32"/>
          <w:lang w:val="en-US" w:eastAsia="zh-CN"/>
        </w:rPr>
      </w:pPr>
      <w:bookmarkStart w:id="7" w:name="_Toc22993"/>
      <w:r>
        <w:rPr>
          <w:rFonts w:hint="eastAsia" w:ascii="CESI仿宋-GB2312" w:hAnsi="CESI仿宋-GB2312" w:eastAsia="CESI仿宋-GB2312" w:cs="CESI仿宋-GB2312"/>
          <w:b/>
          <w:bCs/>
          <w:color w:val="000000"/>
          <w:sz w:val="32"/>
          <w:szCs w:val="32"/>
          <w:lang w:val="en-US" w:eastAsia="zh-CN"/>
        </w:rPr>
        <w:t>（三）发展目标</w:t>
      </w:r>
      <w:bookmarkEnd w:id="7"/>
    </w:p>
    <w:p>
      <w:pPr>
        <w:pStyle w:val="34"/>
        <w:keepNext w:val="0"/>
        <w:keepLines w:val="0"/>
        <w:pageBreakBefore w:val="0"/>
        <w:kinsoku/>
        <w:overflowPunct/>
        <w:topLinePunct w:val="0"/>
        <w:autoSpaceDE/>
        <w:autoSpaceDN/>
        <w:bidi w:val="0"/>
        <w:adjustRightInd/>
        <w:snapToGrid/>
        <w:spacing w:line="580" w:lineRule="exact"/>
        <w:ind w:left="0" w:leftChars="0" w:firstLine="640" w:firstLineChars="200"/>
        <w:jc w:val="both"/>
        <w:textAlignment w:val="auto"/>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到2025年，全省物流设施网络布局更加完善，干支配服务网络健全，高效畅联国内国际市场，社会</w:t>
      </w:r>
      <w:r>
        <w:rPr>
          <w:rFonts w:hint="default" w:ascii="仿宋_GB2312" w:hAnsi="仿宋_GB2312" w:eastAsia="仿宋_GB2312" w:cs="仿宋_GB2312"/>
          <w:b w:val="0"/>
          <w:bCs w:val="0"/>
          <w:kern w:val="2"/>
          <w:sz w:val="32"/>
          <w:szCs w:val="32"/>
          <w:lang w:val="en-US" w:eastAsia="zh-CN" w:bidi="ar-SA"/>
        </w:rPr>
        <w:t>物流效率和品质明显提升</w:t>
      </w:r>
      <w:r>
        <w:rPr>
          <w:rFonts w:hint="eastAsia" w:ascii="仿宋_GB2312" w:hAnsi="仿宋_GB2312" w:eastAsia="仿宋_GB2312" w:cs="仿宋_GB2312"/>
          <w:b w:val="0"/>
          <w:bCs w:val="0"/>
          <w:kern w:val="2"/>
          <w:sz w:val="32"/>
          <w:szCs w:val="32"/>
          <w:lang w:val="en-US" w:eastAsia="zh-CN" w:bidi="ar-SA"/>
        </w:rPr>
        <w:t>。物流营商环境全面优化，</w:t>
      </w:r>
      <w:r>
        <w:rPr>
          <w:rFonts w:hint="default" w:ascii="仿宋_GB2312" w:hAnsi="仿宋_GB2312" w:eastAsia="仿宋_GB2312" w:cs="仿宋_GB2312"/>
          <w:b w:val="0"/>
          <w:bCs w:val="0"/>
          <w:kern w:val="2"/>
          <w:sz w:val="32"/>
          <w:szCs w:val="32"/>
          <w:lang w:val="en-US" w:eastAsia="zh-CN" w:bidi="ar-SA"/>
        </w:rPr>
        <w:t>物流</w:t>
      </w:r>
      <w:r>
        <w:rPr>
          <w:rFonts w:hint="eastAsia" w:ascii="仿宋_GB2312" w:hAnsi="仿宋_GB2312" w:eastAsia="仿宋_GB2312" w:cs="仿宋_GB2312"/>
          <w:b w:val="0"/>
          <w:bCs w:val="0"/>
          <w:kern w:val="2"/>
          <w:sz w:val="32"/>
          <w:szCs w:val="32"/>
          <w:lang w:val="en-US" w:eastAsia="zh-CN" w:bidi="ar-SA"/>
        </w:rPr>
        <w:t>数字</w:t>
      </w:r>
      <w:r>
        <w:rPr>
          <w:rFonts w:hint="default" w:ascii="仿宋_GB2312" w:hAnsi="仿宋_GB2312" w:eastAsia="仿宋_GB2312" w:cs="仿宋_GB2312"/>
          <w:b w:val="0"/>
          <w:bCs w:val="0"/>
          <w:kern w:val="2"/>
          <w:sz w:val="32"/>
          <w:szCs w:val="32"/>
          <w:lang w:val="en-US" w:eastAsia="zh-CN" w:bidi="ar-SA"/>
        </w:rPr>
        <w:t>化</w:t>
      </w:r>
      <w:r>
        <w:rPr>
          <w:rFonts w:hint="eastAsia" w:ascii="仿宋_GB2312" w:hAnsi="仿宋_GB2312" w:eastAsia="仿宋_GB2312" w:cs="仿宋_GB2312"/>
          <w:b w:val="0"/>
          <w:bCs w:val="0"/>
          <w:kern w:val="2"/>
          <w:sz w:val="32"/>
          <w:szCs w:val="32"/>
          <w:lang w:val="en-US" w:eastAsia="zh-CN" w:bidi="ar-SA"/>
        </w:rPr>
        <w:t>、标准化</w:t>
      </w:r>
      <w:r>
        <w:rPr>
          <w:rFonts w:hint="default" w:ascii="仿宋_GB2312" w:hAnsi="仿宋_GB2312" w:eastAsia="仿宋_GB2312" w:cs="仿宋_GB2312"/>
          <w:b w:val="0"/>
          <w:bCs w:val="0"/>
          <w:kern w:val="2"/>
          <w:sz w:val="32"/>
          <w:szCs w:val="32"/>
          <w:lang w:val="en-US" w:eastAsia="zh-CN" w:bidi="ar-SA"/>
        </w:rPr>
        <w:t>水平</w:t>
      </w:r>
      <w:r>
        <w:rPr>
          <w:rFonts w:hint="eastAsia" w:ascii="仿宋_GB2312" w:hAnsi="仿宋_GB2312" w:eastAsia="仿宋_GB2312" w:cs="仿宋_GB2312"/>
          <w:b w:val="0"/>
          <w:bCs w:val="0"/>
          <w:kern w:val="2"/>
          <w:sz w:val="32"/>
          <w:szCs w:val="32"/>
          <w:lang w:val="en-US" w:eastAsia="zh-CN" w:bidi="ar-SA"/>
        </w:rPr>
        <w:t>和供应链</w:t>
      </w:r>
      <w:r>
        <w:rPr>
          <w:rFonts w:hint="default" w:ascii="仿宋_GB2312" w:hAnsi="仿宋_GB2312" w:eastAsia="仿宋_GB2312" w:cs="仿宋_GB2312"/>
          <w:b w:val="0"/>
          <w:bCs w:val="0"/>
          <w:kern w:val="2"/>
          <w:sz w:val="32"/>
          <w:szCs w:val="32"/>
          <w:lang w:val="en-US" w:eastAsia="zh-CN" w:bidi="ar-SA"/>
        </w:rPr>
        <w:t>组织</w:t>
      </w:r>
      <w:r>
        <w:rPr>
          <w:rFonts w:hint="eastAsia" w:ascii="仿宋_GB2312" w:hAnsi="仿宋_GB2312" w:eastAsia="仿宋_GB2312" w:cs="仿宋_GB2312"/>
          <w:b w:val="0"/>
          <w:bCs w:val="0"/>
          <w:kern w:val="2"/>
          <w:sz w:val="32"/>
          <w:szCs w:val="32"/>
          <w:lang w:val="en-US" w:eastAsia="zh-CN" w:bidi="ar-SA"/>
        </w:rPr>
        <w:t>管理能力等显著提升，基本形成内外联通、安全高效、方便快捷、智能绿色、融合联动的现代物流体系</w:t>
      </w:r>
      <w:r>
        <w:rPr>
          <w:rFonts w:hint="default" w:ascii="仿宋_GB2312" w:hAnsi="仿宋_GB2312" w:eastAsia="仿宋_GB2312" w:cs="仿宋_GB2312"/>
          <w:b w:val="0"/>
          <w:bCs w:val="0"/>
          <w:kern w:val="2"/>
          <w:sz w:val="32"/>
          <w:szCs w:val="32"/>
          <w:lang w:val="en-US" w:eastAsia="zh-CN" w:bidi="ar-SA"/>
        </w:rPr>
        <w:t>。</w:t>
      </w:r>
      <w:r>
        <w:rPr>
          <w:rFonts w:hint="eastAsia" w:ascii="仿宋_GB2312" w:hAnsi="仿宋_GB2312" w:eastAsia="仿宋_GB2312" w:cs="仿宋_GB2312"/>
          <w:b w:val="0"/>
          <w:bCs w:val="0"/>
          <w:kern w:val="2"/>
          <w:sz w:val="32"/>
          <w:szCs w:val="32"/>
          <w:lang w:val="en-US" w:eastAsia="zh-CN" w:bidi="ar-SA"/>
        </w:rPr>
        <w:t>建设现代化国际陆港和航空港，全面提升国际物流和供应链组织管理能级，进一步拓展亚欧陆海贸易大通道，将陕西建设成</w:t>
      </w:r>
      <w:r>
        <w:rPr>
          <w:rFonts w:hint="eastAsia" w:ascii="Times New Roman" w:hAnsi="Times New Roman" w:eastAsia="仿宋_GB2312" w:cs="Times New Roman"/>
          <w:color w:val="000000"/>
          <w:kern w:val="2"/>
          <w:sz w:val="32"/>
          <w:szCs w:val="32"/>
          <w:lang w:val="en-US" w:eastAsia="zh-CN" w:bidi="ar-SA"/>
        </w:rPr>
        <w:t>“一带一路”国际商贸物流枢纽。</w:t>
      </w:r>
    </w:p>
    <w:p>
      <w:pPr>
        <w:pStyle w:val="10"/>
        <w:keepNext w:val="0"/>
        <w:keepLines w:val="0"/>
        <w:pageBreakBefore w:val="0"/>
        <w:widowControl/>
        <w:kinsoku/>
        <w:overflowPunct/>
        <w:topLinePunct w:val="0"/>
        <w:autoSpaceDE/>
        <w:autoSpaceDN/>
        <w:bidi w:val="0"/>
        <w:adjustRightInd/>
        <w:snapToGrid/>
        <w:spacing w:line="580" w:lineRule="exact"/>
        <w:jc w:val="center"/>
        <w:textAlignment w:val="auto"/>
        <w:rPr>
          <w:rFonts w:hint="eastAsia" w:ascii="黑体" w:hAnsi="黑体" w:eastAsia="黑体" w:cs="黑体"/>
          <w:b w:val="0"/>
          <w:bCs w:val="0"/>
          <w:color w:val="000000"/>
          <w:kern w:val="2"/>
          <w:sz w:val="28"/>
          <w:szCs w:val="28"/>
        </w:rPr>
      </w:pPr>
      <w:r>
        <w:rPr>
          <w:rFonts w:hint="eastAsia" w:ascii="黑体" w:hAnsi="黑体" w:eastAsia="黑体" w:cs="黑体"/>
          <w:b w:val="0"/>
          <w:bCs w:val="0"/>
          <w:color w:val="000000"/>
          <w:kern w:val="2"/>
          <w:sz w:val="28"/>
          <w:szCs w:val="28"/>
        </w:rPr>
        <w:t>表</w:t>
      </w:r>
      <w:r>
        <w:rPr>
          <w:rFonts w:hint="eastAsia" w:ascii="黑体" w:hAnsi="黑体" w:eastAsia="黑体" w:cs="黑体"/>
          <w:b w:val="0"/>
          <w:bCs w:val="0"/>
          <w:color w:val="000000"/>
          <w:kern w:val="2"/>
          <w:sz w:val="28"/>
          <w:szCs w:val="28"/>
          <w:lang w:val="en-US" w:eastAsia="zh-CN"/>
        </w:rPr>
        <w:t xml:space="preserve">1 </w:t>
      </w:r>
      <w:r>
        <w:rPr>
          <w:rFonts w:hint="eastAsia" w:ascii="黑体" w:hAnsi="黑体" w:eastAsia="黑体" w:cs="黑体"/>
          <w:b w:val="0"/>
          <w:bCs w:val="0"/>
          <w:color w:val="000000"/>
          <w:kern w:val="2"/>
          <w:sz w:val="28"/>
          <w:szCs w:val="28"/>
        </w:rPr>
        <w:t>“十四五”陕西物流业</w:t>
      </w:r>
      <w:r>
        <w:rPr>
          <w:rFonts w:hint="eastAsia" w:ascii="黑体" w:hAnsi="黑体" w:eastAsia="黑体" w:cs="黑体"/>
          <w:b w:val="0"/>
          <w:bCs w:val="0"/>
          <w:color w:val="000000"/>
          <w:kern w:val="2"/>
          <w:sz w:val="28"/>
          <w:szCs w:val="28"/>
          <w:lang w:eastAsia="zh-CN"/>
        </w:rPr>
        <w:t>规划</w:t>
      </w:r>
      <w:r>
        <w:rPr>
          <w:rFonts w:hint="eastAsia" w:ascii="黑体" w:hAnsi="黑体" w:eastAsia="黑体" w:cs="黑体"/>
          <w:b w:val="0"/>
          <w:bCs w:val="0"/>
          <w:color w:val="000000"/>
          <w:kern w:val="2"/>
          <w:sz w:val="28"/>
          <w:szCs w:val="28"/>
        </w:rPr>
        <w:t>主要指标</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2"/>
        <w:gridCol w:w="3641"/>
        <w:gridCol w:w="1067"/>
        <w:gridCol w:w="1200"/>
        <w:gridCol w:w="827"/>
        <w:gridCol w:w="10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1" w:hRule="atLeast"/>
          <w:jc w:val="center"/>
        </w:trPr>
        <w:tc>
          <w:tcPr>
            <w:tcW w:w="712" w:type="dxa"/>
            <w:noWrap w:val="0"/>
            <w:tcMar>
              <w:left w:w="84" w:type="dxa"/>
              <w:right w:w="84" w:type="dxa"/>
            </w:tcMar>
            <w:vAlign w:val="center"/>
          </w:tcPr>
          <w:p>
            <w:pPr>
              <w:pStyle w:val="10"/>
              <w:keepNext w:val="0"/>
              <w:keepLines w:val="0"/>
              <w:pageBreakBefore w:val="0"/>
              <w:widowControl/>
              <w:kinsoku/>
              <w:wordWrap w:val="0"/>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b/>
                <w:bCs/>
                <w:color w:val="000000"/>
                <w:kern w:val="2"/>
                <w:sz w:val="21"/>
                <w:szCs w:val="21"/>
                <w:lang w:eastAsia="zh-CN"/>
              </w:rPr>
            </w:pPr>
            <w:bookmarkStart w:id="8" w:name="_Toc27020"/>
            <w:bookmarkStart w:id="9" w:name="_Toc6955"/>
            <w:r>
              <w:rPr>
                <w:rFonts w:hint="eastAsia" w:ascii="宋体" w:hAnsi="宋体" w:eastAsia="宋体" w:cs="宋体"/>
                <w:b/>
                <w:bCs/>
                <w:color w:val="000000"/>
                <w:kern w:val="2"/>
                <w:sz w:val="21"/>
                <w:szCs w:val="21"/>
                <w:lang w:eastAsia="zh-CN"/>
              </w:rPr>
              <w:t>类别</w:t>
            </w:r>
          </w:p>
        </w:tc>
        <w:tc>
          <w:tcPr>
            <w:tcW w:w="3641" w:type="dxa"/>
            <w:noWrap w:val="0"/>
            <w:tcMar>
              <w:left w:w="84" w:type="dxa"/>
              <w:right w:w="84" w:type="dxa"/>
            </w:tcMar>
            <w:vAlign w:val="center"/>
          </w:tcPr>
          <w:p>
            <w:pPr>
              <w:pStyle w:val="10"/>
              <w:keepNext w:val="0"/>
              <w:keepLines w:val="0"/>
              <w:pageBreakBefore w:val="0"/>
              <w:widowControl/>
              <w:kinsoku/>
              <w:overflowPunct/>
              <w:topLinePunct w:val="0"/>
              <w:autoSpaceDE/>
              <w:autoSpaceDN/>
              <w:bidi w:val="0"/>
              <w:adjustRightInd/>
              <w:snapToGrid/>
              <w:spacing w:line="360" w:lineRule="exact"/>
              <w:ind w:left="0" w:leftChars="0" w:firstLine="1054" w:firstLineChars="500"/>
              <w:jc w:val="left"/>
              <w:textAlignment w:val="auto"/>
              <w:outlineLvl w:val="9"/>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rPr>
              <w:t>指标构成</w:t>
            </w:r>
          </w:p>
        </w:tc>
        <w:tc>
          <w:tcPr>
            <w:tcW w:w="1067" w:type="dxa"/>
            <w:noWrap w:val="0"/>
            <w:tcMar>
              <w:left w:w="84" w:type="dxa"/>
              <w:right w:w="84" w:type="dxa"/>
            </w:tcMar>
            <w:vAlign w:val="center"/>
          </w:tcPr>
          <w:p>
            <w:pPr>
              <w:pStyle w:val="10"/>
              <w:keepNext w:val="0"/>
              <w:keepLines w:val="0"/>
              <w:pageBreakBefore w:val="0"/>
              <w:widowControl/>
              <w:kinsoku/>
              <w:wordWrap w:val="0"/>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lang w:val="en-US" w:eastAsia="zh-CN"/>
              </w:rPr>
              <w:t>2020年</w:t>
            </w:r>
          </w:p>
        </w:tc>
        <w:tc>
          <w:tcPr>
            <w:tcW w:w="1200" w:type="dxa"/>
            <w:noWrap w:val="0"/>
            <w:tcMar>
              <w:left w:w="84" w:type="dxa"/>
              <w:right w:w="84" w:type="dxa"/>
            </w:tcMar>
            <w:vAlign w:val="center"/>
          </w:tcPr>
          <w:p>
            <w:pPr>
              <w:pStyle w:val="10"/>
              <w:keepNext w:val="0"/>
              <w:keepLines w:val="0"/>
              <w:pageBreakBefore w:val="0"/>
              <w:widowControl/>
              <w:kinsoku/>
              <w:wordWrap w:val="0"/>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b/>
                <w:bCs/>
                <w:color w:val="000000"/>
                <w:kern w:val="2"/>
                <w:sz w:val="21"/>
                <w:szCs w:val="21"/>
                <w:lang w:val="en-US" w:eastAsia="zh-CN" w:bidi="ar-SA"/>
              </w:rPr>
            </w:pPr>
            <w:r>
              <w:rPr>
                <w:rFonts w:hint="eastAsia" w:ascii="宋体" w:hAnsi="宋体" w:eastAsia="宋体" w:cs="宋体"/>
                <w:b/>
                <w:bCs/>
                <w:color w:val="000000"/>
                <w:kern w:val="2"/>
                <w:sz w:val="21"/>
                <w:szCs w:val="21"/>
              </w:rPr>
              <w:t>2025年</w:t>
            </w:r>
          </w:p>
        </w:tc>
        <w:tc>
          <w:tcPr>
            <w:tcW w:w="827" w:type="dxa"/>
            <w:noWrap w:val="0"/>
            <w:tcMar>
              <w:left w:w="84" w:type="dxa"/>
              <w:right w:w="84" w:type="dxa"/>
            </w:tcMar>
            <w:vAlign w:val="center"/>
          </w:tcPr>
          <w:p>
            <w:pPr>
              <w:pStyle w:val="10"/>
              <w:keepNext w:val="0"/>
              <w:keepLines w:val="0"/>
              <w:pageBreakBefore w:val="0"/>
              <w:widowControl/>
              <w:kinsoku/>
              <w:wordWrap w:val="0"/>
              <w:overflowPunct/>
              <w:topLinePunct w:val="0"/>
              <w:autoSpaceDE/>
              <w:autoSpaceDN/>
              <w:bidi w:val="0"/>
              <w:adjustRightInd/>
              <w:snapToGrid/>
              <w:spacing w:line="300" w:lineRule="exact"/>
              <w:ind w:left="0" w:leftChars="0"/>
              <w:jc w:val="center"/>
              <w:textAlignment w:val="auto"/>
              <w:outlineLvl w:val="9"/>
              <w:rPr>
                <w:rFonts w:hint="default" w:ascii="宋体" w:hAnsi="宋体" w:eastAsia="宋体" w:cs="宋体"/>
                <w:b/>
                <w:bCs/>
                <w:color w:val="000000"/>
                <w:kern w:val="2"/>
                <w:sz w:val="21"/>
                <w:szCs w:val="21"/>
                <w:lang w:val="en-US" w:eastAsia="zh-CN"/>
              </w:rPr>
            </w:pPr>
            <w:r>
              <w:rPr>
                <w:rFonts w:hint="eastAsia" w:ascii="宋体" w:hAnsi="宋体" w:eastAsia="宋体" w:cs="宋体"/>
                <w:b/>
                <w:bCs/>
                <w:color w:val="000000"/>
                <w:kern w:val="2"/>
                <w:sz w:val="21"/>
                <w:szCs w:val="21"/>
                <w:lang w:eastAsia="zh-CN"/>
              </w:rPr>
              <w:t>年均增长</w:t>
            </w:r>
            <w:r>
              <w:rPr>
                <w:rFonts w:hint="eastAsia" w:ascii="宋体" w:hAnsi="宋体" w:eastAsia="宋体" w:cs="宋体"/>
                <w:b/>
                <w:bCs/>
                <w:color w:val="000000"/>
                <w:kern w:val="2"/>
                <w:sz w:val="21"/>
                <w:szCs w:val="21"/>
                <w:lang w:val="en-US" w:eastAsia="zh-CN"/>
              </w:rPr>
              <w:t>%</w:t>
            </w:r>
          </w:p>
        </w:tc>
        <w:tc>
          <w:tcPr>
            <w:tcW w:w="1011" w:type="dxa"/>
            <w:noWrap w:val="0"/>
            <w:tcMar>
              <w:left w:w="84" w:type="dxa"/>
              <w:right w:w="84" w:type="dxa"/>
            </w:tcMar>
            <w:vAlign w:val="center"/>
          </w:tcPr>
          <w:p>
            <w:pPr>
              <w:pStyle w:val="10"/>
              <w:keepNext w:val="0"/>
              <w:keepLines w:val="0"/>
              <w:pageBreakBefore w:val="0"/>
              <w:widowControl/>
              <w:kinsoku/>
              <w:wordWrap w:val="0"/>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b/>
                <w:bCs/>
                <w:color w:val="000000"/>
                <w:kern w:val="2"/>
                <w:sz w:val="21"/>
                <w:szCs w:val="21"/>
                <w:lang w:eastAsia="zh-CN"/>
              </w:rPr>
            </w:pPr>
            <w:r>
              <w:rPr>
                <w:rFonts w:hint="eastAsia" w:ascii="宋体" w:hAnsi="宋体" w:eastAsia="宋体" w:cs="宋体"/>
                <w:b/>
                <w:bCs/>
                <w:color w:val="000000"/>
                <w:kern w:val="2"/>
                <w:sz w:val="21"/>
                <w:szCs w:val="21"/>
                <w:lang w:eastAsia="zh-CN"/>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8" w:hRule="atLeast"/>
          <w:jc w:val="center"/>
        </w:trPr>
        <w:tc>
          <w:tcPr>
            <w:tcW w:w="712" w:type="dxa"/>
            <w:vMerge w:val="restart"/>
            <w:noWrap w:val="0"/>
            <w:tcMar>
              <w:left w:w="84" w:type="dxa"/>
              <w:right w:w="84" w:type="dxa"/>
            </w:tcMar>
            <w:vAlign w:val="center"/>
          </w:tcPr>
          <w:p>
            <w:pPr>
              <w:pStyle w:val="10"/>
              <w:keepNext w:val="0"/>
              <w:keepLines w:val="0"/>
              <w:pageBreakBefore w:val="0"/>
              <w:widowControl/>
              <w:kinsoku/>
              <w:wordWrap w:val="0"/>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color w:val="000000"/>
                <w:kern w:val="2"/>
                <w:sz w:val="21"/>
                <w:szCs w:val="21"/>
              </w:rPr>
            </w:pPr>
          </w:p>
          <w:p>
            <w:pPr>
              <w:pStyle w:val="10"/>
              <w:keepNext w:val="0"/>
              <w:keepLines w:val="0"/>
              <w:pageBreakBefore w:val="0"/>
              <w:widowControl/>
              <w:kinsoku/>
              <w:wordWrap w:val="0"/>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总</w:t>
            </w:r>
            <w:r>
              <w:rPr>
                <w:rFonts w:hint="eastAsia" w:ascii="宋体" w:hAnsi="宋体" w:eastAsia="宋体" w:cs="宋体"/>
                <w:color w:val="000000"/>
                <w:kern w:val="2"/>
                <w:sz w:val="21"/>
                <w:szCs w:val="21"/>
                <w:lang w:val="en-US" w:eastAsia="zh-CN"/>
              </w:rPr>
              <w:t xml:space="preserve"> </w:t>
            </w:r>
            <w:r>
              <w:rPr>
                <w:rFonts w:hint="eastAsia" w:ascii="宋体" w:hAnsi="宋体" w:eastAsia="宋体" w:cs="宋体"/>
                <w:color w:val="000000"/>
                <w:kern w:val="2"/>
                <w:sz w:val="21"/>
                <w:szCs w:val="21"/>
              </w:rPr>
              <w:t>量</w:t>
            </w:r>
          </w:p>
          <w:p>
            <w:pPr>
              <w:pStyle w:val="10"/>
              <w:keepNext w:val="0"/>
              <w:keepLines w:val="0"/>
              <w:pageBreakBefore w:val="0"/>
              <w:widowControl/>
              <w:kinsoku/>
              <w:wordWrap w:val="0"/>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rPr>
              <w:t>目</w:t>
            </w:r>
            <w:r>
              <w:rPr>
                <w:rFonts w:hint="eastAsia" w:ascii="宋体" w:hAnsi="宋体" w:eastAsia="宋体" w:cs="宋体"/>
                <w:color w:val="000000"/>
                <w:kern w:val="2"/>
                <w:sz w:val="21"/>
                <w:szCs w:val="21"/>
                <w:lang w:val="en-US" w:eastAsia="zh-CN"/>
              </w:rPr>
              <w:t xml:space="preserve"> </w:t>
            </w:r>
            <w:r>
              <w:rPr>
                <w:rFonts w:hint="eastAsia" w:ascii="宋体" w:hAnsi="宋体" w:eastAsia="宋体" w:cs="宋体"/>
                <w:color w:val="000000"/>
                <w:kern w:val="2"/>
                <w:sz w:val="21"/>
                <w:szCs w:val="21"/>
              </w:rPr>
              <w:t>标</w:t>
            </w:r>
          </w:p>
        </w:tc>
        <w:tc>
          <w:tcPr>
            <w:tcW w:w="3641" w:type="dxa"/>
            <w:noWrap w:val="0"/>
            <w:tcMar>
              <w:left w:w="84" w:type="dxa"/>
              <w:right w:w="84" w:type="dxa"/>
            </w:tcMar>
            <w:vAlign w:val="center"/>
          </w:tcPr>
          <w:p>
            <w:pPr>
              <w:pStyle w:val="10"/>
              <w:keepNext w:val="0"/>
              <w:keepLines w:val="0"/>
              <w:pageBreakBefore w:val="0"/>
              <w:widowControl/>
              <w:kinsoku/>
              <w:wordWrap w:val="0"/>
              <w:overflowPunct/>
              <w:topLinePunct w:val="0"/>
              <w:autoSpaceDE/>
              <w:autoSpaceDN/>
              <w:bidi w:val="0"/>
              <w:adjustRightInd/>
              <w:snapToGrid/>
              <w:spacing w:line="360" w:lineRule="exact"/>
              <w:ind w:left="0" w:leftChars="0"/>
              <w:jc w:val="both"/>
              <w:textAlignment w:val="auto"/>
              <w:outlineLvl w:val="9"/>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1.社会物流总额（亿元）</w:t>
            </w:r>
          </w:p>
        </w:tc>
        <w:tc>
          <w:tcPr>
            <w:tcW w:w="1067" w:type="dxa"/>
            <w:noWrap w:val="0"/>
            <w:tcMar>
              <w:left w:w="84" w:type="dxa"/>
              <w:right w:w="84" w:type="dxa"/>
            </w:tcMar>
            <w:vAlign w:val="center"/>
          </w:tcPr>
          <w:p>
            <w:pPr>
              <w:pStyle w:val="10"/>
              <w:keepNext w:val="0"/>
              <w:keepLines w:val="0"/>
              <w:pageBreakBefore w:val="0"/>
              <w:widowControl/>
              <w:kinsoku/>
              <w:wordWrap w:val="0"/>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50266</w:t>
            </w:r>
          </w:p>
        </w:tc>
        <w:tc>
          <w:tcPr>
            <w:tcW w:w="1200" w:type="dxa"/>
            <w:noWrap w:val="0"/>
            <w:tcMar>
              <w:left w:w="84" w:type="dxa"/>
              <w:right w:w="84" w:type="dxa"/>
            </w:tcMar>
            <w:vAlign w:val="center"/>
          </w:tcPr>
          <w:p>
            <w:pPr>
              <w:pStyle w:val="10"/>
              <w:keepNext w:val="0"/>
              <w:keepLines w:val="0"/>
              <w:pageBreakBefore w:val="0"/>
              <w:widowControl/>
              <w:kinsoku/>
              <w:wordWrap w:val="0"/>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7</w:t>
            </w:r>
            <w:r>
              <w:rPr>
                <w:rFonts w:hint="eastAsia" w:ascii="宋体" w:hAnsi="宋体" w:cs="宋体"/>
                <w:color w:val="000000"/>
                <w:kern w:val="2"/>
                <w:sz w:val="21"/>
                <w:szCs w:val="21"/>
                <w:lang w:val="en-US" w:eastAsia="zh-CN"/>
              </w:rPr>
              <w:t>77</w:t>
            </w:r>
            <w:r>
              <w:rPr>
                <w:rFonts w:hint="eastAsia" w:ascii="宋体" w:hAnsi="宋体" w:eastAsia="宋体" w:cs="宋体"/>
                <w:color w:val="000000"/>
                <w:kern w:val="2"/>
                <w:sz w:val="21"/>
                <w:szCs w:val="21"/>
                <w:lang w:val="en-US" w:eastAsia="zh-CN"/>
              </w:rPr>
              <w:t>00</w:t>
            </w:r>
          </w:p>
        </w:tc>
        <w:tc>
          <w:tcPr>
            <w:tcW w:w="827" w:type="dxa"/>
            <w:noWrap w:val="0"/>
            <w:tcMar>
              <w:left w:w="84" w:type="dxa"/>
              <w:right w:w="84" w:type="dxa"/>
            </w:tcMar>
            <w:vAlign w:val="center"/>
          </w:tcPr>
          <w:p>
            <w:pPr>
              <w:pStyle w:val="10"/>
              <w:keepNext w:val="0"/>
              <w:keepLines w:val="0"/>
              <w:pageBreakBefore w:val="0"/>
              <w:widowControl/>
              <w:kinsoku/>
              <w:wordWrap w:val="0"/>
              <w:overflowPunct/>
              <w:topLinePunct w:val="0"/>
              <w:autoSpaceDE/>
              <w:autoSpaceDN/>
              <w:bidi w:val="0"/>
              <w:adjustRightInd/>
              <w:snapToGrid/>
              <w:spacing w:line="360" w:lineRule="exact"/>
              <w:ind w:left="0" w:leftChars="0"/>
              <w:jc w:val="center"/>
              <w:textAlignment w:val="auto"/>
              <w:outlineLvl w:val="9"/>
              <w:rPr>
                <w:rFonts w:hint="default" w:ascii="宋体" w:hAnsi="宋体" w:eastAsia="宋体" w:cs="宋体"/>
                <w:color w:val="000000"/>
                <w:kern w:val="2"/>
                <w:sz w:val="21"/>
                <w:szCs w:val="21"/>
                <w:lang w:val="en-US" w:eastAsia="zh-CN"/>
              </w:rPr>
            </w:pPr>
            <w:r>
              <w:rPr>
                <w:rFonts w:hint="eastAsia" w:ascii="宋体" w:hAnsi="宋体" w:cs="宋体"/>
                <w:color w:val="000000"/>
                <w:kern w:val="2"/>
                <w:sz w:val="21"/>
                <w:szCs w:val="21"/>
                <w:lang w:val="en-US" w:eastAsia="zh-CN"/>
              </w:rPr>
              <w:t>9.1</w:t>
            </w:r>
          </w:p>
        </w:tc>
        <w:tc>
          <w:tcPr>
            <w:tcW w:w="1011" w:type="dxa"/>
            <w:noWrap w:val="0"/>
            <w:tcMar>
              <w:left w:w="84" w:type="dxa"/>
              <w:right w:w="84" w:type="dxa"/>
            </w:tcMar>
            <w:vAlign w:val="center"/>
          </w:tcPr>
          <w:p>
            <w:pPr>
              <w:pStyle w:val="10"/>
              <w:keepNext w:val="0"/>
              <w:keepLines w:val="0"/>
              <w:pageBreakBefore w:val="0"/>
              <w:widowControl/>
              <w:kinsoku/>
              <w:wordWrap w:val="0"/>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color w:val="000000"/>
                <w:kern w:val="2"/>
                <w:sz w:val="21"/>
                <w:szCs w:val="21"/>
                <w:lang w:val="en-US" w:eastAsia="zh-CN"/>
              </w:rPr>
            </w:pPr>
            <w:r>
              <w:rPr>
                <w:rFonts w:hint="eastAsia" w:ascii="宋体" w:hAnsi="宋体" w:cs="宋体"/>
                <w:color w:val="000000"/>
                <w:kern w:val="2"/>
                <w:sz w:val="21"/>
                <w:szCs w:val="21"/>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8" w:hRule="atLeast"/>
          <w:jc w:val="center"/>
        </w:trPr>
        <w:tc>
          <w:tcPr>
            <w:tcW w:w="712" w:type="dxa"/>
            <w:vMerge w:val="continue"/>
            <w:noWrap w:val="0"/>
            <w:tcMar>
              <w:left w:w="84" w:type="dxa"/>
              <w:right w:w="84" w:type="dxa"/>
            </w:tcMar>
            <w:vAlign w:val="center"/>
          </w:tcPr>
          <w:p>
            <w:pPr>
              <w:keepNext w:val="0"/>
              <w:keepLines w:val="0"/>
              <w:pageBreakBefore w:val="0"/>
              <w:kinsoku/>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color w:val="000000"/>
                <w:sz w:val="21"/>
                <w:szCs w:val="21"/>
              </w:rPr>
            </w:pPr>
          </w:p>
        </w:tc>
        <w:tc>
          <w:tcPr>
            <w:tcW w:w="3641" w:type="dxa"/>
            <w:noWrap w:val="0"/>
            <w:tcMar>
              <w:left w:w="84" w:type="dxa"/>
              <w:right w:w="84" w:type="dxa"/>
            </w:tcMar>
            <w:vAlign w:val="center"/>
          </w:tcPr>
          <w:p>
            <w:pPr>
              <w:pStyle w:val="10"/>
              <w:keepNext w:val="0"/>
              <w:keepLines w:val="0"/>
              <w:pageBreakBefore w:val="0"/>
              <w:widowControl/>
              <w:kinsoku/>
              <w:wordWrap w:val="0"/>
              <w:overflowPunct/>
              <w:topLinePunct w:val="0"/>
              <w:autoSpaceDE/>
              <w:autoSpaceDN/>
              <w:bidi w:val="0"/>
              <w:adjustRightInd/>
              <w:snapToGrid/>
              <w:spacing w:line="360" w:lineRule="exact"/>
              <w:ind w:left="0" w:leftChars="0"/>
              <w:jc w:val="both"/>
              <w:textAlignment w:val="auto"/>
              <w:outlineLvl w:val="9"/>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2.社会物流总费用（亿元）</w:t>
            </w:r>
          </w:p>
        </w:tc>
        <w:tc>
          <w:tcPr>
            <w:tcW w:w="1067" w:type="dxa"/>
            <w:noWrap w:val="0"/>
            <w:tcMar>
              <w:left w:w="84" w:type="dxa"/>
              <w:right w:w="84" w:type="dxa"/>
            </w:tcMar>
            <w:vAlign w:val="center"/>
          </w:tcPr>
          <w:p>
            <w:pPr>
              <w:pStyle w:val="10"/>
              <w:keepNext w:val="0"/>
              <w:keepLines w:val="0"/>
              <w:pageBreakBefore w:val="0"/>
              <w:widowControl/>
              <w:kinsoku/>
              <w:wordWrap w:val="0"/>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3384.2</w:t>
            </w:r>
          </w:p>
        </w:tc>
        <w:tc>
          <w:tcPr>
            <w:tcW w:w="1200" w:type="dxa"/>
            <w:noWrap w:val="0"/>
            <w:tcMar>
              <w:left w:w="84" w:type="dxa"/>
              <w:right w:w="84" w:type="dxa"/>
            </w:tcMar>
            <w:vAlign w:val="center"/>
          </w:tcPr>
          <w:p>
            <w:pPr>
              <w:pStyle w:val="10"/>
              <w:keepNext w:val="0"/>
              <w:keepLines w:val="0"/>
              <w:pageBreakBefore w:val="0"/>
              <w:widowControl/>
              <w:kinsoku/>
              <w:wordWrap w:val="0"/>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4</w:t>
            </w:r>
            <w:r>
              <w:rPr>
                <w:rFonts w:hint="eastAsia" w:ascii="宋体" w:hAnsi="宋体" w:cs="宋体"/>
                <w:color w:val="000000"/>
                <w:kern w:val="2"/>
                <w:sz w:val="21"/>
                <w:szCs w:val="21"/>
                <w:lang w:val="en-US" w:eastAsia="zh-CN"/>
              </w:rPr>
              <w:t>5</w:t>
            </w:r>
            <w:r>
              <w:rPr>
                <w:rFonts w:hint="eastAsia" w:ascii="宋体" w:hAnsi="宋体" w:eastAsia="宋体" w:cs="宋体"/>
                <w:color w:val="000000"/>
                <w:kern w:val="2"/>
                <w:sz w:val="21"/>
                <w:szCs w:val="21"/>
                <w:lang w:val="en-US" w:eastAsia="zh-CN"/>
              </w:rPr>
              <w:t>00</w:t>
            </w:r>
          </w:p>
        </w:tc>
        <w:tc>
          <w:tcPr>
            <w:tcW w:w="827" w:type="dxa"/>
            <w:noWrap w:val="0"/>
            <w:tcMar>
              <w:left w:w="84" w:type="dxa"/>
              <w:right w:w="84" w:type="dxa"/>
            </w:tcMar>
            <w:vAlign w:val="center"/>
          </w:tcPr>
          <w:p>
            <w:pPr>
              <w:pStyle w:val="10"/>
              <w:keepNext w:val="0"/>
              <w:keepLines w:val="0"/>
              <w:pageBreakBefore w:val="0"/>
              <w:widowControl/>
              <w:kinsoku/>
              <w:wordWrap w:val="0"/>
              <w:overflowPunct/>
              <w:topLinePunct w:val="0"/>
              <w:autoSpaceDE/>
              <w:autoSpaceDN/>
              <w:bidi w:val="0"/>
              <w:adjustRightInd/>
              <w:snapToGrid/>
              <w:spacing w:line="360" w:lineRule="exact"/>
              <w:ind w:left="0" w:leftChars="0"/>
              <w:jc w:val="center"/>
              <w:textAlignment w:val="auto"/>
              <w:outlineLvl w:val="9"/>
              <w:rPr>
                <w:rFonts w:hint="default" w:ascii="宋体" w:hAnsi="宋体" w:eastAsia="宋体" w:cs="宋体"/>
                <w:color w:val="000000"/>
                <w:kern w:val="2"/>
                <w:sz w:val="21"/>
                <w:szCs w:val="21"/>
                <w:lang w:val="en-US" w:eastAsia="zh-CN"/>
              </w:rPr>
            </w:pPr>
            <w:r>
              <w:rPr>
                <w:rFonts w:hint="eastAsia" w:ascii="宋体" w:hAnsi="宋体" w:cs="宋体"/>
                <w:color w:val="000000"/>
                <w:kern w:val="2"/>
                <w:sz w:val="21"/>
                <w:szCs w:val="21"/>
                <w:lang w:val="en-US" w:eastAsia="zh-CN"/>
              </w:rPr>
              <w:t>6.7</w:t>
            </w:r>
          </w:p>
        </w:tc>
        <w:tc>
          <w:tcPr>
            <w:tcW w:w="1011" w:type="dxa"/>
            <w:noWrap w:val="0"/>
            <w:tcMar>
              <w:left w:w="84" w:type="dxa"/>
              <w:right w:w="84"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color w:val="000000"/>
                <w:kern w:val="2"/>
                <w:sz w:val="21"/>
                <w:szCs w:val="21"/>
                <w:lang w:val="en-US" w:eastAsia="zh-CN"/>
              </w:rPr>
            </w:pPr>
            <w:r>
              <w:rPr>
                <w:rFonts w:hint="eastAsia" w:ascii="宋体" w:hAnsi="宋体" w:cs="宋体"/>
                <w:color w:val="000000"/>
                <w:kern w:val="2"/>
                <w:sz w:val="21"/>
                <w:szCs w:val="21"/>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8" w:hRule="atLeast"/>
          <w:jc w:val="center"/>
        </w:trPr>
        <w:tc>
          <w:tcPr>
            <w:tcW w:w="712" w:type="dxa"/>
            <w:vMerge w:val="continue"/>
            <w:noWrap w:val="0"/>
            <w:tcMar>
              <w:left w:w="84" w:type="dxa"/>
              <w:right w:w="84" w:type="dxa"/>
            </w:tcMar>
            <w:vAlign w:val="center"/>
          </w:tcPr>
          <w:p>
            <w:pPr>
              <w:keepNext w:val="0"/>
              <w:keepLines w:val="0"/>
              <w:pageBreakBefore w:val="0"/>
              <w:kinsoku/>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color w:val="000000"/>
                <w:sz w:val="21"/>
                <w:szCs w:val="21"/>
              </w:rPr>
            </w:pPr>
          </w:p>
        </w:tc>
        <w:tc>
          <w:tcPr>
            <w:tcW w:w="3641" w:type="dxa"/>
            <w:noWrap w:val="0"/>
            <w:tcMar>
              <w:left w:w="84" w:type="dxa"/>
              <w:right w:w="84" w:type="dxa"/>
            </w:tcMar>
            <w:vAlign w:val="center"/>
          </w:tcPr>
          <w:p>
            <w:pPr>
              <w:pStyle w:val="10"/>
              <w:keepNext w:val="0"/>
              <w:keepLines w:val="0"/>
              <w:pageBreakBefore w:val="0"/>
              <w:widowControl/>
              <w:kinsoku/>
              <w:wordWrap w:val="0"/>
              <w:overflowPunct/>
              <w:topLinePunct w:val="0"/>
              <w:autoSpaceDE/>
              <w:autoSpaceDN/>
              <w:bidi w:val="0"/>
              <w:adjustRightInd/>
              <w:snapToGrid/>
              <w:spacing w:line="360" w:lineRule="exact"/>
              <w:ind w:left="0" w:leftChars="0"/>
              <w:jc w:val="both"/>
              <w:textAlignment w:val="auto"/>
              <w:outlineLvl w:val="9"/>
              <w:rPr>
                <w:rFonts w:hint="eastAsia" w:ascii="宋体" w:hAnsi="宋体" w:eastAsia="宋体" w:cs="宋体"/>
                <w:b w:val="0"/>
                <w:bCs w:val="0"/>
                <w:color w:val="auto"/>
                <w:kern w:val="2"/>
                <w:sz w:val="21"/>
                <w:szCs w:val="21"/>
                <w:highlight w:val="none"/>
                <w:shd w:val="clear" w:color="auto" w:fill="auto"/>
                <w:lang w:val="en-US" w:eastAsia="zh-CN"/>
              </w:rPr>
            </w:pPr>
            <w:r>
              <w:rPr>
                <w:rFonts w:hint="eastAsia" w:ascii="宋体" w:hAnsi="宋体" w:eastAsia="宋体" w:cs="宋体"/>
                <w:b w:val="0"/>
                <w:bCs w:val="0"/>
                <w:color w:val="auto"/>
                <w:kern w:val="2"/>
                <w:sz w:val="21"/>
                <w:szCs w:val="21"/>
                <w:highlight w:val="none"/>
                <w:shd w:val="clear" w:color="auto" w:fill="auto"/>
              </w:rPr>
              <w:t>3.社会物流总费用占GDP比率</w:t>
            </w:r>
            <w:r>
              <w:rPr>
                <w:rFonts w:hint="eastAsia" w:ascii="宋体" w:hAnsi="宋体" w:cs="宋体"/>
                <w:b w:val="0"/>
                <w:bCs w:val="0"/>
                <w:color w:val="auto"/>
                <w:kern w:val="2"/>
                <w:sz w:val="21"/>
                <w:szCs w:val="21"/>
                <w:highlight w:val="none"/>
                <w:shd w:val="clear" w:color="auto" w:fill="auto"/>
                <w:lang w:eastAsia="zh-CN"/>
              </w:rPr>
              <w:t>（</w:t>
            </w:r>
            <w:r>
              <w:rPr>
                <w:rFonts w:hint="eastAsia" w:ascii="宋体" w:hAnsi="宋体" w:cs="宋体"/>
                <w:b w:val="0"/>
                <w:bCs w:val="0"/>
                <w:color w:val="auto"/>
                <w:kern w:val="2"/>
                <w:sz w:val="21"/>
                <w:szCs w:val="21"/>
                <w:highlight w:val="none"/>
                <w:shd w:val="clear" w:color="auto" w:fill="auto"/>
                <w:lang w:val="en-US" w:eastAsia="zh-CN"/>
              </w:rPr>
              <w:t>%</w:t>
            </w:r>
            <w:r>
              <w:rPr>
                <w:rFonts w:hint="eastAsia" w:ascii="宋体" w:hAnsi="宋体" w:cs="宋体"/>
                <w:b w:val="0"/>
                <w:bCs w:val="0"/>
                <w:color w:val="auto"/>
                <w:kern w:val="2"/>
                <w:sz w:val="21"/>
                <w:szCs w:val="21"/>
                <w:highlight w:val="none"/>
                <w:shd w:val="clear" w:color="auto" w:fill="auto"/>
                <w:lang w:eastAsia="zh-CN"/>
              </w:rPr>
              <w:t>）</w:t>
            </w:r>
          </w:p>
        </w:tc>
        <w:tc>
          <w:tcPr>
            <w:tcW w:w="1067" w:type="dxa"/>
            <w:noWrap w:val="0"/>
            <w:tcMar>
              <w:left w:w="84" w:type="dxa"/>
              <w:right w:w="84" w:type="dxa"/>
            </w:tcMar>
            <w:vAlign w:val="center"/>
          </w:tcPr>
          <w:p>
            <w:pPr>
              <w:pStyle w:val="10"/>
              <w:keepNext w:val="0"/>
              <w:keepLines w:val="0"/>
              <w:pageBreakBefore w:val="0"/>
              <w:widowControl/>
              <w:kinsoku/>
              <w:wordWrap w:val="0"/>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b w:val="0"/>
                <w:bCs w:val="0"/>
                <w:color w:val="auto"/>
                <w:kern w:val="2"/>
                <w:sz w:val="21"/>
                <w:szCs w:val="21"/>
                <w:highlight w:val="none"/>
                <w:shd w:val="clear" w:color="auto" w:fill="auto"/>
                <w:lang w:val="en-US" w:eastAsia="zh-CN"/>
              </w:rPr>
            </w:pPr>
            <w:r>
              <w:rPr>
                <w:rFonts w:hint="eastAsia" w:ascii="宋体" w:hAnsi="宋体" w:eastAsia="宋体" w:cs="宋体"/>
                <w:b w:val="0"/>
                <w:bCs w:val="0"/>
                <w:i w:val="0"/>
                <w:iCs w:val="0"/>
                <w:color w:val="auto"/>
                <w:kern w:val="2"/>
                <w:sz w:val="21"/>
                <w:szCs w:val="21"/>
                <w:highlight w:val="none"/>
                <w:shd w:val="clear" w:color="auto" w:fill="auto"/>
                <w:lang w:val="en-US" w:eastAsia="zh-CN"/>
              </w:rPr>
              <w:t>12.9</w:t>
            </w:r>
          </w:p>
        </w:tc>
        <w:tc>
          <w:tcPr>
            <w:tcW w:w="1200" w:type="dxa"/>
            <w:noWrap w:val="0"/>
            <w:tcMar>
              <w:left w:w="84" w:type="dxa"/>
              <w:right w:w="84" w:type="dxa"/>
            </w:tcMar>
            <w:vAlign w:val="center"/>
          </w:tcPr>
          <w:p>
            <w:pPr>
              <w:pStyle w:val="10"/>
              <w:keepNext w:val="0"/>
              <w:keepLines w:val="0"/>
              <w:pageBreakBefore w:val="0"/>
              <w:widowControl/>
              <w:kinsoku/>
              <w:wordWrap w:val="0"/>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b w:val="0"/>
                <w:bCs w:val="0"/>
                <w:color w:val="auto"/>
                <w:kern w:val="2"/>
                <w:sz w:val="21"/>
                <w:szCs w:val="21"/>
                <w:highlight w:val="none"/>
                <w:shd w:val="clear" w:color="auto" w:fill="auto"/>
                <w:lang w:val="en-US" w:eastAsia="zh-CN"/>
              </w:rPr>
            </w:pPr>
            <w:r>
              <w:rPr>
                <w:rFonts w:hint="eastAsia" w:ascii="宋体" w:hAnsi="宋体" w:eastAsia="宋体" w:cs="宋体"/>
                <w:b w:val="0"/>
                <w:bCs w:val="0"/>
                <w:color w:val="auto"/>
                <w:kern w:val="2"/>
                <w:sz w:val="21"/>
                <w:szCs w:val="21"/>
                <w:highlight w:val="none"/>
                <w:shd w:val="clear" w:color="auto" w:fill="auto"/>
                <w:lang w:val="en-US" w:eastAsia="zh-CN"/>
              </w:rPr>
              <w:t>1</w:t>
            </w:r>
            <w:r>
              <w:rPr>
                <w:rFonts w:hint="eastAsia" w:ascii="宋体" w:hAnsi="宋体" w:cs="宋体"/>
                <w:b w:val="0"/>
                <w:bCs w:val="0"/>
                <w:color w:val="auto"/>
                <w:kern w:val="2"/>
                <w:sz w:val="21"/>
                <w:szCs w:val="21"/>
                <w:highlight w:val="none"/>
                <w:shd w:val="clear" w:color="auto" w:fill="auto"/>
                <w:lang w:val="en-US" w:eastAsia="zh-CN"/>
              </w:rPr>
              <w:t>2</w:t>
            </w:r>
            <w:r>
              <w:rPr>
                <w:rFonts w:hint="eastAsia" w:ascii="宋体" w:hAnsi="宋体" w:eastAsia="宋体" w:cs="宋体"/>
                <w:b w:val="0"/>
                <w:bCs w:val="0"/>
                <w:color w:val="auto"/>
                <w:kern w:val="2"/>
                <w:sz w:val="21"/>
                <w:szCs w:val="21"/>
                <w:highlight w:val="none"/>
                <w:shd w:val="clear" w:color="auto" w:fill="auto"/>
                <w:lang w:val="en-US" w:eastAsia="zh-CN"/>
              </w:rPr>
              <w:t>.5</w:t>
            </w:r>
          </w:p>
        </w:tc>
        <w:tc>
          <w:tcPr>
            <w:tcW w:w="827" w:type="dxa"/>
            <w:noWrap w:val="0"/>
            <w:tcMar>
              <w:left w:w="84" w:type="dxa"/>
              <w:right w:w="84" w:type="dxa"/>
            </w:tcMar>
            <w:vAlign w:val="center"/>
          </w:tcPr>
          <w:p>
            <w:pPr>
              <w:pStyle w:val="10"/>
              <w:keepNext w:val="0"/>
              <w:keepLines w:val="0"/>
              <w:pageBreakBefore w:val="0"/>
              <w:widowControl/>
              <w:kinsoku/>
              <w:wordWrap w:val="0"/>
              <w:overflowPunct/>
              <w:topLinePunct w:val="0"/>
              <w:autoSpaceDE/>
              <w:autoSpaceDN/>
              <w:bidi w:val="0"/>
              <w:adjustRightInd/>
              <w:snapToGrid/>
              <w:spacing w:line="360" w:lineRule="exact"/>
              <w:ind w:left="0" w:leftChars="0"/>
              <w:jc w:val="center"/>
              <w:textAlignment w:val="auto"/>
              <w:outlineLvl w:val="9"/>
              <w:rPr>
                <w:rFonts w:hint="default" w:ascii="宋体" w:hAnsi="宋体" w:eastAsia="宋体" w:cs="宋体"/>
                <w:b w:val="0"/>
                <w:bCs w:val="0"/>
                <w:color w:val="auto"/>
                <w:kern w:val="2"/>
                <w:sz w:val="21"/>
                <w:szCs w:val="21"/>
                <w:highlight w:val="none"/>
                <w:shd w:val="clear" w:color="auto" w:fill="auto"/>
                <w:lang w:val="en-US" w:eastAsia="zh-CN"/>
              </w:rPr>
            </w:pPr>
            <w:r>
              <w:rPr>
                <w:rFonts w:hint="eastAsia" w:ascii="宋体" w:hAnsi="宋体" w:cs="宋体"/>
                <w:b w:val="0"/>
                <w:bCs w:val="0"/>
                <w:color w:val="auto"/>
                <w:kern w:val="2"/>
                <w:sz w:val="21"/>
                <w:szCs w:val="21"/>
                <w:highlight w:val="none"/>
                <w:shd w:val="clear" w:color="auto" w:fill="auto"/>
                <w:lang w:val="en-US" w:eastAsia="zh-CN"/>
              </w:rPr>
              <w:t>—</w:t>
            </w:r>
          </w:p>
        </w:tc>
        <w:tc>
          <w:tcPr>
            <w:tcW w:w="1011" w:type="dxa"/>
            <w:noWrap w:val="0"/>
            <w:tcMar>
              <w:left w:w="84" w:type="dxa"/>
              <w:right w:w="84"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b w:val="0"/>
                <w:bCs w:val="0"/>
                <w:color w:val="auto"/>
                <w:kern w:val="2"/>
                <w:sz w:val="21"/>
                <w:szCs w:val="21"/>
                <w:highlight w:val="none"/>
                <w:shd w:val="clear" w:color="auto" w:fill="auto"/>
                <w:lang w:val="en-US" w:eastAsia="zh-CN"/>
              </w:rPr>
            </w:pPr>
            <w:r>
              <w:rPr>
                <w:rFonts w:hint="eastAsia" w:ascii="宋体" w:hAnsi="宋体" w:cs="宋体"/>
                <w:color w:val="000000"/>
                <w:kern w:val="2"/>
                <w:sz w:val="21"/>
                <w:szCs w:val="21"/>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8" w:hRule="atLeast"/>
          <w:jc w:val="center"/>
        </w:trPr>
        <w:tc>
          <w:tcPr>
            <w:tcW w:w="712" w:type="dxa"/>
            <w:vMerge w:val="continue"/>
            <w:noWrap w:val="0"/>
            <w:tcMar>
              <w:left w:w="84" w:type="dxa"/>
              <w:right w:w="84" w:type="dxa"/>
            </w:tcMar>
            <w:vAlign w:val="center"/>
          </w:tcPr>
          <w:p>
            <w:pPr>
              <w:keepNext w:val="0"/>
              <w:keepLines w:val="0"/>
              <w:pageBreakBefore w:val="0"/>
              <w:kinsoku/>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color w:val="000000"/>
                <w:sz w:val="21"/>
                <w:szCs w:val="21"/>
              </w:rPr>
            </w:pPr>
          </w:p>
        </w:tc>
        <w:tc>
          <w:tcPr>
            <w:tcW w:w="3641" w:type="dxa"/>
            <w:noWrap w:val="0"/>
            <w:tcMar>
              <w:left w:w="84" w:type="dxa"/>
              <w:right w:w="84" w:type="dxa"/>
            </w:tcMar>
            <w:vAlign w:val="center"/>
          </w:tcPr>
          <w:p>
            <w:pPr>
              <w:pStyle w:val="10"/>
              <w:keepNext w:val="0"/>
              <w:keepLines w:val="0"/>
              <w:pageBreakBefore w:val="0"/>
              <w:widowControl/>
              <w:kinsoku/>
              <w:wordWrap w:val="0"/>
              <w:overflowPunct/>
              <w:topLinePunct w:val="0"/>
              <w:autoSpaceDE/>
              <w:autoSpaceDN/>
              <w:bidi w:val="0"/>
              <w:adjustRightInd/>
              <w:snapToGrid/>
              <w:spacing w:line="360" w:lineRule="exact"/>
              <w:ind w:left="0" w:leftChars="0"/>
              <w:jc w:val="both"/>
              <w:textAlignment w:val="auto"/>
              <w:outlineLvl w:val="9"/>
              <w:rPr>
                <w:rFonts w:hint="eastAsia" w:ascii="宋体" w:hAnsi="宋体" w:eastAsia="宋体" w:cs="宋体"/>
                <w:b w:val="0"/>
                <w:bCs w:val="0"/>
                <w:color w:val="auto"/>
                <w:kern w:val="2"/>
                <w:sz w:val="21"/>
                <w:szCs w:val="21"/>
                <w:shd w:val="clear" w:color="auto" w:fill="auto"/>
              </w:rPr>
            </w:pPr>
            <w:r>
              <w:rPr>
                <w:rFonts w:hint="eastAsia" w:ascii="宋体" w:hAnsi="宋体" w:eastAsia="宋体" w:cs="宋体"/>
                <w:b w:val="0"/>
                <w:bCs w:val="0"/>
                <w:color w:val="auto"/>
                <w:kern w:val="2"/>
                <w:sz w:val="21"/>
                <w:szCs w:val="21"/>
                <w:shd w:val="clear" w:color="auto" w:fill="auto"/>
              </w:rPr>
              <w:t>4.物流业总收入（亿元）</w:t>
            </w:r>
          </w:p>
        </w:tc>
        <w:tc>
          <w:tcPr>
            <w:tcW w:w="1067" w:type="dxa"/>
            <w:noWrap w:val="0"/>
            <w:tcMar>
              <w:left w:w="84" w:type="dxa"/>
              <w:right w:w="84" w:type="dxa"/>
            </w:tcMar>
            <w:vAlign w:val="center"/>
          </w:tcPr>
          <w:p>
            <w:pPr>
              <w:pStyle w:val="10"/>
              <w:keepNext w:val="0"/>
              <w:keepLines w:val="0"/>
              <w:pageBreakBefore w:val="0"/>
              <w:widowControl/>
              <w:kinsoku/>
              <w:wordWrap w:val="0"/>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b w:val="0"/>
                <w:bCs w:val="0"/>
                <w:color w:val="auto"/>
                <w:kern w:val="2"/>
                <w:sz w:val="21"/>
                <w:szCs w:val="21"/>
                <w:shd w:val="clear" w:color="auto" w:fill="auto"/>
                <w:lang w:val="en-US" w:eastAsia="zh-CN" w:bidi="ar-SA"/>
              </w:rPr>
            </w:pPr>
            <w:r>
              <w:rPr>
                <w:rFonts w:hint="eastAsia" w:ascii="宋体" w:hAnsi="宋体" w:eastAsia="宋体" w:cs="宋体"/>
                <w:b w:val="0"/>
                <w:bCs w:val="0"/>
                <w:color w:val="auto"/>
                <w:kern w:val="2"/>
                <w:sz w:val="21"/>
                <w:szCs w:val="21"/>
                <w:shd w:val="clear" w:color="auto" w:fill="auto"/>
                <w:lang w:val="en-US" w:eastAsia="zh-CN" w:bidi="ar-SA"/>
              </w:rPr>
              <w:t>2483.1</w:t>
            </w:r>
          </w:p>
        </w:tc>
        <w:tc>
          <w:tcPr>
            <w:tcW w:w="1200" w:type="dxa"/>
            <w:noWrap w:val="0"/>
            <w:tcMar>
              <w:left w:w="84" w:type="dxa"/>
              <w:right w:w="84" w:type="dxa"/>
            </w:tcMar>
            <w:vAlign w:val="center"/>
          </w:tcPr>
          <w:p>
            <w:pPr>
              <w:pStyle w:val="10"/>
              <w:keepNext w:val="0"/>
              <w:keepLines w:val="0"/>
              <w:pageBreakBefore w:val="0"/>
              <w:widowControl/>
              <w:kinsoku/>
              <w:wordWrap w:val="0"/>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b w:val="0"/>
                <w:bCs w:val="0"/>
                <w:color w:val="auto"/>
                <w:kern w:val="2"/>
                <w:sz w:val="21"/>
                <w:szCs w:val="21"/>
                <w:shd w:val="clear" w:color="auto" w:fill="auto"/>
                <w:lang w:val="en-US" w:eastAsia="zh-CN"/>
              </w:rPr>
            </w:pPr>
            <w:r>
              <w:rPr>
                <w:rFonts w:hint="eastAsia" w:ascii="宋体" w:hAnsi="宋体" w:eastAsia="宋体" w:cs="宋体"/>
                <w:b w:val="0"/>
                <w:bCs w:val="0"/>
                <w:color w:val="auto"/>
                <w:kern w:val="2"/>
                <w:sz w:val="21"/>
                <w:szCs w:val="21"/>
                <w:shd w:val="clear" w:color="auto" w:fill="auto"/>
                <w:lang w:val="en-US" w:eastAsia="zh-CN"/>
              </w:rPr>
              <w:t>35</w:t>
            </w:r>
            <w:r>
              <w:rPr>
                <w:rFonts w:hint="eastAsia" w:ascii="宋体" w:hAnsi="宋体" w:cs="宋体"/>
                <w:b w:val="0"/>
                <w:bCs w:val="0"/>
                <w:color w:val="auto"/>
                <w:kern w:val="2"/>
                <w:sz w:val="21"/>
                <w:szCs w:val="21"/>
                <w:shd w:val="clear" w:color="auto" w:fill="auto"/>
                <w:lang w:val="en-US" w:eastAsia="zh-CN"/>
              </w:rPr>
              <w:t>4</w:t>
            </w:r>
            <w:r>
              <w:rPr>
                <w:rFonts w:hint="eastAsia" w:ascii="宋体" w:hAnsi="宋体" w:eastAsia="宋体" w:cs="宋体"/>
                <w:b w:val="0"/>
                <w:bCs w:val="0"/>
                <w:color w:val="auto"/>
                <w:kern w:val="2"/>
                <w:sz w:val="21"/>
                <w:szCs w:val="21"/>
                <w:shd w:val="clear" w:color="auto" w:fill="auto"/>
                <w:lang w:val="en-US" w:eastAsia="zh-CN"/>
              </w:rPr>
              <w:t>0</w:t>
            </w:r>
          </w:p>
        </w:tc>
        <w:tc>
          <w:tcPr>
            <w:tcW w:w="827" w:type="dxa"/>
            <w:noWrap w:val="0"/>
            <w:tcMar>
              <w:left w:w="84" w:type="dxa"/>
              <w:right w:w="84" w:type="dxa"/>
            </w:tcMar>
            <w:vAlign w:val="center"/>
          </w:tcPr>
          <w:p>
            <w:pPr>
              <w:pStyle w:val="10"/>
              <w:keepNext w:val="0"/>
              <w:keepLines w:val="0"/>
              <w:pageBreakBefore w:val="0"/>
              <w:widowControl/>
              <w:kinsoku/>
              <w:wordWrap w:val="0"/>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b w:val="0"/>
                <w:bCs w:val="0"/>
                <w:color w:val="auto"/>
                <w:kern w:val="2"/>
                <w:sz w:val="21"/>
                <w:szCs w:val="21"/>
                <w:shd w:val="clear" w:color="auto" w:fill="auto"/>
                <w:lang w:val="en-US" w:eastAsia="zh-CN"/>
              </w:rPr>
            </w:pPr>
            <w:r>
              <w:rPr>
                <w:rFonts w:hint="eastAsia" w:ascii="宋体" w:hAnsi="宋体" w:cs="宋体"/>
                <w:b w:val="0"/>
                <w:bCs w:val="0"/>
                <w:color w:val="auto"/>
                <w:kern w:val="2"/>
                <w:sz w:val="21"/>
                <w:szCs w:val="21"/>
                <w:highlight w:val="none"/>
                <w:shd w:val="clear" w:color="auto" w:fill="auto"/>
                <w:lang w:val="en-US" w:eastAsia="zh-CN"/>
              </w:rPr>
              <w:t>7.3</w:t>
            </w:r>
          </w:p>
        </w:tc>
        <w:tc>
          <w:tcPr>
            <w:tcW w:w="1011" w:type="dxa"/>
            <w:noWrap w:val="0"/>
            <w:tcMar>
              <w:left w:w="84" w:type="dxa"/>
              <w:right w:w="84"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b w:val="0"/>
                <w:bCs w:val="0"/>
                <w:color w:val="auto"/>
                <w:kern w:val="2"/>
                <w:sz w:val="21"/>
                <w:szCs w:val="21"/>
                <w:shd w:val="clear" w:color="auto" w:fill="auto"/>
                <w:lang w:val="en-US" w:eastAsia="zh-CN"/>
              </w:rPr>
            </w:pPr>
            <w:r>
              <w:rPr>
                <w:rFonts w:hint="eastAsia" w:ascii="宋体" w:hAnsi="宋体" w:cs="宋体"/>
                <w:color w:val="000000"/>
                <w:kern w:val="2"/>
                <w:sz w:val="21"/>
                <w:szCs w:val="21"/>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8" w:hRule="atLeast"/>
          <w:jc w:val="center"/>
        </w:trPr>
        <w:tc>
          <w:tcPr>
            <w:tcW w:w="712" w:type="dxa"/>
            <w:vMerge w:val="restart"/>
            <w:noWrap w:val="0"/>
            <w:tcMar>
              <w:left w:w="84" w:type="dxa"/>
              <w:right w:w="84" w:type="dxa"/>
            </w:tcMar>
            <w:vAlign w:val="center"/>
          </w:tcPr>
          <w:p>
            <w:pPr>
              <w:pStyle w:val="10"/>
              <w:keepNext w:val="0"/>
              <w:keepLines w:val="0"/>
              <w:pageBreakBefore w:val="0"/>
              <w:kinsoku/>
              <w:wordWrap w:val="0"/>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市</w:t>
            </w:r>
            <w:r>
              <w:rPr>
                <w:rFonts w:hint="eastAsia" w:ascii="宋体" w:hAnsi="宋体" w:eastAsia="宋体" w:cs="宋体"/>
                <w:color w:val="000000"/>
                <w:kern w:val="2"/>
                <w:sz w:val="21"/>
                <w:szCs w:val="21"/>
                <w:lang w:val="en-US" w:eastAsia="zh-CN"/>
              </w:rPr>
              <w:t xml:space="preserve"> </w:t>
            </w:r>
            <w:r>
              <w:rPr>
                <w:rFonts w:hint="eastAsia" w:ascii="宋体" w:hAnsi="宋体" w:eastAsia="宋体" w:cs="宋体"/>
                <w:color w:val="000000"/>
                <w:kern w:val="2"/>
                <w:sz w:val="21"/>
                <w:szCs w:val="21"/>
              </w:rPr>
              <w:t>场</w:t>
            </w:r>
          </w:p>
          <w:p>
            <w:pPr>
              <w:pStyle w:val="10"/>
              <w:keepNext w:val="0"/>
              <w:keepLines w:val="0"/>
              <w:pageBreakBefore w:val="0"/>
              <w:kinsoku/>
              <w:wordWrap w:val="0"/>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rPr>
              <w:t>目</w:t>
            </w:r>
            <w:r>
              <w:rPr>
                <w:rFonts w:hint="eastAsia" w:ascii="宋体" w:hAnsi="宋体" w:eastAsia="宋体" w:cs="宋体"/>
                <w:color w:val="000000"/>
                <w:kern w:val="2"/>
                <w:sz w:val="21"/>
                <w:szCs w:val="21"/>
                <w:lang w:val="en-US" w:eastAsia="zh-CN"/>
              </w:rPr>
              <w:t xml:space="preserve"> </w:t>
            </w:r>
            <w:r>
              <w:rPr>
                <w:rFonts w:hint="eastAsia" w:ascii="宋体" w:hAnsi="宋体" w:eastAsia="宋体" w:cs="宋体"/>
                <w:color w:val="000000"/>
                <w:kern w:val="2"/>
                <w:sz w:val="21"/>
                <w:szCs w:val="21"/>
              </w:rPr>
              <w:t>标</w:t>
            </w:r>
          </w:p>
        </w:tc>
        <w:tc>
          <w:tcPr>
            <w:tcW w:w="3641" w:type="dxa"/>
            <w:noWrap w:val="0"/>
            <w:tcMar>
              <w:left w:w="84" w:type="dxa"/>
              <w:right w:w="84" w:type="dxa"/>
            </w:tcMar>
            <w:vAlign w:val="center"/>
          </w:tcPr>
          <w:p>
            <w:pPr>
              <w:pStyle w:val="10"/>
              <w:keepNext w:val="0"/>
              <w:keepLines w:val="0"/>
              <w:pageBreakBefore w:val="0"/>
              <w:widowControl/>
              <w:kinsoku/>
              <w:wordWrap w:val="0"/>
              <w:overflowPunct/>
              <w:topLinePunct w:val="0"/>
              <w:autoSpaceDE/>
              <w:autoSpaceDN/>
              <w:bidi w:val="0"/>
              <w:adjustRightInd/>
              <w:snapToGrid/>
              <w:spacing w:line="360" w:lineRule="exact"/>
              <w:ind w:left="0" w:leftChars="0"/>
              <w:jc w:val="both"/>
              <w:textAlignment w:val="auto"/>
              <w:outlineLvl w:val="9"/>
              <w:rPr>
                <w:rFonts w:hint="eastAsia" w:ascii="宋体" w:hAnsi="宋体" w:eastAsia="宋体" w:cs="宋体"/>
                <w:b w:val="0"/>
                <w:bCs w:val="0"/>
                <w:color w:val="auto"/>
                <w:kern w:val="2"/>
                <w:sz w:val="21"/>
                <w:szCs w:val="21"/>
                <w:highlight w:val="none"/>
                <w:shd w:val="clear" w:color="auto" w:fill="auto"/>
              </w:rPr>
            </w:pPr>
            <w:r>
              <w:rPr>
                <w:rFonts w:hint="eastAsia" w:ascii="宋体" w:hAnsi="宋体" w:eastAsia="宋体" w:cs="宋体"/>
                <w:b w:val="0"/>
                <w:bCs w:val="0"/>
                <w:color w:val="auto"/>
                <w:kern w:val="2"/>
                <w:sz w:val="21"/>
                <w:szCs w:val="21"/>
                <w:highlight w:val="none"/>
                <w:shd w:val="clear" w:color="auto" w:fill="auto"/>
              </w:rPr>
              <w:t>5.A</w:t>
            </w:r>
            <w:r>
              <w:rPr>
                <w:rFonts w:hint="eastAsia" w:ascii="宋体" w:hAnsi="宋体" w:cs="宋体"/>
                <w:b w:val="0"/>
                <w:bCs w:val="0"/>
                <w:color w:val="auto"/>
                <w:kern w:val="2"/>
                <w:sz w:val="21"/>
                <w:szCs w:val="21"/>
                <w:highlight w:val="none"/>
                <w:shd w:val="clear" w:color="auto" w:fill="auto"/>
                <w:lang w:eastAsia="zh-CN"/>
              </w:rPr>
              <w:t>级</w:t>
            </w:r>
            <w:r>
              <w:rPr>
                <w:rFonts w:hint="eastAsia" w:ascii="宋体" w:hAnsi="宋体" w:eastAsia="宋体" w:cs="宋体"/>
                <w:b w:val="0"/>
                <w:bCs w:val="0"/>
                <w:color w:val="auto"/>
                <w:kern w:val="2"/>
                <w:sz w:val="21"/>
                <w:szCs w:val="21"/>
                <w:highlight w:val="none"/>
                <w:shd w:val="clear" w:color="auto" w:fill="auto"/>
              </w:rPr>
              <w:t>物流企业数量（家）</w:t>
            </w:r>
          </w:p>
        </w:tc>
        <w:tc>
          <w:tcPr>
            <w:tcW w:w="1067" w:type="dxa"/>
            <w:noWrap w:val="0"/>
            <w:tcMar>
              <w:left w:w="84" w:type="dxa"/>
              <w:right w:w="84" w:type="dxa"/>
            </w:tcMar>
            <w:vAlign w:val="center"/>
          </w:tcPr>
          <w:p>
            <w:pPr>
              <w:pStyle w:val="10"/>
              <w:keepNext w:val="0"/>
              <w:keepLines w:val="0"/>
              <w:pageBreakBefore w:val="0"/>
              <w:widowControl/>
              <w:kinsoku/>
              <w:wordWrap w:val="0"/>
              <w:overflowPunct/>
              <w:topLinePunct w:val="0"/>
              <w:autoSpaceDE/>
              <w:autoSpaceDN/>
              <w:bidi w:val="0"/>
              <w:adjustRightInd/>
              <w:snapToGrid/>
              <w:spacing w:line="360" w:lineRule="exact"/>
              <w:ind w:left="0" w:leftChars="0"/>
              <w:jc w:val="center"/>
              <w:textAlignment w:val="auto"/>
              <w:outlineLvl w:val="9"/>
              <w:rPr>
                <w:rFonts w:hint="default" w:ascii="宋体" w:hAnsi="宋体" w:eastAsia="宋体" w:cs="宋体"/>
                <w:b w:val="0"/>
                <w:bCs w:val="0"/>
                <w:color w:val="auto"/>
                <w:kern w:val="2"/>
                <w:sz w:val="21"/>
                <w:szCs w:val="21"/>
                <w:highlight w:val="none"/>
                <w:shd w:val="clear" w:color="auto" w:fill="auto"/>
                <w:lang w:val="en-US" w:eastAsia="zh-CN" w:bidi="ar-SA"/>
              </w:rPr>
            </w:pPr>
            <w:r>
              <w:rPr>
                <w:rFonts w:hint="eastAsia" w:ascii="宋体" w:hAnsi="宋体" w:cs="宋体"/>
                <w:b w:val="0"/>
                <w:bCs w:val="0"/>
                <w:color w:val="auto"/>
                <w:kern w:val="2"/>
                <w:sz w:val="21"/>
                <w:szCs w:val="21"/>
                <w:highlight w:val="none"/>
                <w:shd w:val="clear" w:color="auto" w:fill="auto"/>
                <w:lang w:val="en-US" w:eastAsia="zh-CN" w:bidi="ar-SA"/>
              </w:rPr>
              <w:t>174</w:t>
            </w:r>
          </w:p>
        </w:tc>
        <w:tc>
          <w:tcPr>
            <w:tcW w:w="1200" w:type="dxa"/>
            <w:noWrap w:val="0"/>
            <w:tcMar>
              <w:left w:w="84" w:type="dxa"/>
              <w:right w:w="84" w:type="dxa"/>
            </w:tcMar>
            <w:vAlign w:val="center"/>
          </w:tcPr>
          <w:p>
            <w:pPr>
              <w:pStyle w:val="10"/>
              <w:keepNext w:val="0"/>
              <w:keepLines w:val="0"/>
              <w:pageBreakBefore w:val="0"/>
              <w:widowControl/>
              <w:kinsoku/>
              <w:wordWrap w:val="0"/>
              <w:overflowPunct/>
              <w:topLinePunct w:val="0"/>
              <w:autoSpaceDE/>
              <w:autoSpaceDN/>
              <w:bidi w:val="0"/>
              <w:adjustRightInd/>
              <w:snapToGrid/>
              <w:spacing w:line="360" w:lineRule="exact"/>
              <w:ind w:left="0" w:leftChars="0"/>
              <w:jc w:val="center"/>
              <w:textAlignment w:val="auto"/>
              <w:outlineLvl w:val="9"/>
              <w:rPr>
                <w:rFonts w:hint="default" w:ascii="宋体" w:hAnsi="宋体" w:eastAsia="宋体" w:cs="宋体"/>
                <w:b w:val="0"/>
                <w:bCs w:val="0"/>
                <w:color w:val="auto"/>
                <w:kern w:val="2"/>
                <w:sz w:val="21"/>
                <w:szCs w:val="21"/>
                <w:highlight w:val="none"/>
                <w:shd w:val="clear" w:color="auto" w:fill="auto"/>
                <w:lang w:val="en-US" w:eastAsia="zh-CN"/>
              </w:rPr>
            </w:pPr>
            <w:r>
              <w:rPr>
                <w:rFonts w:hint="eastAsia" w:ascii="宋体" w:hAnsi="宋体" w:cs="宋体"/>
                <w:b w:val="0"/>
                <w:bCs w:val="0"/>
                <w:color w:val="auto"/>
                <w:kern w:val="2"/>
                <w:sz w:val="21"/>
                <w:szCs w:val="21"/>
                <w:highlight w:val="none"/>
                <w:shd w:val="clear" w:color="auto" w:fill="auto"/>
                <w:lang w:val="en-US" w:eastAsia="zh-CN"/>
              </w:rPr>
              <w:t>350</w:t>
            </w:r>
          </w:p>
        </w:tc>
        <w:tc>
          <w:tcPr>
            <w:tcW w:w="827" w:type="dxa"/>
            <w:noWrap w:val="0"/>
            <w:tcMar>
              <w:left w:w="84" w:type="dxa"/>
              <w:right w:w="84"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b w:val="0"/>
                <w:bCs w:val="0"/>
                <w:color w:val="auto"/>
                <w:kern w:val="2"/>
                <w:sz w:val="21"/>
                <w:szCs w:val="21"/>
                <w:highlight w:val="none"/>
                <w:shd w:val="clear" w:color="auto" w:fill="auto"/>
                <w:lang w:val="en-US" w:eastAsia="zh-CN"/>
              </w:rPr>
            </w:pPr>
            <w:r>
              <w:rPr>
                <w:rFonts w:hint="eastAsia" w:ascii="宋体" w:hAnsi="宋体" w:cs="宋体"/>
                <w:b w:val="0"/>
                <w:bCs w:val="0"/>
                <w:color w:val="auto"/>
                <w:kern w:val="2"/>
                <w:sz w:val="21"/>
                <w:szCs w:val="21"/>
                <w:highlight w:val="none"/>
                <w:shd w:val="clear" w:color="auto" w:fill="auto"/>
                <w:lang w:val="en-US" w:eastAsia="zh-CN"/>
              </w:rPr>
              <w:t>—</w:t>
            </w:r>
          </w:p>
        </w:tc>
        <w:tc>
          <w:tcPr>
            <w:tcW w:w="1011" w:type="dxa"/>
            <w:noWrap w:val="0"/>
            <w:tcMar>
              <w:left w:w="84" w:type="dxa"/>
              <w:right w:w="84"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b w:val="0"/>
                <w:bCs w:val="0"/>
                <w:color w:val="auto"/>
                <w:kern w:val="2"/>
                <w:sz w:val="21"/>
                <w:szCs w:val="21"/>
                <w:highlight w:val="none"/>
                <w:shd w:val="clear" w:color="auto" w:fill="auto"/>
                <w:lang w:val="en-US" w:eastAsia="zh-CN"/>
              </w:rPr>
            </w:pPr>
            <w:r>
              <w:rPr>
                <w:rFonts w:hint="eastAsia" w:ascii="宋体" w:hAnsi="宋体" w:cs="宋体"/>
                <w:color w:val="000000"/>
                <w:kern w:val="2"/>
                <w:sz w:val="21"/>
                <w:szCs w:val="21"/>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8" w:hRule="atLeast"/>
          <w:jc w:val="center"/>
        </w:trPr>
        <w:tc>
          <w:tcPr>
            <w:tcW w:w="712" w:type="dxa"/>
            <w:vMerge w:val="continue"/>
            <w:noWrap w:val="0"/>
            <w:tcMar>
              <w:left w:w="84" w:type="dxa"/>
              <w:right w:w="84" w:type="dxa"/>
            </w:tcMar>
            <w:vAlign w:val="center"/>
          </w:tcPr>
          <w:p>
            <w:pPr>
              <w:pStyle w:val="10"/>
              <w:keepNext w:val="0"/>
              <w:keepLines w:val="0"/>
              <w:pageBreakBefore w:val="0"/>
              <w:kinsoku/>
              <w:wordWrap w:val="0"/>
              <w:overflowPunct/>
              <w:topLinePunct w:val="0"/>
              <w:autoSpaceDE/>
              <w:autoSpaceDN/>
              <w:bidi w:val="0"/>
              <w:adjustRightInd/>
              <w:snapToGrid/>
              <w:spacing w:line="360" w:lineRule="exact"/>
              <w:ind w:left="0" w:leftChars="0"/>
              <w:jc w:val="both"/>
              <w:textAlignment w:val="auto"/>
              <w:outlineLvl w:val="9"/>
              <w:rPr>
                <w:rFonts w:hint="eastAsia" w:ascii="宋体" w:hAnsi="宋体" w:eastAsia="宋体" w:cs="宋体"/>
                <w:color w:val="000000"/>
                <w:kern w:val="2"/>
                <w:sz w:val="21"/>
                <w:szCs w:val="21"/>
              </w:rPr>
            </w:pPr>
          </w:p>
        </w:tc>
        <w:tc>
          <w:tcPr>
            <w:tcW w:w="3641" w:type="dxa"/>
            <w:noWrap w:val="0"/>
            <w:tcMar>
              <w:left w:w="84" w:type="dxa"/>
              <w:right w:w="84" w:type="dxa"/>
            </w:tcMar>
            <w:vAlign w:val="center"/>
          </w:tcPr>
          <w:p>
            <w:pPr>
              <w:pStyle w:val="10"/>
              <w:keepNext w:val="0"/>
              <w:keepLines w:val="0"/>
              <w:pageBreakBefore w:val="0"/>
              <w:widowControl/>
              <w:kinsoku/>
              <w:wordWrap w:val="0"/>
              <w:overflowPunct/>
              <w:topLinePunct w:val="0"/>
              <w:autoSpaceDE/>
              <w:autoSpaceDN/>
              <w:bidi w:val="0"/>
              <w:adjustRightInd/>
              <w:snapToGrid/>
              <w:spacing w:line="360" w:lineRule="exact"/>
              <w:ind w:left="0" w:leftChars="0"/>
              <w:jc w:val="both"/>
              <w:textAlignment w:val="auto"/>
              <w:outlineLvl w:val="9"/>
              <w:rPr>
                <w:rFonts w:hint="eastAsia" w:ascii="宋体" w:hAnsi="宋体" w:eastAsia="宋体" w:cs="宋体"/>
                <w:b w:val="0"/>
                <w:bCs w:val="0"/>
                <w:color w:val="auto"/>
                <w:kern w:val="2"/>
                <w:sz w:val="21"/>
                <w:szCs w:val="21"/>
                <w:shd w:val="clear" w:color="auto" w:fill="auto"/>
              </w:rPr>
            </w:pPr>
            <w:r>
              <w:rPr>
                <w:rFonts w:hint="eastAsia" w:ascii="宋体" w:hAnsi="宋体" w:eastAsia="宋体" w:cs="宋体"/>
                <w:b w:val="0"/>
                <w:bCs w:val="0"/>
                <w:color w:val="auto"/>
                <w:kern w:val="2"/>
                <w:sz w:val="21"/>
                <w:szCs w:val="21"/>
                <w:shd w:val="clear" w:color="auto" w:fill="auto"/>
              </w:rPr>
              <w:t>6.国家级物流枢纽类型数量（个）</w:t>
            </w:r>
          </w:p>
        </w:tc>
        <w:tc>
          <w:tcPr>
            <w:tcW w:w="1067" w:type="dxa"/>
            <w:noWrap w:val="0"/>
            <w:tcMar>
              <w:left w:w="84" w:type="dxa"/>
              <w:right w:w="84" w:type="dxa"/>
            </w:tcMar>
            <w:vAlign w:val="center"/>
          </w:tcPr>
          <w:p>
            <w:pPr>
              <w:pStyle w:val="10"/>
              <w:keepNext w:val="0"/>
              <w:keepLines w:val="0"/>
              <w:pageBreakBefore w:val="0"/>
              <w:widowControl/>
              <w:kinsoku/>
              <w:wordWrap w:val="0"/>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b w:val="0"/>
                <w:bCs w:val="0"/>
                <w:color w:val="auto"/>
                <w:kern w:val="2"/>
                <w:sz w:val="21"/>
                <w:szCs w:val="21"/>
                <w:shd w:val="clear" w:color="auto" w:fill="auto"/>
                <w:lang w:val="en-US" w:eastAsia="zh-CN" w:bidi="ar-SA"/>
              </w:rPr>
            </w:pPr>
            <w:r>
              <w:rPr>
                <w:rFonts w:hint="eastAsia" w:ascii="宋体" w:hAnsi="宋体" w:eastAsia="宋体" w:cs="宋体"/>
                <w:b w:val="0"/>
                <w:bCs w:val="0"/>
                <w:color w:val="auto"/>
                <w:kern w:val="2"/>
                <w:sz w:val="21"/>
                <w:szCs w:val="21"/>
                <w:shd w:val="clear" w:color="auto" w:fill="auto"/>
                <w:lang w:val="en-US" w:eastAsia="zh-CN" w:bidi="ar-SA"/>
              </w:rPr>
              <w:t>2</w:t>
            </w:r>
          </w:p>
        </w:tc>
        <w:tc>
          <w:tcPr>
            <w:tcW w:w="1200" w:type="dxa"/>
            <w:noWrap w:val="0"/>
            <w:tcMar>
              <w:left w:w="84" w:type="dxa"/>
              <w:right w:w="84" w:type="dxa"/>
            </w:tcMar>
            <w:vAlign w:val="center"/>
          </w:tcPr>
          <w:p>
            <w:pPr>
              <w:pStyle w:val="10"/>
              <w:keepNext w:val="0"/>
              <w:keepLines w:val="0"/>
              <w:pageBreakBefore w:val="0"/>
              <w:widowControl/>
              <w:kinsoku/>
              <w:wordWrap w:val="0"/>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b w:val="0"/>
                <w:bCs w:val="0"/>
                <w:color w:val="auto"/>
                <w:kern w:val="2"/>
                <w:sz w:val="21"/>
                <w:szCs w:val="21"/>
                <w:shd w:val="clear" w:color="auto" w:fill="auto"/>
              </w:rPr>
            </w:pPr>
            <w:r>
              <w:rPr>
                <w:rFonts w:hint="eastAsia" w:ascii="宋体" w:hAnsi="宋体" w:eastAsia="宋体" w:cs="宋体"/>
                <w:b w:val="0"/>
                <w:bCs w:val="0"/>
                <w:color w:val="auto"/>
                <w:kern w:val="2"/>
                <w:sz w:val="21"/>
                <w:szCs w:val="21"/>
                <w:shd w:val="clear" w:color="auto" w:fill="auto"/>
              </w:rPr>
              <w:t>4</w:t>
            </w:r>
          </w:p>
        </w:tc>
        <w:tc>
          <w:tcPr>
            <w:tcW w:w="827" w:type="dxa"/>
            <w:noWrap w:val="0"/>
            <w:tcMar>
              <w:left w:w="84" w:type="dxa"/>
              <w:right w:w="84"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b w:val="0"/>
                <w:bCs w:val="0"/>
                <w:color w:val="auto"/>
                <w:kern w:val="2"/>
                <w:sz w:val="21"/>
                <w:szCs w:val="21"/>
                <w:shd w:val="clear" w:color="auto" w:fill="auto"/>
              </w:rPr>
            </w:pPr>
            <w:r>
              <w:rPr>
                <w:rFonts w:hint="eastAsia" w:ascii="宋体" w:hAnsi="宋体" w:cs="宋体"/>
                <w:b w:val="0"/>
                <w:bCs w:val="0"/>
                <w:color w:val="auto"/>
                <w:kern w:val="2"/>
                <w:sz w:val="21"/>
                <w:szCs w:val="21"/>
                <w:highlight w:val="none"/>
                <w:shd w:val="clear" w:color="auto" w:fill="auto"/>
                <w:lang w:val="en-US" w:eastAsia="zh-CN"/>
              </w:rPr>
              <w:t>—</w:t>
            </w:r>
          </w:p>
        </w:tc>
        <w:tc>
          <w:tcPr>
            <w:tcW w:w="1011" w:type="dxa"/>
            <w:noWrap w:val="0"/>
            <w:tcMar>
              <w:left w:w="84" w:type="dxa"/>
              <w:right w:w="84"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b w:val="0"/>
                <w:bCs w:val="0"/>
                <w:color w:val="auto"/>
                <w:kern w:val="2"/>
                <w:sz w:val="21"/>
                <w:szCs w:val="21"/>
                <w:shd w:val="clear" w:color="auto" w:fill="auto"/>
              </w:rPr>
            </w:pPr>
            <w:r>
              <w:rPr>
                <w:rFonts w:hint="eastAsia" w:ascii="宋体" w:hAnsi="宋体" w:cs="宋体"/>
                <w:color w:val="000000"/>
                <w:kern w:val="2"/>
                <w:sz w:val="21"/>
                <w:szCs w:val="21"/>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8" w:hRule="atLeast"/>
          <w:jc w:val="center"/>
        </w:trPr>
        <w:tc>
          <w:tcPr>
            <w:tcW w:w="712" w:type="dxa"/>
            <w:vMerge w:val="continue"/>
            <w:noWrap w:val="0"/>
            <w:tcMar>
              <w:left w:w="84" w:type="dxa"/>
              <w:right w:w="84" w:type="dxa"/>
            </w:tcMar>
            <w:vAlign w:val="center"/>
          </w:tcPr>
          <w:p>
            <w:pPr>
              <w:pStyle w:val="10"/>
              <w:keepNext w:val="0"/>
              <w:keepLines w:val="0"/>
              <w:pageBreakBefore w:val="0"/>
              <w:widowControl/>
              <w:kinsoku/>
              <w:wordWrap w:val="0"/>
              <w:overflowPunct/>
              <w:topLinePunct w:val="0"/>
              <w:autoSpaceDE/>
              <w:autoSpaceDN/>
              <w:bidi w:val="0"/>
              <w:adjustRightInd/>
              <w:snapToGrid/>
              <w:spacing w:line="360" w:lineRule="exact"/>
              <w:ind w:left="0" w:leftChars="0"/>
              <w:jc w:val="both"/>
              <w:textAlignment w:val="auto"/>
              <w:outlineLvl w:val="9"/>
              <w:rPr>
                <w:rFonts w:hint="eastAsia" w:ascii="宋体" w:hAnsi="宋体" w:eastAsia="宋体" w:cs="宋体"/>
                <w:color w:val="000000"/>
                <w:kern w:val="2"/>
                <w:sz w:val="21"/>
                <w:szCs w:val="21"/>
              </w:rPr>
            </w:pPr>
          </w:p>
        </w:tc>
        <w:tc>
          <w:tcPr>
            <w:tcW w:w="3641" w:type="dxa"/>
            <w:noWrap w:val="0"/>
            <w:tcMar>
              <w:left w:w="84" w:type="dxa"/>
              <w:right w:w="84" w:type="dxa"/>
            </w:tcMar>
            <w:vAlign w:val="center"/>
          </w:tcPr>
          <w:p>
            <w:pPr>
              <w:pStyle w:val="10"/>
              <w:keepNext w:val="0"/>
              <w:keepLines w:val="0"/>
              <w:pageBreakBefore w:val="0"/>
              <w:widowControl/>
              <w:kinsoku/>
              <w:wordWrap w:val="0"/>
              <w:overflowPunct/>
              <w:topLinePunct w:val="0"/>
              <w:autoSpaceDE/>
              <w:autoSpaceDN/>
              <w:bidi w:val="0"/>
              <w:adjustRightInd/>
              <w:snapToGrid/>
              <w:spacing w:line="360" w:lineRule="exact"/>
              <w:ind w:left="0" w:leftChars="0"/>
              <w:jc w:val="both"/>
              <w:textAlignment w:val="auto"/>
              <w:outlineLvl w:val="9"/>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7.国家骨干冷链物流基地数量（个）</w:t>
            </w:r>
          </w:p>
        </w:tc>
        <w:tc>
          <w:tcPr>
            <w:tcW w:w="1067" w:type="dxa"/>
            <w:noWrap w:val="0"/>
            <w:tcMar>
              <w:left w:w="84" w:type="dxa"/>
              <w:right w:w="84" w:type="dxa"/>
            </w:tcMar>
            <w:vAlign w:val="center"/>
          </w:tcPr>
          <w:p>
            <w:pPr>
              <w:pStyle w:val="10"/>
              <w:keepNext w:val="0"/>
              <w:keepLines w:val="0"/>
              <w:pageBreakBefore w:val="0"/>
              <w:widowControl/>
              <w:kinsoku/>
              <w:wordWrap w:val="0"/>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color w:val="000000"/>
                <w:kern w:val="2"/>
                <w:sz w:val="21"/>
                <w:szCs w:val="21"/>
                <w:lang w:val="en-US" w:eastAsia="zh-CN" w:bidi="ar-SA"/>
              </w:rPr>
            </w:pPr>
            <w:r>
              <w:rPr>
                <w:rFonts w:hint="eastAsia" w:ascii="宋体" w:hAnsi="宋体" w:eastAsia="宋体" w:cs="宋体"/>
                <w:color w:val="000000"/>
                <w:kern w:val="2"/>
                <w:sz w:val="21"/>
                <w:szCs w:val="21"/>
                <w:lang w:val="en-US" w:eastAsia="zh-CN" w:bidi="ar-SA"/>
              </w:rPr>
              <w:t>1</w:t>
            </w:r>
          </w:p>
        </w:tc>
        <w:tc>
          <w:tcPr>
            <w:tcW w:w="1200" w:type="dxa"/>
            <w:noWrap w:val="0"/>
            <w:tcMar>
              <w:left w:w="84" w:type="dxa"/>
              <w:right w:w="84" w:type="dxa"/>
            </w:tcMar>
            <w:vAlign w:val="center"/>
          </w:tcPr>
          <w:p>
            <w:pPr>
              <w:pStyle w:val="10"/>
              <w:keepNext w:val="0"/>
              <w:keepLines w:val="0"/>
              <w:pageBreakBefore w:val="0"/>
              <w:widowControl/>
              <w:kinsoku/>
              <w:wordWrap w:val="0"/>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3</w:t>
            </w:r>
          </w:p>
        </w:tc>
        <w:tc>
          <w:tcPr>
            <w:tcW w:w="827" w:type="dxa"/>
            <w:noWrap w:val="0"/>
            <w:tcMar>
              <w:left w:w="84" w:type="dxa"/>
              <w:right w:w="84"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color w:val="000000"/>
                <w:kern w:val="2"/>
                <w:sz w:val="21"/>
                <w:szCs w:val="21"/>
                <w:lang w:val="en-US" w:eastAsia="zh-CN"/>
              </w:rPr>
            </w:pPr>
            <w:r>
              <w:rPr>
                <w:rFonts w:hint="eastAsia" w:ascii="宋体" w:hAnsi="宋体" w:cs="宋体"/>
                <w:b w:val="0"/>
                <w:bCs w:val="0"/>
                <w:color w:val="auto"/>
                <w:kern w:val="2"/>
                <w:sz w:val="21"/>
                <w:szCs w:val="21"/>
                <w:highlight w:val="none"/>
                <w:shd w:val="clear" w:color="auto" w:fill="auto"/>
                <w:lang w:val="en-US" w:eastAsia="zh-CN"/>
              </w:rPr>
              <w:t>—</w:t>
            </w:r>
          </w:p>
        </w:tc>
        <w:tc>
          <w:tcPr>
            <w:tcW w:w="1011" w:type="dxa"/>
            <w:noWrap w:val="0"/>
            <w:tcMar>
              <w:left w:w="84" w:type="dxa"/>
              <w:right w:w="84"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color w:val="000000"/>
                <w:kern w:val="2"/>
                <w:sz w:val="21"/>
                <w:szCs w:val="21"/>
                <w:lang w:val="en-US" w:eastAsia="zh-CN"/>
              </w:rPr>
            </w:pPr>
            <w:r>
              <w:rPr>
                <w:rFonts w:hint="eastAsia" w:ascii="宋体" w:hAnsi="宋体" w:cs="宋体"/>
                <w:color w:val="000000"/>
                <w:kern w:val="2"/>
                <w:sz w:val="21"/>
                <w:szCs w:val="21"/>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8" w:hRule="atLeast"/>
          <w:jc w:val="center"/>
        </w:trPr>
        <w:tc>
          <w:tcPr>
            <w:tcW w:w="712" w:type="dxa"/>
            <w:vMerge w:val="continue"/>
            <w:noWrap w:val="0"/>
            <w:tcMar>
              <w:left w:w="84" w:type="dxa"/>
              <w:right w:w="84" w:type="dxa"/>
            </w:tcMar>
            <w:vAlign w:val="center"/>
          </w:tcPr>
          <w:p>
            <w:pPr>
              <w:keepNext w:val="0"/>
              <w:keepLines w:val="0"/>
              <w:pageBreakBefore w:val="0"/>
              <w:kinsoku/>
              <w:overflowPunct/>
              <w:topLinePunct w:val="0"/>
              <w:autoSpaceDE/>
              <w:autoSpaceDN/>
              <w:bidi w:val="0"/>
              <w:adjustRightInd/>
              <w:snapToGrid/>
              <w:spacing w:line="360" w:lineRule="exact"/>
              <w:ind w:left="0" w:leftChars="0"/>
              <w:textAlignment w:val="auto"/>
              <w:outlineLvl w:val="9"/>
              <w:rPr>
                <w:rFonts w:hint="eastAsia" w:ascii="宋体" w:hAnsi="宋体" w:eastAsia="宋体" w:cs="宋体"/>
                <w:color w:val="000000"/>
                <w:sz w:val="21"/>
                <w:szCs w:val="21"/>
              </w:rPr>
            </w:pPr>
          </w:p>
        </w:tc>
        <w:tc>
          <w:tcPr>
            <w:tcW w:w="3641" w:type="dxa"/>
            <w:noWrap w:val="0"/>
            <w:tcMar>
              <w:left w:w="84" w:type="dxa"/>
              <w:right w:w="84" w:type="dxa"/>
            </w:tcMar>
            <w:vAlign w:val="center"/>
          </w:tcPr>
          <w:p>
            <w:pPr>
              <w:pStyle w:val="10"/>
              <w:keepNext w:val="0"/>
              <w:keepLines w:val="0"/>
              <w:pageBreakBefore w:val="0"/>
              <w:widowControl/>
              <w:kinsoku/>
              <w:wordWrap w:val="0"/>
              <w:overflowPunct/>
              <w:topLinePunct w:val="0"/>
              <w:autoSpaceDE/>
              <w:autoSpaceDN/>
              <w:bidi w:val="0"/>
              <w:adjustRightInd/>
              <w:snapToGrid/>
              <w:spacing w:line="360" w:lineRule="exact"/>
              <w:ind w:left="0" w:leftChars="0"/>
              <w:jc w:val="both"/>
              <w:textAlignment w:val="auto"/>
              <w:outlineLvl w:val="9"/>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8.国家级</w:t>
            </w:r>
            <w:r>
              <w:rPr>
                <w:rFonts w:hint="eastAsia" w:ascii="宋体" w:hAnsi="宋体" w:eastAsia="宋体" w:cs="宋体"/>
                <w:color w:val="000000"/>
                <w:kern w:val="2"/>
                <w:sz w:val="21"/>
                <w:szCs w:val="21"/>
                <w:lang w:eastAsia="zh-CN"/>
              </w:rPr>
              <w:t>、省级</w:t>
            </w:r>
            <w:r>
              <w:rPr>
                <w:rFonts w:hint="eastAsia" w:ascii="宋体" w:hAnsi="宋体" w:eastAsia="宋体" w:cs="宋体"/>
                <w:color w:val="000000"/>
                <w:kern w:val="2"/>
                <w:sz w:val="21"/>
                <w:szCs w:val="21"/>
              </w:rPr>
              <w:t>物流示范园（家）</w:t>
            </w:r>
          </w:p>
        </w:tc>
        <w:tc>
          <w:tcPr>
            <w:tcW w:w="1067" w:type="dxa"/>
            <w:noWrap w:val="0"/>
            <w:tcMar>
              <w:left w:w="84" w:type="dxa"/>
              <w:right w:w="84" w:type="dxa"/>
            </w:tcMar>
            <w:vAlign w:val="center"/>
          </w:tcPr>
          <w:p>
            <w:pPr>
              <w:pStyle w:val="10"/>
              <w:keepNext w:val="0"/>
              <w:keepLines w:val="0"/>
              <w:pageBreakBefore w:val="0"/>
              <w:widowControl/>
              <w:kinsoku/>
              <w:wordWrap w:val="0"/>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14</w:t>
            </w:r>
          </w:p>
        </w:tc>
        <w:tc>
          <w:tcPr>
            <w:tcW w:w="1200" w:type="dxa"/>
            <w:noWrap w:val="0"/>
            <w:tcMar>
              <w:left w:w="84" w:type="dxa"/>
              <w:right w:w="84" w:type="dxa"/>
            </w:tcMar>
            <w:vAlign w:val="center"/>
          </w:tcPr>
          <w:p>
            <w:pPr>
              <w:pStyle w:val="10"/>
              <w:keepNext w:val="0"/>
              <w:keepLines w:val="0"/>
              <w:pageBreakBefore w:val="0"/>
              <w:widowControl/>
              <w:kinsoku/>
              <w:wordWrap w:val="0"/>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highlight w:val="none"/>
                <w:lang w:val="en-US" w:eastAsia="zh-CN"/>
              </w:rPr>
              <w:t>20</w:t>
            </w:r>
          </w:p>
        </w:tc>
        <w:tc>
          <w:tcPr>
            <w:tcW w:w="827" w:type="dxa"/>
            <w:noWrap w:val="0"/>
            <w:tcMar>
              <w:left w:w="84" w:type="dxa"/>
              <w:right w:w="84"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color w:val="000000"/>
                <w:kern w:val="2"/>
                <w:sz w:val="21"/>
                <w:szCs w:val="21"/>
                <w:highlight w:val="none"/>
                <w:lang w:val="en-US" w:eastAsia="zh-CN"/>
              </w:rPr>
            </w:pPr>
            <w:r>
              <w:rPr>
                <w:rFonts w:hint="eastAsia" w:ascii="宋体" w:hAnsi="宋体" w:cs="宋体"/>
                <w:b w:val="0"/>
                <w:bCs w:val="0"/>
                <w:color w:val="auto"/>
                <w:kern w:val="2"/>
                <w:sz w:val="21"/>
                <w:szCs w:val="21"/>
                <w:highlight w:val="none"/>
                <w:shd w:val="clear" w:color="auto" w:fill="auto"/>
                <w:lang w:val="en-US" w:eastAsia="zh-CN"/>
              </w:rPr>
              <w:t>—</w:t>
            </w:r>
          </w:p>
        </w:tc>
        <w:tc>
          <w:tcPr>
            <w:tcW w:w="1011" w:type="dxa"/>
            <w:noWrap w:val="0"/>
            <w:tcMar>
              <w:left w:w="84" w:type="dxa"/>
              <w:right w:w="84"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color w:val="000000"/>
                <w:kern w:val="2"/>
                <w:sz w:val="21"/>
                <w:szCs w:val="21"/>
                <w:highlight w:val="none"/>
                <w:lang w:val="en-US" w:eastAsia="zh-CN"/>
              </w:rPr>
            </w:pPr>
            <w:r>
              <w:rPr>
                <w:rFonts w:hint="eastAsia" w:ascii="宋体" w:hAnsi="宋体" w:cs="宋体"/>
                <w:color w:val="000000"/>
                <w:kern w:val="2"/>
                <w:sz w:val="21"/>
                <w:szCs w:val="21"/>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8" w:hRule="atLeast"/>
          <w:jc w:val="center"/>
        </w:trPr>
        <w:tc>
          <w:tcPr>
            <w:tcW w:w="712" w:type="dxa"/>
            <w:vMerge w:val="continue"/>
            <w:noWrap w:val="0"/>
            <w:tcMar>
              <w:left w:w="84" w:type="dxa"/>
              <w:right w:w="84" w:type="dxa"/>
            </w:tcMar>
            <w:vAlign w:val="center"/>
          </w:tcPr>
          <w:p>
            <w:pPr>
              <w:keepNext w:val="0"/>
              <w:keepLines w:val="0"/>
              <w:pageBreakBefore w:val="0"/>
              <w:kinsoku/>
              <w:overflowPunct/>
              <w:topLinePunct w:val="0"/>
              <w:autoSpaceDE/>
              <w:autoSpaceDN/>
              <w:bidi w:val="0"/>
              <w:adjustRightInd/>
              <w:snapToGrid/>
              <w:spacing w:line="360" w:lineRule="exact"/>
              <w:ind w:left="0" w:leftChars="0"/>
              <w:textAlignment w:val="auto"/>
              <w:outlineLvl w:val="9"/>
              <w:rPr>
                <w:rFonts w:hint="eastAsia" w:ascii="宋体" w:hAnsi="宋体" w:eastAsia="宋体" w:cs="宋体"/>
                <w:color w:val="000000"/>
                <w:sz w:val="21"/>
                <w:szCs w:val="21"/>
              </w:rPr>
            </w:pPr>
          </w:p>
        </w:tc>
        <w:tc>
          <w:tcPr>
            <w:tcW w:w="3641" w:type="dxa"/>
            <w:noWrap w:val="0"/>
            <w:tcMar>
              <w:left w:w="84" w:type="dxa"/>
              <w:right w:w="84" w:type="dxa"/>
            </w:tcMar>
            <w:vAlign w:val="center"/>
          </w:tcPr>
          <w:p>
            <w:pPr>
              <w:pStyle w:val="10"/>
              <w:keepNext w:val="0"/>
              <w:keepLines w:val="0"/>
              <w:pageBreakBefore w:val="0"/>
              <w:widowControl/>
              <w:kinsoku/>
              <w:wordWrap w:val="0"/>
              <w:overflowPunct/>
              <w:topLinePunct w:val="0"/>
              <w:autoSpaceDE/>
              <w:autoSpaceDN/>
              <w:bidi w:val="0"/>
              <w:adjustRightInd/>
              <w:snapToGrid/>
              <w:spacing w:line="360" w:lineRule="exact"/>
              <w:ind w:left="0" w:leftChars="0"/>
              <w:jc w:val="both"/>
              <w:textAlignment w:val="auto"/>
              <w:outlineLvl w:val="9"/>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lang w:val="en-US" w:eastAsia="zh-CN"/>
              </w:rPr>
              <w:t>9</w:t>
            </w:r>
            <w:r>
              <w:rPr>
                <w:rFonts w:hint="eastAsia" w:ascii="宋体" w:hAnsi="宋体" w:eastAsia="宋体" w:cs="宋体"/>
                <w:color w:val="000000"/>
                <w:kern w:val="2"/>
                <w:sz w:val="21"/>
                <w:szCs w:val="21"/>
              </w:rPr>
              <w:t>.航空货邮吞吐量（万吨）</w:t>
            </w:r>
          </w:p>
        </w:tc>
        <w:tc>
          <w:tcPr>
            <w:tcW w:w="1067" w:type="dxa"/>
            <w:noWrap w:val="0"/>
            <w:tcMar>
              <w:left w:w="84" w:type="dxa"/>
              <w:right w:w="84" w:type="dxa"/>
            </w:tcMar>
            <w:vAlign w:val="center"/>
          </w:tcPr>
          <w:p>
            <w:pPr>
              <w:pStyle w:val="10"/>
              <w:keepNext w:val="0"/>
              <w:keepLines w:val="0"/>
              <w:pageBreakBefore w:val="0"/>
              <w:widowControl/>
              <w:kinsoku/>
              <w:wordWrap w:val="0"/>
              <w:overflowPunct/>
              <w:topLinePunct w:val="0"/>
              <w:autoSpaceDE/>
              <w:autoSpaceDN/>
              <w:bidi w:val="0"/>
              <w:adjustRightInd/>
              <w:snapToGrid/>
              <w:spacing w:line="360" w:lineRule="exact"/>
              <w:ind w:left="0" w:leftChars="0"/>
              <w:jc w:val="center"/>
              <w:textAlignment w:val="auto"/>
              <w:outlineLvl w:val="9"/>
              <w:rPr>
                <w:rFonts w:hint="default"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3</w:t>
            </w:r>
            <w:r>
              <w:rPr>
                <w:rFonts w:hint="eastAsia" w:ascii="宋体" w:hAnsi="宋体" w:cs="宋体"/>
                <w:color w:val="000000"/>
                <w:kern w:val="2"/>
                <w:sz w:val="21"/>
                <w:szCs w:val="21"/>
                <w:lang w:val="en-US" w:eastAsia="zh-CN"/>
              </w:rPr>
              <w:t>9.2</w:t>
            </w:r>
          </w:p>
        </w:tc>
        <w:tc>
          <w:tcPr>
            <w:tcW w:w="1200" w:type="dxa"/>
            <w:noWrap w:val="0"/>
            <w:tcMar>
              <w:left w:w="84" w:type="dxa"/>
              <w:right w:w="84" w:type="dxa"/>
            </w:tcMar>
            <w:vAlign w:val="center"/>
          </w:tcPr>
          <w:p>
            <w:pPr>
              <w:pStyle w:val="10"/>
              <w:keepNext w:val="0"/>
              <w:keepLines w:val="0"/>
              <w:pageBreakBefore w:val="0"/>
              <w:widowControl/>
              <w:kinsoku/>
              <w:wordWrap w:val="0"/>
              <w:overflowPunct/>
              <w:topLinePunct w:val="0"/>
              <w:autoSpaceDE/>
              <w:autoSpaceDN/>
              <w:bidi w:val="0"/>
              <w:adjustRightInd/>
              <w:snapToGrid/>
              <w:spacing w:line="360" w:lineRule="exact"/>
              <w:ind w:left="0" w:leftChars="0"/>
              <w:jc w:val="center"/>
              <w:textAlignment w:val="auto"/>
              <w:outlineLvl w:val="9"/>
              <w:rPr>
                <w:rFonts w:hint="default" w:ascii="宋体" w:hAnsi="宋体" w:eastAsia="宋体" w:cs="宋体"/>
                <w:color w:val="000000"/>
                <w:kern w:val="2"/>
                <w:sz w:val="21"/>
                <w:szCs w:val="21"/>
                <w:lang w:val="en-US" w:eastAsia="zh-CN"/>
              </w:rPr>
            </w:pPr>
            <w:r>
              <w:rPr>
                <w:rFonts w:hint="eastAsia" w:ascii="宋体" w:hAnsi="宋体" w:cs="宋体"/>
                <w:color w:val="000000"/>
                <w:kern w:val="2"/>
                <w:sz w:val="21"/>
                <w:szCs w:val="21"/>
                <w:highlight w:val="none"/>
                <w:lang w:val="en-US" w:eastAsia="zh-CN"/>
              </w:rPr>
              <w:t>80</w:t>
            </w:r>
          </w:p>
        </w:tc>
        <w:tc>
          <w:tcPr>
            <w:tcW w:w="827" w:type="dxa"/>
            <w:noWrap w:val="0"/>
            <w:tcMar>
              <w:left w:w="84" w:type="dxa"/>
              <w:right w:w="84"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ind w:left="0" w:leftChars="0"/>
              <w:jc w:val="center"/>
              <w:textAlignment w:val="auto"/>
              <w:outlineLvl w:val="9"/>
              <w:rPr>
                <w:rFonts w:hint="default" w:ascii="宋体" w:hAnsi="宋体" w:cs="宋体"/>
                <w:color w:val="000000"/>
                <w:kern w:val="2"/>
                <w:sz w:val="21"/>
                <w:szCs w:val="21"/>
                <w:highlight w:val="none"/>
                <w:lang w:val="en-US" w:eastAsia="zh-CN"/>
              </w:rPr>
            </w:pPr>
            <w:r>
              <w:rPr>
                <w:rFonts w:hint="eastAsia" w:ascii="宋体" w:hAnsi="宋体" w:cs="宋体"/>
                <w:b w:val="0"/>
                <w:bCs w:val="0"/>
                <w:color w:val="auto"/>
                <w:kern w:val="2"/>
                <w:sz w:val="21"/>
                <w:szCs w:val="21"/>
                <w:highlight w:val="none"/>
                <w:shd w:val="clear" w:color="auto" w:fill="auto"/>
                <w:lang w:val="en-US" w:eastAsia="zh-CN"/>
              </w:rPr>
              <w:t>15.3</w:t>
            </w:r>
          </w:p>
        </w:tc>
        <w:tc>
          <w:tcPr>
            <w:tcW w:w="1011" w:type="dxa"/>
            <w:noWrap w:val="0"/>
            <w:tcMar>
              <w:left w:w="84" w:type="dxa"/>
              <w:right w:w="84"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ind w:left="0" w:leftChars="0"/>
              <w:jc w:val="center"/>
              <w:textAlignment w:val="auto"/>
              <w:outlineLvl w:val="9"/>
              <w:rPr>
                <w:rFonts w:hint="eastAsia" w:ascii="宋体" w:hAnsi="宋体" w:cs="宋体"/>
                <w:color w:val="000000"/>
                <w:kern w:val="2"/>
                <w:sz w:val="21"/>
                <w:szCs w:val="21"/>
                <w:highlight w:val="none"/>
                <w:lang w:val="en-US" w:eastAsia="zh-CN"/>
              </w:rPr>
            </w:pPr>
            <w:r>
              <w:rPr>
                <w:rFonts w:hint="eastAsia" w:ascii="宋体" w:hAnsi="宋体" w:cs="宋体"/>
                <w:color w:val="000000"/>
                <w:kern w:val="2"/>
                <w:sz w:val="21"/>
                <w:szCs w:val="21"/>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 w:hRule="atLeast"/>
          <w:jc w:val="center"/>
        </w:trPr>
        <w:tc>
          <w:tcPr>
            <w:tcW w:w="712" w:type="dxa"/>
            <w:vMerge w:val="continue"/>
            <w:noWrap w:val="0"/>
            <w:tcMar>
              <w:left w:w="84" w:type="dxa"/>
              <w:right w:w="84" w:type="dxa"/>
            </w:tcMar>
            <w:vAlign w:val="center"/>
          </w:tcPr>
          <w:p>
            <w:pPr>
              <w:keepNext w:val="0"/>
              <w:keepLines w:val="0"/>
              <w:pageBreakBefore w:val="0"/>
              <w:kinsoku/>
              <w:overflowPunct/>
              <w:topLinePunct w:val="0"/>
              <w:autoSpaceDE/>
              <w:autoSpaceDN/>
              <w:bidi w:val="0"/>
              <w:adjustRightInd/>
              <w:snapToGrid/>
              <w:spacing w:line="360" w:lineRule="exact"/>
              <w:ind w:left="0" w:leftChars="0"/>
              <w:textAlignment w:val="auto"/>
              <w:outlineLvl w:val="9"/>
              <w:rPr>
                <w:rFonts w:hint="eastAsia" w:ascii="宋体" w:hAnsi="宋体" w:eastAsia="宋体" w:cs="宋体"/>
                <w:color w:val="000000"/>
                <w:sz w:val="21"/>
                <w:szCs w:val="21"/>
              </w:rPr>
            </w:pPr>
          </w:p>
        </w:tc>
        <w:tc>
          <w:tcPr>
            <w:tcW w:w="3641" w:type="dxa"/>
            <w:noWrap w:val="0"/>
            <w:tcMar>
              <w:left w:w="84" w:type="dxa"/>
              <w:right w:w="84" w:type="dxa"/>
            </w:tcMar>
            <w:vAlign w:val="center"/>
          </w:tcPr>
          <w:p>
            <w:pPr>
              <w:pStyle w:val="10"/>
              <w:keepNext w:val="0"/>
              <w:keepLines w:val="0"/>
              <w:pageBreakBefore w:val="0"/>
              <w:widowControl/>
              <w:kinsoku/>
              <w:wordWrap w:val="0"/>
              <w:overflowPunct/>
              <w:topLinePunct w:val="0"/>
              <w:autoSpaceDE/>
              <w:autoSpaceDN/>
              <w:bidi w:val="0"/>
              <w:adjustRightInd/>
              <w:snapToGrid/>
              <w:spacing w:line="360" w:lineRule="exact"/>
              <w:ind w:left="0" w:leftChars="0"/>
              <w:jc w:val="both"/>
              <w:textAlignment w:val="auto"/>
              <w:outlineLvl w:val="9"/>
              <w:rPr>
                <w:rFonts w:hint="eastAsia" w:ascii="宋体" w:hAnsi="宋体" w:eastAsia="宋体" w:cs="宋体"/>
                <w:color w:val="000000"/>
                <w:kern w:val="2"/>
                <w:sz w:val="21"/>
                <w:szCs w:val="21"/>
              </w:rPr>
            </w:pPr>
            <w:r>
              <w:rPr>
                <w:rFonts w:hint="eastAsia" w:ascii="宋体" w:hAnsi="宋体" w:eastAsia="宋体" w:cs="宋体"/>
                <w:color w:val="000000"/>
                <w:kern w:val="2"/>
                <w:sz w:val="21"/>
                <w:szCs w:val="21"/>
              </w:rPr>
              <w:t>1</w:t>
            </w:r>
            <w:r>
              <w:rPr>
                <w:rFonts w:hint="eastAsia" w:ascii="宋体" w:hAnsi="宋体" w:eastAsia="宋体" w:cs="宋体"/>
                <w:color w:val="000000"/>
                <w:kern w:val="2"/>
                <w:sz w:val="21"/>
                <w:szCs w:val="21"/>
                <w:lang w:val="en-US" w:eastAsia="zh-CN"/>
              </w:rPr>
              <w:t>0</w:t>
            </w:r>
            <w:r>
              <w:rPr>
                <w:rFonts w:hint="eastAsia" w:ascii="宋体" w:hAnsi="宋体" w:eastAsia="宋体" w:cs="宋体"/>
                <w:color w:val="000000"/>
                <w:kern w:val="2"/>
                <w:sz w:val="21"/>
                <w:szCs w:val="21"/>
              </w:rPr>
              <w:t>.中欧班列开行量（列）</w:t>
            </w:r>
          </w:p>
        </w:tc>
        <w:tc>
          <w:tcPr>
            <w:tcW w:w="1067" w:type="dxa"/>
            <w:noWrap w:val="0"/>
            <w:tcMar>
              <w:left w:w="84" w:type="dxa"/>
              <w:right w:w="84" w:type="dxa"/>
            </w:tcMar>
            <w:vAlign w:val="center"/>
          </w:tcPr>
          <w:p>
            <w:pPr>
              <w:pStyle w:val="10"/>
              <w:keepNext w:val="0"/>
              <w:keepLines w:val="0"/>
              <w:pageBreakBefore w:val="0"/>
              <w:widowControl/>
              <w:kinsoku/>
              <w:wordWrap w:val="0"/>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3720</w:t>
            </w:r>
          </w:p>
        </w:tc>
        <w:tc>
          <w:tcPr>
            <w:tcW w:w="1200" w:type="dxa"/>
            <w:noWrap w:val="0"/>
            <w:tcMar>
              <w:left w:w="84" w:type="dxa"/>
              <w:right w:w="84" w:type="dxa"/>
            </w:tcMar>
            <w:vAlign w:val="center"/>
          </w:tcPr>
          <w:p>
            <w:pPr>
              <w:pStyle w:val="10"/>
              <w:keepNext w:val="0"/>
              <w:keepLines w:val="0"/>
              <w:pageBreakBefore w:val="0"/>
              <w:widowControl/>
              <w:kinsoku/>
              <w:wordWrap w:val="0"/>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color w:val="000000"/>
                <w:kern w:val="2"/>
                <w:sz w:val="21"/>
                <w:szCs w:val="21"/>
                <w:highlight w:val="yellow"/>
                <w:lang w:val="en-US" w:eastAsia="zh-CN"/>
              </w:rPr>
            </w:pPr>
            <w:r>
              <w:rPr>
                <w:rFonts w:hint="eastAsia" w:ascii="宋体" w:hAnsi="宋体" w:eastAsia="宋体" w:cs="宋体"/>
                <w:color w:val="auto"/>
                <w:kern w:val="2"/>
                <w:sz w:val="21"/>
                <w:szCs w:val="21"/>
                <w:highlight w:val="none"/>
                <w:shd w:val="clear" w:color="auto" w:fill="auto"/>
              </w:rPr>
              <w:t>5</w:t>
            </w:r>
            <w:r>
              <w:rPr>
                <w:rFonts w:hint="eastAsia" w:ascii="宋体" w:hAnsi="宋体" w:eastAsia="宋体" w:cs="宋体"/>
                <w:color w:val="auto"/>
                <w:kern w:val="2"/>
                <w:sz w:val="21"/>
                <w:szCs w:val="21"/>
                <w:highlight w:val="none"/>
                <w:shd w:val="clear" w:color="auto" w:fill="auto"/>
                <w:lang w:val="en-US" w:eastAsia="zh-CN"/>
              </w:rPr>
              <w:t>000</w:t>
            </w:r>
          </w:p>
        </w:tc>
        <w:tc>
          <w:tcPr>
            <w:tcW w:w="827" w:type="dxa"/>
            <w:noWrap w:val="0"/>
            <w:tcMar>
              <w:left w:w="84" w:type="dxa"/>
              <w:right w:w="84" w:type="dxa"/>
            </w:tcMar>
            <w:vAlign w:val="center"/>
          </w:tcPr>
          <w:p>
            <w:pPr>
              <w:pStyle w:val="10"/>
              <w:keepNext w:val="0"/>
              <w:keepLines w:val="0"/>
              <w:pageBreakBefore w:val="0"/>
              <w:widowControl/>
              <w:kinsoku/>
              <w:wordWrap w:val="0"/>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color w:val="auto"/>
                <w:kern w:val="2"/>
                <w:sz w:val="21"/>
                <w:szCs w:val="21"/>
                <w:highlight w:val="none"/>
                <w:shd w:val="clear" w:color="auto" w:fill="auto"/>
              </w:rPr>
            </w:pPr>
            <w:r>
              <w:rPr>
                <w:rFonts w:hint="eastAsia" w:ascii="宋体" w:hAnsi="宋体" w:cs="宋体"/>
                <w:b w:val="0"/>
                <w:bCs w:val="0"/>
                <w:color w:val="auto"/>
                <w:kern w:val="2"/>
                <w:sz w:val="21"/>
                <w:szCs w:val="21"/>
                <w:highlight w:val="none"/>
                <w:shd w:val="clear" w:color="auto" w:fill="auto"/>
                <w:lang w:val="en-US" w:eastAsia="zh-CN"/>
              </w:rPr>
              <w:t>—</w:t>
            </w:r>
          </w:p>
        </w:tc>
        <w:tc>
          <w:tcPr>
            <w:tcW w:w="1011" w:type="dxa"/>
            <w:noWrap w:val="0"/>
            <w:tcMar>
              <w:left w:w="84" w:type="dxa"/>
              <w:right w:w="84"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ind w:left="0" w:leftChars="0"/>
              <w:jc w:val="center"/>
              <w:textAlignment w:val="auto"/>
              <w:outlineLvl w:val="9"/>
              <w:rPr>
                <w:rFonts w:hint="eastAsia" w:ascii="宋体" w:hAnsi="宋体" w:eastAsia="宋体" w:cs="宋体"/>
                <w:color w:val="auto"/>
                <w:kern w:val="2"/>
                <w:sz w:val="21"/>
                <w:szCs w:val="21"/>
                <w:highlight w:val="none"/>
                <w:shd w:val="clear" w:color="auto" w:fill="auto"/>
              </w:rPr>
            </w:pPr>
            <w:r>
              <w:rPr>
                <w:rFonts w:hint="eastAsia" w:ascii="宋体" w:hAnsi="宋体" w:cs="宋体"/>
                <w:color w:val="000000"/>
                <w:kern w:val="2"/>
                <w:sz w:val="21"/>
                <w:szCs w:val="21"/>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 w:hRule="atLeast"/>
          <w:jc w:val="center"/>
        </w:trPr>
        <w:tc>
          <w:tcPr>
            <w:tcW w:w="712" w:type="dxa"/>
            <w:vMerge w:val="continue"/>
            <w:noWrap w:val="0"/>
            <w:tcMar>
              <w:left w:w="84" w:type="dxa"/>
              <w:right w:w="84" w:type="dxa"/>
            </w:tcMar>
            <w:vAlign w:val="center"/>
          </w:tcPr>
          <w:p>
            <w:pPr>
              <w:keepNext w:val="0"/>
              <w:keepLines w:val="0"/>
              <w:pageBreakBefore w:val="0"/>
              <w:kinsoku/>
              <w:overflowPunct/>
              <w:topLinePunct w:val="0"/>
              <w:autoSpaceDE/>
              <w:autoSpaceDN/>
              <w:bidi w:val="0"/>
              <w:adjustRightInd/>
              <w:snapToGrid/>
              <w:spacing w:line="360" w:lineRule="exact"/>
              <w:ind w:left="0" w:leftChars="0"/>
              <w:textAlignment w:val="auto"/>
              <w:outlineLvl w:val="9"/>
              <w:rPr>
                <w:rFonts w:hint="eastAsia" w:ascii="宋体" w:hAnsi="宋体" w:eastAsia="宋体" w:cs="宋体"/>
                <w:color w:val="000000"/>
                <w:sz w:val="21"/>
                <w:szCs w:val="21"/>
              </w:rPr>
            </w:pPr>
          </w:p>
        </w:tc>
        <w:tc>
          <w:tcPr>
            <w:tcW w:w="3641" w:type="dxa"/>
            <w:noWrap w:val="0"/>
            <w:tcMar>
              <w:left w:w="84" w:type="dxa"/>
              <w:right w:w="84" w:type="dxa"/>
            </w:tcMar>
            <w:vAlign w:val="center"/>
          </w:tcPr>
          <w:p>
            <w:pPr>
              <w:pStyle w:val="10"/>
              <w:keepNext w:val="0"/>
              <w:keepLines w:val="0"/>
              <w:pageBreakBefore w:val="0"/>
              <w:widowControl/>
              <w:kinsoku/>
              <w:wordWrap w:val="0"/>
              <w:overflowPunct/>
              <w:topLinePunct w:val="0"/>
              <w:autoSpaceDE/>
              <w:autoSpaceDN/>
              <w:bidi w:val="0"/>
              <w:adjustRightInd/>
              <w:snapToGrid/>
              <w:spacing w:line="360" w:lineRule="exact"/>
              <w:ind w:left="0" w:leftChars="0"/>
              <w:jc w:val="both"/>
              <w:textAlignment w:val="auto"/>
              <w:outlineLvl w:val="9"/>
              <w:rPr>
                <w:rFonts w:hint="default" w:ascii="宋体" w:hAnsi="宋体" w:eastAsia="宋体" w:cs="宋体"/>
                <w:color w:val="000000"/>
                <w:kern w:val="2"/>
                <w:sz w:val="21"/>
                <w:szCs w:val="21"/>
                <w:lang w:val="en-US" w:eastAsia="zh-CN"/>
              </w:rPr>
            </w:pPr>
            <w:r>
              <w:rPr>
                <w:rFonts w:hint="eastAsia" w:ascii="宋体" w:hAnsi="宋体" w:eastAsia="宋体" w:cs="宋体"/>
                <w:color w:val="000000"/>
                <w:kern w:val="2"/>
                <w:sz w:val="21"/>
                <w:szCs w:val="21"/>
                <w:lang w:val="en-US" w:eastAsia="zh-CN"/>
              </w:rPr>
              <w:t>11.快递业务量（</w:t>
            </w:r>
            <w:r>
              <w:rPr>
                <w:rFonts w:hint="eastAsia" w:ascii="宋体" w:hAnsi="宋体" w:eastAsia="宋体" w:cs="宋体"/>
                <w:color w:val="000000"/>
                <w:kern w:val="2"/>
                <w:sz w:val="21"/>
                <w:szCs w:val="21"/>
              </w:rPr>
              <w:t>亿件</w:t>
            </w:r>
            <w:r>
              <w:rPr>
                <w:rFonts w:hint="eastAsia" w:ascii="宋体" w:hAnsi="宋体" w:eastAsia="宋体" w:cs="宋体"/>
                <w:color w:val="000000"/>
                <w:kern w:val="2"/>
                <w:sz w:val="21"/>
                <w:szCs w:val="21"/>
                <w:lang w:val="en-US" w:eastAsia="zh-CN"/>
              </w:rPr>
              <w:t>）</w:t>
            </w:r>
          </w:p>
        </w:tc>
        <w:tc>
          <w:tcPr>
            <w:tcW w:w="1067" w:type="dxa"/>
            <w:noWrap w:val="0"/>
            <w:tcMar>
              <w:left w:w="84" w:type="dxa"/>
              <w:right w:w="84" w:type="dxa"/>
            </w:tcMar>
            <w:vAlign w:val="center"/>
          </w:tcPr>
          <w:p>
            <w:pPr>
              <w:pStyle w:val="10"/>
              <w:keepNext w:val="0"/>
              <w:keepLines w:val="0"/>
              <w:pageBreakBefore w:val="0"/>
              <w:widowControl/>
              <w:kinsoku/>
              <w:wordWrap w:val="0"/>
              <w:overflowPunct/>
              <w:topLinePunct w:val="0"/>
              <w:autoSpaceDE/>
              <w:autoSpaceDN/>
              <w:bidi w:val="0"/>
              <w:adjustRightInd/>
              <w:snapToGrid/>
              <w:spacing w:line="360" w:lineRule="exact"/>
              <w:ind w:left="0" w:leftChars="0"/>
              <w:jc w:val="center"/>
              <w:textAlignment w:val="auto"/>
              <w:outlineLvl w:val="9"/>
              <w:rPr>
                <w:rFonts w:hint="default" w:ascii="宋体" w:hAnsi="宋体" w:eastAsia="宋体" w:cs="宋体"/>
                <w:color w:val="000000"/>
                <w:kern w:val="2"/>
                <w:sz w:val="21"/>
                <w:szCs w:val="21"/>
                <w:lang w:val="en-US" w:eastAsia="zh-CN"/>
              </w:rPr>
            </w:pPr>
            <w:r>
              <w:rPr>
                <w:rFonts w:hint="eastAsia" w:ascii="宋体" w:hAnsi="宋体" w:cs="宋体"/>
                <w:color w:val="000000"/>
                <w:kern w:val="2"/>
                <w:sz w:val="21"/>
                <w:szCs w:val="21"/>
                <w:lang w:val="en-US" w:eastAsia="zh-CN"/>
              </w:rPr>
              <w:t>9</w:t>
            </w:r>
          </w:p>
        </w:tc>
        <w:tc>
          <w:tcPr>
            <w:tcW w:w="1200" w:type="dxa"/>
            <w:noWrap w:val="0"/>
            <w:tcMar>
              <w:left w:w="84" w:type="dxa"/>
              <w:right w:w="84" w:type="dxa"/>
            </w:tcMar>
            <w:vAlign w:val="center"/>
          </w:tcPr>
          <w:p>
            <w:pPr>
              <w:pStyle w:val="10"/>
              <w:keepNext w:val="0"/>
              <w:keepLines w:val="0"/>
              <w:pageBreakBefore w:val="0"/>
              <w:widowControl/>
              <w:kinsoku/>
              <w:wordWrap w:val="0"/>
              <w:overflowPunct/>
              <w:topLinePunct w:val="0"/>
              <w:autoSpaceDE/>
              <w:autoSpaceDN/>
              <w:bidi w:val="0"/>
              <w:adjustRightInd/>
              <w:snapToGrid/>
              <w:spacing w:line="360" w:lineRule="exact"/>
              <w:ind w:left="0" w:leftChars="0"/>
              <w:jc w:val="center"/>
              <w:textAlignment w:val="auto"/>
              <w:outlineLvl w:val="9"/>
              <w:rPr>
                <w:rFonts w:hint="default" w:ascii="宋体" w:hAnsi="宋体" w:eastAsia="宋体" w:cs="宋体"/>
                <w:color w:val="auto"/>
                <w:kern w:val="2"/>
                <w:sz w:val="21"/>
                <w:szCs w:val="21"/>
                <w:highlight w:val="none"/>
                <w:shd w:val="clear" w:color="auto" w:fill="auto"/>
                <w:lang w:val="en-US" w:eastAsia="zh-CN"/>
              </w:rPr>
            </w:pPr>
            <w:r>
              <w:rPr>
                <w:rFonts w:hint="eastAsia" w:ascii="宋体" w:hAnsi="宋体" w:cs="宋体"/>
                <w:color w:val="auto"/>
                <w:kern w:val="2"/>
                <w:sz w:val="21"/>
                <w:szCs w:val="21"/>
                <w:highlight w:val="none"/>
                <w:shd w:val="clear" w:color="auto" w:fill="auto"/>
                <w:lang w:val="en-US" w:eastAsia="zh-CN"/>
              </w:rPr>
              <w:t>17</w:t>
            </w:r>
          </w:p>
        </w:tc>
        <w:tc>
          <w:tcPr>
            <w:tcW w:w="827" w:type="dxa"/>
            <w:noWrap w:val="0"/>
            <w:tcMar>
              <w:left w:w="84" w:type="dxa"/>
              <w:right w:w="84" w:type="dxa"/>
            </w:tcMar>
            <w:vAlign w:val="center"/>
          </w:tcPr>
          <w:p>
            <w:pPr>
              <w:pStyle w:val="10"/>
              <w:keepNext w:val="0"/>
              <w:keepLines w:val="0"/>
              <w:pageBreakBefore w:val="0"/>
              <w:widowControl/>
              <w:kinsoku/>
              <w:wordWrap w:val="0"/>
              <w:overflowPunct/>
              <w:topLinePunct w:val="0"/>
              <w:autoSpaceDE/>
              <w:autoSpaceDN/>
              <w:bidi w:val="0"/>
              <w:adjustRightInd/>
              <w:snapToGrid/>
              <w:spacing w:line="360" w:lineRule="exact"/>
              <w:ind w:left="0" w:leftChars="0"/>
              <w:jc w:val="center"/>
              <w:textAlignment w:val="auto"/>
              <w:outlineLvl w:val="9"/>
              <w:rPr>
                <w:rFonts w:hint="default" w:ascii="宋体" w:hAnsi="宋体" w:cs="宋体"/>
                <w:b w:val="0"/>
                <w:bCs w:val="0"/>
                <w:color w:val="auto"/>
                <w:kern w:val="2"/>
                <w:sz w:val="21"/>
                <w:szCs w:val="21"/>
                <w:highlight w:val="none"/>
                <w:shd w:val="clear" w:color="auto" w:fill="auto"/>
                <w:lang w:val="en-US" w:eastAsia="zh-CN"/>
              </w:rPr>
            </w:pPr>
            <w:r>
              <w:rPr>
                <w:rFonts w:hint="eastAsia" w:ascii="宋体" w:hAnsi="宋体" w:cs="宋体"/>
                <w:b w:val="0"/>
                <w:bCs w:val="0"/>
                <w:color w:val="auto"/>
                <w:kern w:val="2"/>
                <w:sz w:val="21"/>
                <w:szCs w:val="21"/>
                <w:highlight w:val="none"/>
                <w:shd w:val="clear" w:color="auto" w:fill="auto"/>
                <w:lang w:val="en-US" w:eastAsia="zh-CN"/>
              </w:rPr>
              <w:t>14</w:t>
            </w:r>
          </w:p>
        </w:tc>
        <w:tc>
          <w:tcPr>
            <w:tcW w:w="1011" w:type="dxa"/>
            <w:noWrap w:val="0"/>
            <w:tcMar>
              <w:left w:w="84" w:type="dxa"/>
              <w:right w:w="84"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ind w:left="0" w:leftChars="0"/>
              <w:jc w:val="center"/>
              <w:textAlignment w:val="auto"/>
              <w:outlineLvl w:val="9"/>
              <w:rPr>
                <w:rFonts w:hint="eastAsia" w:ascii="宋体" w:hAnsi="宋体" w:cs="宋体"/>
                <w:color w:val="000000"/>
                <w:kern w:val="2"/>
                <w:sz w:val="21"/>
                <w:szCs w:val="21"/>
                <w:lang w:val="en-US" w:eastAsia="zh-CN"/>
              </w:rPr>
            </w:pPr>
            <w:r>
              <w:rPr>
                <w:rFonts w:hint="eastAsia" w:ascii="宋体" w:hAnsi="宋体" w:cs="宋体"/>
                <w:color w:val="000000"/>
                <w:kern w:val="2"/>
                <w:sz w:val="21"/>
                <w:szCs w:val="21"/>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94" w:hRule="atLeast"/>
          <w:jc w:val="center"/>
        </w:trPr>
        <w:tc>
          <w:tcPr>
            <w:tcW w:w="712" w:type="dxa"/>
            <w:vMerge w:val="restart"/>
            <w:noWrap w:val="0"/>
            <w:tcMar>
              <w:left w:w="84" w:type="dxa"/>
              <w:right w:w="84" w:type="dxa"/>
            </w:tcMar>
            <w:vAlign w:val="center"/>
          </w:tcPr>
          <w:p>
            <w:pPr>
              <w:keepNext w:val="0"/>
              <w:keepLines w:val="0"/>
              <w:pageBreakBefore w:val="0"/>
              <w:kinsoku/>
              <w:overflowPunct/>
              <w:topLinePunct w:val="0"/>
              <w:autoSpaceDE/>
              <w:autoSpaceDN/>
              <w:bidi w:val="0"/>
              <w:adjustRightInd/>
              <w:snapToGrid/>
              <w:spacing w:line="360" w:lineRule="exact"/>
              <w:ind w:left="0" w:leftChars="0"/>
              <w:textAlignment w:val="auto"/>
              <w:outlineLvl w:val="9"/>
              <w:rPr>
                <w:rFonts w:hint="eastAsia" w:ascii="宋体" w:hAnsi="宋体" w:eastAsia="宋体" w:cs="宋体"/>
                <w:color w:val="000000"/>
                <w:sz w:val="21"/>
                <w:szCs w:val="21"/>
                <w:lang w:eastAsia="zh-CN"/>
              </w:rPr>
            </w:pPr>
            <w:r>
              <w:rPr>
                <w:rFonts w:hint="eastAsia" w:ascii="宋体" w:hAnsi="宋体" w:cs="宋体"/>
                <w:color w:val="000000"/>
                <w:sz w:val="21"/>
                <w:szCs w:val="21"/>
                <w:lang w:eastAsia="zh-CN"/>
              </w:rPr>
              <w:t>绿色发</w:t>
            </w:r>
            <w:r>
              <w:rPr>
                <w:rFonts w:hint="eastAsia" w:ascii="宋体" w:hAnsi="宋体" w:cs="宋体"/>
                <w:color w:val="000000"/>
                <w:sz w:val="21"/>
                <w:szCs w:val="21"/>
                <w:lang w:val="en-US" w:eastAsia="zh-CN"/>
              </w:rPr>
              <w:t xml:space="preserve"> </w:t>
            </w:r>
            <w:r>
              <w:rPr>
                <w:rFonts w:hint="eastAsia" w:ascii="宋体" w:hAnsi="宋体" w:cs="宋体"/>
                <w:color w:val="000000"/>
                <w:sz w:val="21"/>
                <w:szCs w:val="21"/>
                <w:lang w:eastAsia="zh-CN"/>
              </w:rPr>
              <w:t>展</w:t>
            </w:r>
          </w:p>
        </w:tc>
        <w:tc>
          <w:tcPr>
            <w:tcW w:w="3641" w:type="dxa"/>
            <w:noWrap w:val="0"/>
            <w:tcMar>
              <w:left w:w="84" w:type="dxa"/>
              <w:right w:w="84" w:type="dxa"/>
            </w:tcMar>
            <w:vAlign w:val="center"/>
          </w:tcPr>
          <w:p>
            <w:pPr>
              <w:pStyle w:val="10"/>
              <w:keepNext w:val="0"/>
              <w:keepLines w:val="0"/>
              <w:pageBreakBefore w:val="0"/>
              <w:widowControl/>
              <w:kinsoku/>
              <w:wordWrap w:val="0"/>
              <w:overflowPunct/>
              <w:topLinePunct w:val="0"/>
              <w:autoSpaceDE/>
              <w:autoSpaceDN/>
              <w:bidi w:val="0"/>
              <w:adjustRightInd/>
              <w:snapToGrid/>
              <w:spacing w:line="360" w:lineRule="exact"/>
              <w:ind w:left="0" w:leftChars="0"/>
              <w:jc w:val="both"/>
              <w:textAlignment w:val="auto"/>
              <w:outlineLvl w:val="9"/>
              <w:rPr>
                <w:rFonts w:hint="default" w:ascii="宋体" w:hAnsi="宋体" w:eastAsia="宋体" w:cs="宋体"/>
                <w:color w:val="000000"/>
                <w:kern w:val="2"/>
                <w:sz w:val="21"/>
                <w:szCs w:val="21"/>
                <w:lang w:val="en-US" w:eastAsia="zh-CN"/>
              </w:rPr>
            </w:pPr>
            <w:r>
              <w:rPr>
                <w:rFonts w:hint="eastAsia" w:ascii="宋体" w:hAnsi="宋体" w:cs="宋体"/>
                <w:color w:val="000000"/>
                <w:kern w:val="2"/>
                <w:sz w:val="21"/>
                <w:szCs w:val="21"/>
                <w:lang w:val="en-US" w:eastAsia="zh-CN"/>
              </w:rPr>
              <w:t>12.铁路承担货物周转量比重</w:t>
            </w:r>
            <w:r>
              <w:rPr>
                <w:rFonts w:hint="eastAsia" w:ascii="宋体" w:hAnsi="宋体" w:cs="宋体"/>
                <w:b w:val="0"/>
                <w:bCs w:val="0"/>
                <w:color w:val="auto"/>
                <w:kern w:val="2"/>
                <w:sz w:val="21"/>
                <w:szCs w:val="21"/>
                <w:highlight w:val="none"/>
                <w:shd w:val="clear" w:color="auto" w:fill="auto"/>
                <w:lang w:eastAsia="zh-CN"/>
              </w:rPr>
              <w:t>（</w:t>
            </w:r>
            <w:r>
              <w:rPr>
                <w:rFonts w:hint="eastAsia" w:ascii="宋体" w:hAnsi="宋体" w:cs="宋体"/>
                <w:b w:val="0"/>
                <w:bCs w:val="0"/>
                <w:color w:val="auto"/>
                <w:kern w:val="2"/>
                <w:sz w:val="21"/>
                <w:szCs w:val="21"/>
                <w:highlight w:val="none"/>
                <w:shd w:val="clear" w:color="auto" w:fill="auto"/>
                <w:lang w:val="en-US" w:eastAsia="zh-CN"/>
              </w:rPr>
              <w:t>%</w:t>
            </w:r>
            <w:r>
              <w:rPr>
                <w:rFonts w:hint="eastAsia" w:ascii="宋体" w:hAnsi="宋体" w:cs="宋体"/>
                <w:b w:val="0"/>
                <w:bCs w:val="0"/>
                <w:color w:val="auto"/>
                <w:kern w:val="2"/>
                <w:sz w:val="21"/>
                <w:szCs w:val="21"/>
                <w:highlight w:val="none"/>
                <w:shd w:val="clear" w:color="auto" w:fill="auto"/>
                <w:lang w:eastAsia="zh-CN"/>
              </w:rPr>
              <w:t>）</w:t>
            </w:r>
          </w:p>
        </w:tc>
        <w:tc>
          <w:tcPr>
            <w:tcW w:w="1067" w:type="dxa"/>
            <w:noWrap w:val="0"/>
            <w:tcMar>
              <w:left w:w="84" w:type="dxa"/>
              <w:right w:w="84" w:type="dxa"/>
            </w:tcMar>
            <w:vAlign w:val="center"/>
          </w:tcPr>
          <w:p>
            <w:pPr>
              <w:pStyle w:val="10"/>
              <w:keepNext w:val="0"/>
              <w:keepLines w:val="0"/>
              <w:pageBreakBefore w:val="0"/>
              <w:widowControl/>
              <w:kinsoku/>
              <w:wordWrap w:val="0"/>
              <w:overflowPunct/>
              <w:topLinePunct w:val="0"/>
              <w:autoSpaceDE/>
              <w:autoSpaceDN/>
              <w:bidi w:val="0"/>
              <w:adjustRightInd/>
              <w:snapToGrid/>
              <w:spacing w:line="360" w:lineRule="exact"/>
              <w:ind w:left="0" w:leftChars="0"/>
              <w:jc w:val="center"/>
              <w:textAlignment w:val="auto"/>
              <w:outlineLvl w:val="9"/>
              <w:rPr>
                <w:rFonts w:hint="default" w:ascii="宋体" w:hAnsi="宋体" w:eastAsia="宋体" w:cs="宋体"/>
                <w:color w:val="000000"/>
                <w:kern w:val="2"/>
                <w:sz w:val="21"/>
                <w:szCs w:val="21"/>
                <w:lang w:val="en-US" w:eastAsia="zh-CN"/>
              </w:rPr>
            </w:pPr>
            <w:r>
              <w:rPr>
                <w:rFonts w:hint="eastAsia" w:ascii="宋体" w:hAnsi="宋体" w:cs="宋体"/>
                <w:color w:val="000000"/>
                <w:kern w:val="2"/>
                <w:sz w:val="21"/>
                <w:szCs w:val="21"/>
                <w:lang w:val="en-US" w:eastAsia="zh-CN"/>
              </w:rPr>
              <w:t>50.4</w:t>
            </w:r>
          </w:p>
        </w:tc>
        <w:tc>
          <w:tcPr>
            <w:tcW w:w="1200" w:type="dxa"/>
            <w:noWrap w:val="0"/>
            <w:tcMar>
              <w:left w:w="84" w:type="dxa"/>
              <w:right w:w="84" w:type="dxa"/>
            </w:tcMar>
            <w:vAlign w:val="center"/>
          </w:tcPr>
          <w:p>
            <w:pPr>
              <w:pStyle w:val="10"/>
              <w:keepNext w:val="0"/>
              <w:keepLines w:val="0"/>
              <w:pageBreakBefore w:val="0"/>
              <w:widowControl/>
              <w:kinsoku/>
              <w:wordWrap w:val="0"/>
              <w:overflowPunct/>
              <w:topLinePunct w:val="0"/>
              <w:autoSpaceDE/>
              <w:autoSpaceDN/>
              <w:bidi w:val="0"/>
              <w:adjustRightInd/>
              <w:snapToGrid/>
              <w:spacing w:line="360" w:lineRule="exact"/>
              <w:ind w:left="0" w:leftChars="0"/>
              <w:jc w:val="center"/>
              <w:textAlignment w:val="auto"/>
              <w:outlineLvl w:val="9"/>
              <w:rPr>
                <w:rFonts w:hint="default" w:ascii="宋体" w:hAnsi="宋体" w:eastAsia="宋体" w:cs="宋体"/>
                <w:color w:val="auto"/>
                <w:kern w:val="2"/>
                <w:sz w:val="21"/>
                <w:szCs w:val="21"/>
                <w:highlight w:val="none"/>
                <w:shd w:val="clear" w:color="auto" w:fill="auto"/>
                <w:lang w:val="en-US" w:eastAsia="zh-CN"/>
              </w:rPr>
            </w:pPr>
            <w:r>
              <w:rPr>
                <w:rFonts w:hint="eastAsia" w:ascii="宋体" w:hAnsi="宋体" w:cs="宋体"/>
                <w:color w:val="auto"/>
                <w:kern w:val="2"/>
                <w:sz w:val="21"/>
                <w:szCs w:val="21"/>
                <w:highlight w:val="none"/>
                <w:shd w:val="clear" w:color="auto" w:fill="auto"/>
                <w:lang w:val="en-US" w:eastAsia="zh-CN"/>
              </w:rPr>
              <w:t>55</w:t>
            </w:r>
          </w:p>
        </w:tc>
        <w:tc>
          <w:tcPr>
            <w:tcW w:w="827" w:type="dxa"/>
            <w:noWrap w:val="0"/>
            <w:tcMar>
              <w:left w:w="84" w:type="dxa"/>
              <w:right w:w="84" w:type="dxa"/>
            </w:tcMar>
            <w:vAlign w:val="center"/>
          </w:tcPr>
          <w:p>
            <w:pPr>
              <w:pStyle w:val="10"/>
              <w:keepNext w:val="0"/>
              <w:keepLines w:val="0"/>
              <w:pageBreakBefore w:val="0"/>
              <w:widowControl/>
              <w:kinsoku/>
              <w:wordWrap w:val="0"/>
              <w:overflowPunct/>
              <w:topLinePunct w:val="0"/>
              <w:autoSpaceDE/>
              <w:autoSpaceDN/>
              <w:bidi w:val="0"/>
              <w:adjustRightInd/>
              <w:snapToGrid/>
              <w:spacing w:line="360" w:lineRule="exact"/>
              <w:ind w:left="0" w:leftChars="0"/>
              <w:jc w:val="center"/>
              <w:textAlignment w:val="auto"/>
              <w:outlineLvl w:val="9"/>
              <w:rPr>
                <w:rFonts w:hint="eastAsia" w:ascii="宋体" w:hAnsi="宋体" w:cs="宋体"/>
                <w:b w:val="0"/>
                <w:bCs w:val="0"/>
                <w:color w:val="auto"/>
                <w:kern w:val="2"/>
                <w:sz w:val="21"/>
                <w:szCs w:val="21"/>
                <w:highlight w:val="none"/>
                <w:shd w:val="clear" w:color="auto" w:fill="auto"/>
                <w:lang w:val="en-US" w:eastAsia="zh-CN"/>
              </w:rPr>
            </w:pPr>
            <w:r>
              <w:rPr>
                <w:rFonts w:hint="eastAsia" w:ascii="宋体" w:hAnsi="宋体" w:cs="宋体"/>
                <w:b w:val="0"/>
                <w:bCs w:val="0"/>
                <w:color w:val="auto"/>
                <w:kern w:val="2"/>
                <w:sz w:val="21"/>
                <w:szCs w:val="21"/>
                <w:highlight w:val="none"/>
                <w:shd w:val="clear" w:color="auto" w:fill="auto"/>
                <w:lang w:val="en-US" w:eastAsia="zh-CN"/>
              </w:rPr>
              <w:t>—</w:t>
            </w:r>
          </w:p>
        </w:tc>
        <w:tc>
          <w:tcPr>
            <w:tcW w:w="1011" w:type="dxa"/>
            <w:noWrap w:val="0"/>
            <w:tcMar>
              <w:left w:w="84" w:type="dxa"/>
              <w:right w:w="84"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ind w:left="0" w:leftChars="0"/>
              <w:jc w:val="center"/>
              <w:textAlignment w:val="auto"/>
              <w:outlineLvl w:val="9"/>
              <w:rPr>
                <w:rFonts w:hint="eastAsia" w:ascii="宋体" w:hAnsi="宋体" w:cs="宋体"/>
                <w:color w:val="000000"/>
                <w:kern w:val="2"/>
                <w:sz w:val="21"/>
                <w:szCs w:val="21"/>
                <w:lang w:val="en-US" w:eastAsia="zh-CN"/>
              </w:rPr>
            </w:pPr>
            <w:r>
              <w:rPr>
                <w:rFonts w:hint="eastAsia" w:ascii="宋体" w:hAnsi="宋体" w:cs="宋体"/>
                <w:color w:val="000000"/>
                <w:kern w:val="2"/>
                <w:sz w:val="21"/>
                <w:szCs w:val="21"/>
                <w:lang w:val="en-US" w:eastAsia="zh-CN"/>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27" w:hRule="atLeast"/>
          <w:jc w:val="center"/>
        </w:trPr>
        <w:tc>
          <w:tcPr>
            <w:tcW w:w="712" w:type="dxa"/>
            <w:vMerge w:val="continue"/>
            <w:noWrap w:val="0"/>
            <w:tcMar>
              <w:left w:w="84" w:type="dxa"/>
              <w:right w:w="84" w:type="dxa"/>
            </w:tcMar>
            <w:vAlign w:val="center"/>
          </w:tcPr>
          <w:p>
            <w:pPr>
              <w:keepNext w:val="0"/>
              <w:keepLines w:val="0"/>
              <w:pageBreakBefore w:val="0"/>
              <w:kinsoku/>
              <w:overflowPunct/>
              <w:topLinePunct w:val="0"/>
              <w:autoSpaceDE/>
              <w:autoSpaceDN/>
              <w:bidi w:val="0"/>
              <w:adjustRightInd/>
              <w:snapToGrid/>
              <w:spacing w:line="360" w:lineRule="exact"/>
              <w:ind w:left="0" w:leftChars="0"/>
              <w:textAlignment w:val="auto"/>
              <w:outlineLvl w:val="9"/>
              <w:rPr>
                <w:rFonts w:hint="eastAsia" w:ascii="宋体" w:hAnsi="宋体" w:eastAsia="宋体" w:cs="宋体"/>
                <w:color w:val="000000"/>
                <w:sz w:val="21"/>
                <w:szCs w:val="21"/>
              </w:rPr>
            </w:pPr>
          </w:p>
        </w:tc>
        <w:tc>
          <w:tcPr>
            <w:tcW w:w="3641" w:type="dxa"/>
            <w:noWrap w:val="0"/>
            <w:tcMar>
              <w:left w:w="84" w:type="dxa"/>
              <w:right w:w="84" w:type="dxa"/>
            </w:tcMar>
            <w:vAlign w:val="center"/>
          </w:tcPr>
          <w:p>
            <w:pPr>
              <w:pStyle w:val="10"/>
              <w:keepNext w:val="0"/>
              <w:keepLines w:val="0"/>
              <w:pageBreakBefore w:val="0"/>
              <w:widowControl/>
              <w:kinsoku/>
              <w:wordWrap w:val="0"/>
              <w:overflowPunct/>
              <w:topLinePunct w:val="0"/>
              <w:autoSpaceDE/>
              <w:autoSpaceDN/>
              <w:bidi w:val="0"/>
              <w:adjustRightInd/>
              <w:snapToGrid/>
              <w:spacing w:line="360" w:lineRule="exact"/>
              <w:ind w:left="0" w:leftChars="0"/>
              <w:jc w:val="both"/>
              <w:textAlignment w:val="auto"/>
              <w:outlineLvl w:val="9"/>
              <w:rPr>
                <w:rFonts w:hint="default" w:ascii="宋体" w:hAnsi="宋体" w:eastAsia="宋体" w:cs="宋体"/>
                <w:color w:val="000000"/>
                <w:kern w:val="2"/>
                <w:sz w:val="21"/>
                <w:szCs w:val="21"/>
                <w:lang w:val="en-US" w:eastAsia="zh-CN"/>
              </w:rPr>
            </w:pPr>
            <w:r>
              <w:rPr>
                <w:rFonts w:hint="eastAsia" w:ascii="宋体" w:hAnsi="宋体" w:cs="宋体"/>
                <w:color w:val="000000"/>
                <w:kern w:val="2"/>
                <w:sz w:val="21"/>
                <w:szCs w:val="21"/>
                <w:lang w:val="en-US" w:eastAsia="zh-CN"/>
              </w:rPr>
              <w:t>13.新增城市配送车辆新能源比例</w:t>
            </w:r>
            <w:r>
              <w:rPr>
                <w:rFonts w:hint="eastAsia" w:ascii="宋体" w:hAnsi="宋体" w:cs="宋体"/>
                <w:b w:val="0"/>
                <w:bCs w:val="0"/>
                <w:color w:val="auto"/>
                <w:kern w:val="2"/>
                <w:sz w:val="21"/>
                <w:szCs w:val="21"/>
                <w:highlight w:val="none"/>
                <w:shd w:val="clear" w:color="auto" w:fill="auto"/>
                <w:lang w:eastAsia="zh-CN"/>
              </w:rPr>
              <w:t>（</w:t>
            </w:r>
            <w:r>
              <w:rPr>
                <w:rFonts w:hint="eastAsia" w:ascii="宋体" w:hAnsi="宋体" w:cs="宋体"/>
                <w:b w:val="0"/>
                <w:bCs w:val="0"/>
                <w:color w:val="auto"/>
                <w:kern w:val="2"/>
                <w:sz w:val="21"/>
                <w:szCs w:val="21"/>
                <w:highlight w:val="none"/>
                <w:shd w:val="clear" w:color="auto" w:fill="auto"/>
                <w:lang w:val="en-US" w:eastAsia="zh-CN"/>
              </w:rPr>
              <w:t>%</w:t>
            </w:r>
            <w:r>
              <w:rPr>
                <w:rFonts w:hint="eastAsia" w:ascii="宋体" w:hAnsi="宋体" w:cs="宋体"/>
                <w:b w:val="0"/>
                <w:bCs w:val="0"/>
                <w:color w:val="auto"/>
                <w:kern w:val="2"/>
                <w:sz w:val="21"/>
                <w:szCs w:val="21"/>
                <w:highlight w:val="none"/>
                <w:shd w:val="clear" w:color="auto" w:fill="auto"/>
                <w:lang w:eastAsia="zh-CN"/>
              </w:rPr>
              <w:t>）</w:t>
            </w:r>
          </w:p>
        </w:tc>
        <w:tc>
          <w:tcPr>
            <w:tcW w:w="1067" w:type="dxa"/>
            <w:noWrap w:val="0"/>
            <w:tcMar>
              <w:left w:w="84" w:type="dxa"/>
              <w:right w:w="84" w:type="dxa"/>
            </w:tcMar>
            <w:vAlign w:val="center"/>
          </w:tcPr>
          <w:p>
            <w:pPr>
              <w:pStyle w:val="10"/>
              <w:keepNext w:val="0"/>
              <w:keepLines w:val="0"/>
              <w:pageBreakBefore w:val="0"/>
              <w:widowControl/>
              <w:kinsoku/>
              <w:wordWrap w:val="0"/>
              <w:overflowPunct/>
              <w:topLinePunct w:val="0"/>
              <w:autoSpaceDE/>
              <w:autoSpaceDN/>
              <w:bidi w:val="0"/>
              <w:adjustRightInd/>
              <w:snapToGrid/>
              <w:spacing w:line="360" w:lineRule="exact"/>
              <w:ind w:left="0" w:leftChars="0"/>
              <w:jc w:val="center"/>
              <w:textAlignment w:val="auto"/>
              <w:outlineLvl w:val="9"/>
              <w:rPr>
                <w:rFonts w:hint="default" w:ascii="宋体" w:hAnsi="宋体" w:eastAsia="宋体" w:cs="宋体"/>
                <w:color w:val="000000"/>
                <w:kern w:val="2"/>
                <w:sz w:val="21"/>
                <w:szCs w:val="21"/>
                <w:lang w:val="en-US" w:eastAsia="zh-CN"/>
              </w:rPr>
            </w:pPr>
            <w:r>
              <w:rPr>
                <w:rFonts w:hint="eastAsia" w:ascii="宋体" w:hAnsi="宋体" w:cs="宋体"/>
                <w:b w:val="0"/>
                <w:bCs w:val="0"/>
                <w:color w:val="auto"/>
                <w:kern w:val="2"/>
                <w:sz w:val="21"/>
                <w:szCs w:val="21"/>
                <w:highlight w:val="none"/>
                <w:shd w:val="clear" w:color="auto" w:fill="auto"/>
                <w:lang w:val="en-US" w:eastAsia="zh-CN"/>
              </w:rPr>
              <w:t>—</w:t>
            </w:r>
          </w:p>
        </w:tc>
        <w:tc>
          <w:tcPr>
            <w:tcW w:w="1200" w:type="dxa"/>
            <w:noWrap w:val="0"/>
            <w:tcMar>
              <w:left w:w="84" w:type="dxa"/>
              <w:right w:w="84" w:type="dxa"/>
            </w:tcMar>
            <w:vAlign w:val="center"/>
          </w:tcPr>
          <w:p>
            <w:pPr>
              <w:pStyle w:val="10"/>
              <w:keepNext w:val="0"/>
              <w:keepLines w:val="0"/>
              <w:pageBreakBefore w:val="0"/>
              <w:widowControl/>
              <w:kinsoku/>
              <w:wordWrap w:val="0"/>
              <w:overflowPunct/>
              <w:topLinePunct w:val="0"/>
              <w:autoSpaceDE/>
              <w:autoSpaceDN/>
              <w:bidi w:val="0"/>
              <w:adjustRightInd/>
              <w:snapToGrid/>
              <w:spacing w:line="360" w:lineRule="exact"/>
              <w:ind w:left="0" w:leftChars="0"/>
              <w:jc w:val="center"/>
              <w:textAlignment w:val="auto"/>
              <w:outlineLvl w:val="9"/>
              <w:rPr>
                <w:rFonts w:hint="default" w:ascii="宋体" w:hAnsi="宋体" w:eastAsia="宋体" w:cs="宋体"/>
                <w:color w:val="auto"/>
                <w:kern w:val="2"/>
                <w:sz w:val="21"/>
                <w:szCs w:val="21"/>
                <w:highlight w:val="none"/>
                <w:shd w:val="clear" w:color="auto" w:fill="auto"/>
                <w:lang w:val="en-US" w:eastAsia="zh-CN"/>
              </w:rPr>
            </w:pPr>
            <w:r>
              <w:rPr>
                <w:rFonts w:hint="eastAsia" w:ascii="宋体" w:hAnsi="宋体" w:cs="宋体"/>
                <w:color w:val="auto"/>
                <w:kern w:val="2"/>
                <w:sz w:val="21"/>
                <w:szCs w:val="21"/>
                <w:highlight w:val="none"/>
                <w:shd w:val="clear" w:color="auto" w:fill="auto"/>
                <w:lang w:val="en-US" w:eastAsia="zh-CN"/>
              </w:rPr>
              <w:t>80</w:t>
            </w:r>
          </w:p>
        </w:tc>
        <w:tc>
          <w:tcPr>
            <w:tcW w:w="827" w:type="dxa"/>
            <w:noWrap w:val="0"/>
            <w:tcMar>
              <w:left w:w="84" w:type="dxa"/>
              <w:right w:w="84" w:type="dxa"/>
            </w:tcMar>
            <w:vAlign w:val="center"/>
          </w:tcPr>
          <w:p>
            <w:pPr>
              <w:pStyle w:val="10"/>
              <w:keepNext w:val="0"/>
              <w:keepLines w:val="0"/>
              <w:pageBreakBefore w:val="0"/>
              <w:widowControl/>
              <w:kinsoku/>
              <w:wordWrap w:val="0"/>
              <w:overflowPunct/>
              <w:topLinePunct w:val="0"/>
              <w:autoSpaceDE/>
              <w:autoSpaceDN/>
              <w:bidi w:val="0"/>
              <w:adjustRightInd/>
              <w:snapToGrid/>
              <w:spacing w:line="360" w:lineRule="exact"/>
              <w:ind w:left="0" w:leftChars="0"/>
              <w:jc w:val="center"/>
              <w:textAlignment w:val="auto"/>
              <w:outlineLvl w:val="9"/>
              <w:rPr>
                <w:rFonts w:hint="eastAsia" w:ascii="宋体" w:hAnsi="宋体" w:cs="宋体"/>
                <w:b w:val="0"/>
                <w:bCs w:val="0"/>
                <w:color w:val="auto"/>
                <w:kern w:val="2"/>
                <w:sz w:val="21"/>
                <w:szCs w:val="21"/>
                <w:highlight w:val="none"/>
                <w:shd w:val="clear" w:color="auto" w:fill="auto"/>
                <w:lang w:val="en-US" w:eastAsia="zh-CN"/>
              </w:rPr>
            </w:pPr>
            <w:r>
              <w:rPr>
                <w:rFonts w:hint="eastAsia" w:ascii="宋体" w:hAnsi="宋体" w:cs="宋体"/>
                <w:b w:val="0"/>
                <w:bCs w:val="0"/>
                <w:color w:val="auto"/>
                <w:kern w:val="2"/>
                <w:sz w:val="21"/>
                <w:szCs w:val="21"/>
                <w:highlight w:val="none"/>
                <w:shd w:val="clear" w:color="auto" w:fill="auto"/>
                <w:lang w:val="en-US" w:eastAsia="zh-CN"/>
              </w:rPr>
              <w:t>—</w:t>
            </w:r>
          </w:p>
        </w:tc>
        <w:tc>
          <w:tcPr>
            <w:tcW w:w="1011" w:type="dxa"/>
            <w:noWrap w:val="0"/>
            <w:tcMar>
              <w:left w:w="84" w:type="dxa"/>
              <w:right w:w="84" w:type="dxa"/>
            </w:tcMar>
            <w:vAlign w:val="center"/>
          </w:tcPr>
          <w:p>
            <w:pPr>
              <w:keepNext w:val="0"/>
              <w:keepLines w:val="0"/>
              <w:pageBreakBefore w:val="0"/>
              <w:widowControl/>
              <w:kinsoku/>
              <w:wordWrap w:val="0"/>
              <w:overflowPunct/>
              <w:topLinePunct w:val="0"/>
              <w:autoSpaceDE/>
              <w:autoSpaceDN/>
              <w:bidi w:val="0"/>
              <w:adjustRightInd/>
              <w:snapToGrid/>
              <w:spacing w:line="360" w:lineRule="exact"/>
              <w:ind w:left="0" w:leftChars="0"/>
              <w:jc w:val="center"/>
              <w:textAlignment w:val="auto"/>
              <w:outlineLvl w:val="9"/>
              <w:rPr>
                <w:rFonts w:hint="eastAsia" w:ascii="宋体" w:hAnsi="宋体" w:cs="宋体"/>
                <w:color w:val="000000"/>
                <w:kern w:val="2"/>
                <w:sz w:val="21"/>
                <w:szCs w:val="21"/>
                <w:lang w:val="en-US" w:eastAsia="zh-CN"/>
              </w:rPr>
            </w:pPr>
            <w:r>
              <w:rPr>
                <w:rFonts w:hint="eastAsia" w:ascii="宋体" w:hAnsi="宋体" w:cs="宋体"/>
                <w:color w:val="000000"/>
                <w:kern w:val="2"/>
                <w:sz w:val="21"/>
                <w:szCs w:val="21"/>
                <w:lang w:val="en-US" w:eastAsia="zh-CN"/>
              </w:rPr>
              <w:t>预期性</w:t>
            </w:r>
          </w:p>
        </w:tc>
      </w:tr>
    </w:tbl>
    <w:p>
      <w:pPr>
        <w:keepNext w:val="0"/>
        <w:keepLines w:val="0"/>
        <w:pageBreakBefore w:val="0"/>
        <w:numPr>
          <w:ilvl w:val="0"/>
          <w:numId w:val="0"/>
        </w:numPr>
        <w:kinsoku/>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b w:val="0"/>
          <w:bCs w:val="0"/>
          <w:color w:val="000000"/>
          <w:kern w:val="2"/>
          <w:sz w:val="32"/>
          <w:szCs w:val="32"/>
          <w:lang w:val="en-US" w:eastAsia="zh-CN" w:bidi="ar-SA"/>
        </w:rPr>
      </w:pPr>
      <w:r>
        <w:rPr>
          <w:rFonts w:hint="eastAsia" w:ascii="黑体" w:hAnsi="黑体" w:eastAsia="黑体" w:cs="黑体"/>
          <w:b w:val="0"/>
          <w:bCs w:val="0"/>
          <w:sz w:val="32"/>
          <w:szCs w:val="32"/>
          <w:lang w:val="en-US" w:eastAsia="zh-CN"/>
        </w:rPr>
        <w:t>三、空间布局</w:t>
      </w:r>
      <w:bookmarkEnd w:id="8"/>
      <w:bookmarkEnd w:id="9"/>
    </w:p>
    <w:p>
      <w:pPr>
        <w:keepNext w:val="0"/>
        <w:keepLines w:val="0"/>
        <w:pageBreakBefore w:val="0"/>
        <w:numPr>
          <w:ilvl w:val="0"/>
          <w:numId w:val="0"/>
        </w:numPr>
        <w:kinsoku/>
        <w:overflowPunct/>
        <w:topLinePunct w:val="0"/>
        <w:autoSpaceDE/>
        <w:autoSpaceDN/>
        <w:bidi w:val="0"/>
        <w:adjustRightInd/>
        <w:snapToGrid/>
        <w:spacing w:line="580" w:lineRule="exact"/>
        <w:ind w:firstLine="640" w:firstLineChars="200"/>
        <w:textAlignment w:val="auto"/>
        <w:rPr>
          <w:rFonts w:hint="default"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通过</w:t>
      </w:r>
      <w:r>
        <w:rPr>
          <w:rFonts w:hint="default" w:ascii="Times New Roman" w:hAnsi="Times New Roman" w:eastAsia="仿宋_GB2312" w:cs="Times New Roman"/>
          <w:color w:val="000000"/>
          <w:kern w:val="2"/>
          <w:sz w:val="32"/>
          <w:szCs w:val="32"/>
          <w:lang w:val="en-US" w:eastAsia="zh-CN" w:bidi="ar-SA"/>
        </w:rPr>
        <w:t>建设</w:t>
      </w:r>
      <w:r>
        <w:rPr>
          <w:rFonts w:hint="eastAsia" w:ascii="Times New Roman" w:hAnsi="Times New Roman" w:eastAsia="仿宋_GB2312" w:cs="Times New Roman"/>
          <w:color w:val="000000"/>
          <w:kern w:val="2"/>
          <w:sz w:val="32"/>
          <w:szCs w:val="32"/>
          <w:lang w:val="en-US" w:eastAsia="zh-CN" w:bidi="ar-SA"/>
        </w:rPr>
        <w:t>提升内外协同、高效联动的</w:t>
      </w:r>
      <w:r>
        <w:rPr>
          <w:rFonts w:hint="default" w:ascii="Times New Roman" w:hAnsi="Times New Roman" w:eastAsia="仿宋_GB2312" w:cs="Times New Roman"/>
          <w:color w:val="000000"/>
          <w:kern w:val="2"/>
          <w:sz w:val="32"/>
          <w:szCs w:val="32"/>
          <w:lang w:val="en-US" w:eastAsia="zh-CN" w:bidi="ar-SA"/>
        </w:rPr>
        <w:t>物流</w:t>
      </w:r>
      <w:r>
        <w:rPr>
          <w:rFonts w:hint="eastAsia" w:ascii="Times New Roman" w:hAnsi="Times New Roman" w:eastAsia="仿宋_GB2312" w:cs="Times New Roman"/>
          <w:color w:val="000000"/>
          <w:kern w:val="2"/>
          <w:sz w:val="32"/>
          <w:szCs w:val="32"/>
          <w:lang w:val="en-US" w:eastAsia="zh-CN" w:bidi="ar-SA"/>
        </w:rPr>
        <w:t>枢纽、</w:t>
      </w:r>
      <w:r>
        <w:rPr>
          <w:rFonts w:hint="default" w:ascii="Times New Roman" w:hAnsi="Times New Roman" w:eastAsia="仿宋_GB2312" w:cs="Times New Roman"/>
          <w:color w:val="000000"/>
          <w:kern w:val="2"/>
          <w:sz w:val="32"/>
          <w:szCs w:val="32"/>
          <w:lang w:val="en-US" w:eastAsia="zh-CN" w:bidi="ar-SA"/>
        </w:rPr>
        <w:t>节点，</w:t>
      </w:r>
      <w:r>
        <w:rPr>
          <w:rFonts w:hint="eastAsia" w:ascii="Times New Roman" w:hAnsi="Times New Roman" w:eastAsia="仿宋_GB2312" w:cs="Times New Roman"/>
          <w:color w:val="000000"/>
          <w:kern w:val="2"/>
          <w:sz w:val="32"/>
          <w:szCs w:val="32"/>
          <w:lang w:val="en-US" w:eastAsia="zh-CN" w:bidi="ar-SA"/>
        </w:rPr>
        <w:t>优化物流设施布局，推动健全“通道+枢纽+网络”物流运行体系，形成</w:t>
      </w:r>
      <w:r>
        <w:rPr>
          <w:rFonts w:hint="default" w:ascii="Times New Roman" w:hAnsi="Times New Roman" w:eastAsia="仿宋_GB2312" w:cs="Times New Roman"/>
          <w:color w:val="000000"/>
          <w:kern w:val="2"/>
          <w:sz w:val="32"/>
          <w:szCs w:val="32"/>
          <w:lang w:val="en-US" w:eastAsia="zh-CN" w:bidi="ar-SA"/>
        </w:rPr>
        <w:t>重点突出、层级清晰、功能完整、特色鲜明的物流</w:t>
      </w:r>
      <w:r>
        <w:rPr>
          <w:rFonts w:hint="eastAsia" w:ascii="Times New Roman" w:hAnsi="Times New Roman" w:eastAsia="仿宋_GB2312" w:cs="Times New Roman"/>
          <w:color w:val="000000"/>
          <w:kern w:val="2"/>
          <w:sz w:val="32"/>
          <w:szCs w:val="32"/>
          <w:lang w:val="en-US" w:eastAsia="zh-CN" w:bidi="ar-SA"/>
        </w:rPr>
        <w:t>协同发展新格局</w:t>
      </w:r>
      <w:r>
        <w:rPr>
          <w:rFonts w:hint="default" w:ascii="Times New Roman" w:hAnsi="Times New Roman" w:eastAsia="仿宋_GB2312" w:cs="Times New Roman"/>
          <w:color w:val="000000"/>
          <w:kern w:val="2"/>
          <w:sz w:val="32"/>
          <w:szCs w:val="32"/>
          <w:lang w:val="en-US" w:eastAsia="zh-CN" w:bidi="ar-SA"/>
        </w:rPr>
        <w:t>。</w:t>
      </w:r>
    </w:p>
    <w:p>
      <w:pPr>
        <w:keepNext w:val="0"/>
        <w:keepLines w:val="0"/>
        <w:pageBreakBefore w:val="0"/>
        <w:numPr>
          <w:ilvl w:val="0"/>
          <w:numId w:val="0"/>
        </w:numPr>
        <w:kinsoku/>
        <w:overflowPunct/>
        <w:topLinePunct w:val="0"/>
        <w:autoSpaceDE/>
        <w:autoSpaceDN/>
        <w:bidi w:val="0"/>
        <w:adjustRightInd/>
        <w:snapToGrid/>
        <w:spacing w:line="580" w:lineRule="exact"/>
        <w:ind w:leftChars="300"/>
        <w:textAlignment w:val="auto"/>
        <w:outlineLvl w:val="1"/>
        <w:rPr>
          <w:rFonts w:hint="eastAsia" w:ascii="CESI仿宋-GB2312" w:hAnsi="CESI仿宋-GB2312" w:eastAsia="CESI仿宋-GB2312" w:cs="CESI仿宋-GB2312"/>
          <w:b/>
          <w:bCs/>
          <w:sz w:val="32"/>
          <w:szCs w:val="32"/>
          <w:lang w:val="en-US" w:eastAsia="zh-CN"/>
        </w:rPr>
      </w:pPr>
      <w:bookmarkStart w:id="10" w:name="_Toc13259"/>
      <w:bookmarkStart w:id="11" w:name="_Toc27534"/>
      <w:r>
        <w:rPr>
          <w:rFonts w:hint="eastAsia" w:ascii="CESI仿宋-GB2312" w:hAnsi="CESI仿宋-GB2312" w:eastAsia="CESI仿宋-GB2312" w:cs="CESI仿宋-GB2312"/>
          <w:b/>
          <w:bCs/>
          <w:sz w:val="32"/>
          <w:szCs w:val="32"/>
          <w:lang w:val="en-US" w:eastAsia="zh-CN"/>
        </w:rPr>
        <w:t>（一）强化与周边区域</w:t>
      </w:r>
      <w:bookmarkEnd w:id="10"/>
      <w:bookmarkEnd w:id="11"/>
      <w:r>
        <w:rPr>
          <w:rFonts w:hint="eastAsia" w:ascii="CESI仿宋-GB2312" w:hAnsi="CESI仿宋-GB2312" w:eastAsia="CESI仿宋-GB2312" w:cs="CESI仿宋-GB2312"/>
          <w:b/>
          <w:bCs/>
          <w:sz w:val="32"/>
          <w:szCs w:val="32"/>
          <w:lang w:val="en-US" w:eastAsia="zh-CN"/>
        </w:rPr>
        <w:t>互联互通</w:t>
      </w:r>
    </w:p>
    <w:p>
      <w:pPr>
        <w:keepNext w:val="0"/>
        <w:keepLines w:val="0"/>
        <w:pageBreakBefore w:val="0"/>
        <w:numPr>
          <w:ilvl w:val="0"/>
          <w:numId w:val="0"/>
        </w:numPr>
        <w:kinsoku/>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深度融入共建“</w:t>
      </w:r>
      <w:r>
        <w:rPr>
          <w:rFonts w:hint="default" w:ascii="Times New Roman" w:hAnsi="Times New Roman" w:eastAsia="仿宋_GB2312" w:cs="Times New Roman"/>
          <w:color w:val="000000"/>
          <w:kern w:val="2"/>
          <w:sz w:val="32"/>
          <w:szCs w:val="32"/>
          <w:lang w:val="en-US" w:eastAsia="zh-CN" w:bidi="ar-SA"/>
        </w:rPr>
        <w:t>一带一路</w:t>
      </w:r>
      <w:r>
        <w:rPr>
          <w:rFonts w:hint="eastAsia" w:ascii="Times New Roman" w:hAnsi="Times New Roman" w:eastAsia="仿宋_GB2312" w:cs="Times New Roman"/>
          <w:color w:val="000000"/>
          <w:kern w:val="2"/>
          <w:sz w:val="32"/>
          <w:szCs w:val="32"/>
          <w:lang w:val="en-US" w:eastAsia="zh-CN" w:bidi="ar-SA"/>
        </w:rPr>
        <w:t>”大格局，落实国家</w:t>
      </w:r>
      <w:r>
        <w:rPr>
          <w:rFonts w:hint="default" w:ascii="Times New Roman" w:hAnsi="Times New Roman" w:eastAsia="仿宋_GB2312" w:cs="Times New Roman"/>
          <w:color w:val="000000"/>
          <w:kern w:val="2"/>
          <w:sz w:val="32"/>
          <w:szCs w:val="32"/>
          <w:lang w:val="en-US" w:eastAsia="zh-CN" w:bidi="ar-SA"/>
        </w:rPr>
        <w:t>推进西部大开发形成新格局</w:t>
      </w:r>
      <w:r>
        <w:rPr>
          <w:rFonts w:hint="eastAsia" w:ascii="Times New Roman" w:hAnsi="Times New Roman" w:eastAsia="仿宋_GB2312" w:cs="Times New Roman"/>
          <w:color w:val="000000"/>
          <w:kern w:val="2"/>
          <w:sz w:val="32"/>
          <w:szCs w:val="32"/>
          <w:lang w:val="en-US" w:eastAsia="zh-CN" w:bidi="ar-SA"/>
        </w:rPr>
        <w:t>、黄河流域生态保护和高质量发展等区域发展整体战略，结合国家物流网络规划布局</w:t>
      </w:r>
      <w:r>
        <w:rPr>
          <w:rFonts w:hint="default" w:ascii="Times New Roman" w:hAnsi="Times New Roman" w:eastAsia="仿宋_GB2312" w:cs="Times New Roman"/>
          <w:color w:val="000000"/>
          <w:kern w:val="2"/>
          <w:sz w:val="32"/>
          <w:szCs w:val="32"/>
          <w:lang w:val="en-US" w:eastAsia="zh-CN" w:bidi="ar-SA"/>
        </w:rPr>
        <w:t>，推动</w:t>
      </w:r>
      <w:r>
        <w:rPr>
          <w:rFonts w:hint="eastAsia" w:ascii="Times New Roman" w:hAnsi="Times New Roman" w:eastAsia="仿宋_GB2312" w:cs="Times New Roman"/>
          <w:color w:val="000000"/>
          <w:kern w:val="2"/>
          <w:sz w:val="32"/>
          <w:szCs w:val="32"/>
          <w:lang w:val="en-US" w:eastAsia="zh-CN" w:bidi="ar-SA"/>
        </w:rPr>
        <w:t>关中平原与成渝、中原、长江中游等周边城市群以及青岛、</w:t>
      </w:r>
      <w:r>
        <w:rPr>
          <w:rFonts w:hint="default" w:ascii="Times New Roman" w:hAnsi="Times New Roman" w:eastAsia="仿宋_GB2312" w:cs="Times New Roman"/>
          <w:color w:val="000000"/>
          <w:kern w:val="2"/>
          <w:sz w:val="32"/>
          <w:szCs w:val="32"/>
          <w:lang w:val="en-US" w:eastAsia="zh-CN" w:bidi="ar-SA"/>
        </w:rPr>
        <w:t>上海</w:t>
      </w:r>
      <w:r>
        <w:rPr>
          <w:rFonts w:hint="eastAsia" w:ascii="Times New Roman" w:hAnsi="Times New Roman" w:eastAsia="仿宋_GB2312" w:cs="Times New Roman"/>
          <w:color w:val="000000"/>
          <w:kern w:val="2"/>
          <w:sz w:val="32"/>
          <w:szCs w:val="32"/>
          <w:lang w:val="en-US" w:eastAsia="zh-CN" w:bidi="ar-SA"/>
        </w:rPr>
        <w:t>、宁波等</w:t>
      </w:r>
      <w:r>
        <w:rPr>
          <w:rFonts w:hint="default" w:ascii="Times New Roman" w:hAnsi="Times New Roman" w:eastAsia="仿宋_GB2312" w:cs="Times New Roman"/>
          <w:color w:val="000000"/>
          <w:kern w:val="2"/>
          <w:sz w:val="32"/>
          <w:szCs w:val="32"/>
          <w:lang w:val="en-US" w:eastAsia="zh-CN" w:bidi="ar-SA"/>
        </w:rPr>
        <w:t>沿海港口</w:t>
      </w:r>
      <w:r>
        <w:rPr>
          <w:rFonts w:hint="eastAsia" w:ascii="Times New Roman" w:hAnsi="Times New Roman" w:eastAsia="仿宋_GB2312" w:cs="Times New Roman"/>
          <w:color w:val="000000"/>
          <w:kern w:val="2"/>
          <w:sz w:val="32"/>
          <w:szCs w:val="32"/>
          <w:lang w:val="en-US" w:eastAsia="zh-CN" w:bidi="ar-SA"/>
        </w:rPr>
        <w:t>枢纽</w:t>
      </w:r>
      <w:r>
        <w:rPr>
          <w:rFonts w:hint="default" w:ascii="Times New Roman" w:hAnsi="Times New Roman" w:eastAsia="仿宋_GB2312" w:cs="Times New Roman"/>
          <w:color w:val="000000"/>
          <w:kern w:val="2"/>
          <w:sz w:val="32"/>
          <w:szCs w:val="32"/>
          <w:lang w:val="en-US" w:eastAsia="zh-CN" w:bidi="ar-SA"/>
        </w:rPr>
        <w:t>之间建立深层次物流</w:t>
      </w:r>
      <w:r>
        <w:rPr>
          <w:rFonts w:hint="eastAsia" w:ascii="Times New Roman" w:hAnsi="Times New Roman" w:eastAsia="仿宋_GB2312" w:cs="Times New Roman"/>
          <w:color w:val="000000"/>
          <w:kern w:val="2"/>
          <w:sz w:val="32"/>
          <w:szCs w:val="32"/>
          <w:lang w:val="en-US" w:eastAsia="zh-CN" w:bidi="ar-SA"/>
        </w:rPr>
        <w:t>协作</w:t>
      </w:r>
      <w:r>
        <w:rPr>
          <w:rFonts w:hint="default" w:ascii="Times New Roman" w:hAnsi="Times New Roman" w:eastAsia="仿宋_GB2312" w:cs="Times New Roman"/>
          <w:color w:val="000000"/>
          <w:kern w:val="2"/>
          <w:sz w:val="32"/>
          <w:szCs w:val="32"/>
          <w:lang w:val="en-US" w:eastAsia="zh-CN" w:bidi="ar-SA"/>
        </w:rPr>
        <w:t>关系</w:t>
      </w:r>
      <w:r>
        <w:rPr>
          <w:rFonts w:hint="eastAsia" w:ascii="Times New Roman" w:hAnsi="Times New Roman" w:eastAsia="仿宋_GB2312" w:cs="Times New Roman"/>
          <w:color w:val="000000"/>
          <w:kern w:val="2"/>
          <w:sz w:val="32"/>
          <w:szCs w:val="32"/>
          <w:lang w:val="en-US" w:eastAsia="zh-CN" w:bidi="ar-SA"/>
        </w:rPr>
        <w:t>，促进物流基础设施互联互通和信息资源共享，</w:t>
      </w:r>
      <w:r>
        <w:rPr>
          <w:rFonts w:hint="default" w:ascii="Times New Roman" w:hAnsi="Times New Roman" w:eastAsia="仿宋_GB2312" w:cs="Times New Roman"/>
          <w:color w:val="000000"/>
          <w:kern w:val="2"/>
          <w:sz w:val="32"/>
          <w:szCs w:val="32"/>
          <w:lang w:val="en-US" w:eastAsia="zh-CN" w:bidi="ar-SA"/>
        </w:rPr>
        <w:t>全方位深层次推进区域</w:t>
      </w:r>
      <w:r>
        <w:rPr>
          <w:rFonts w:hint="eastAsia" w:ascii="Times New Roman" w:hAnsi="Times New Roman" w:eastAsia="仿宋_GB2312" w:cs="Times New Roman"/>
          <w:color w:val="000000"/>
          <w:kern w:val="2"/>
          <w:sz w:val="32"/>
          <w:szCs w:val="32"/>
          <w:lang w:val="en-US" w:eastAsia="zh-CN" w:bidi="ar-SA"/>
        </w:rPr>
        <w:t>开放</w:t>
      </w:r>
      <w:r>
        <w:rPr>
          <w:rFonts w:hint="default" w:ascii="Times New Roman" w:hAnsi="Times New Roman" w:eastAsia="仿宋_GB2312" w:cs="Times New Roman"/>
          <w:color w:val="000000"/>
          <w:kern w:val="2"/>
          <w:sz w:val="32"/>
          <w:szCs w:val="32"/>
          <w:lang w:val="en-US" w:eastAsia="zh-CN" w:bidi="ar-SA"/>
        </w:rPr>
        <w:t>合作。</w:t>
      </w:r>
      <w:r>
        <w:rPr>
          <w:rFonts w:hint="eastAsia" w:ascii="Times New Roman" w:hAnsi="Times New Roman" w:eastAsia="仿宋_GB2312" w:cs="Times New Roman"/>
          <w:color w:val="000000"/>
          <w:kern w:val="2"/>
          <w:sz w:val="32"/>
          <w:szCs w:val="32"/>
          <w:lang w:val="en-US" w:eastAsia="zh-CN" w:bidi="ar-SA"/>
        </w:rPr>
        <w:t>探索建立区域物流一体化协同机制，推动西安、宝鸡、延安及周边郑州、洛阳、银川、兰州、太原、大同、临汾等国家物流枢纽共建共享共用和一体化衔接，优化区域经济分工合作，协同打造国家物流战略支点。</w:t>
      </w:r>
    </w:p>
    <w:p>
      <w:pPr>
        <w:keepNext w:val="0"/>
        <w:keepLines w:val="0"/>
        <w:pageBreakBefore w:val="0"/>
        <w:numPr>
          <w:ilvl w:val="0"/>
          <w:numId w:val="0"/>
        </w:numPr>
        <w:kinsoku/>
        <w:overflowPunct/>
        <w:topLinePunct w:val="0"/>
        <w:autoSpaceDE/>
        <w:autoSpaceDN/>
        <w:bidi w:val="0"/>
        <w:adjustRightInd/>
        <w:snapToGrid/>
        <w:spacing w:line="580" w:lineRule="exact"/>
        <w:ind w:leftChars="300"/>
        <w:textAlignment w:val="auto"/>
        <w:outlineLvl w:val="1"/>
        <w:rPr>
          <w:rFonts w:hint="eastAsia" w:ascii="CESI仿宋-GB2312" w:hAnsi="CESI仿宋-GB2312" w:eastAsia="CESI仿宋-GB2312" w:cs="CESI仿宋-GB2312"/>
          <w:b/>
          <w:bCs/>
          <w:sz w:val="32"/>
          <w:szCs w:val="32"/>
          <w:lang w:val="en-US" w:eastAsia="zh-CN"/>
        </w:rPr>
      </w:pPr>
      <w:bookmarkStart w:id="12" w:name="_Toc15759"/>
      <w:r>
        <w:rPr>
          <w:rFonts w:hint="eastAsia" w:ascii="CESI仿宋-GB2312" w:hAnsi="CESI仿宋-GB2312" w:eastAsia="CESI仿宋-GB2312" w:cs="CESI仿宋-GB2312"/>
          <w:b/>
          <w:bCs/>
          <w:sz w:val="32"/>
          <w:szCs w:val="32"/>
          <w:lang w:val="en-US" w:eastAsia="zh-CN"/>
        </w:rPr>
        <w:t>（二）优化省内物流设施布局</w:t>
      </w:r>
      <w:bookmarkEnd w:id="12"/>
    </w:p>
    <w:p>
      <w:pPr>
        <w:keepNext w:val="0"/>
        <w:keepLines w:val="0"/>
        <w:pageBreakBefore w:val="0"/>
        <w:numPr>
          <w:ilvl w:val="0"/>
          <w:numId w:val="0"/>
        </w:numPr>
        <w:kinsoku/>
        <w:overflowPunct/>
        <w:topLinePunct w:val="0"/>
        <w:autoSpaceDE/>
        <w:autoSpaceDN/>
        <w:bidi w:val="0"/>
        <w:adjustRightInd/>
        <w:snapToGrid/>
        <w:spacing w:line="580" w:lineRule="exact"/>
        <w:ind w:firstLine="640" w:firstLineChars="200"/>
        <w:textAlignment w:val="auto"/>
        <w:outlineLvl w:val="1"/>
        <w:rPr>
          <w:rFonts w:hint="eastAsia" w:ascii="Times New Roman" w:hAnsi="Times New Roman" w:eastAsia="仿宋_GB2312" w:cs="Times New Roman"/>
          <w:color w:val="000000"/>
          <w:kern w:val="2"/>
          <w:sz w:val="32"/>
          <w:szCs w:val="32"/>
          <w:lang w:val="en-US" w:eastAsia="zh-CN" w:bidi="ar-SA"/>
        </w:rPr>
      </w:pPr>
      <w:r>
        <w:rPr>
          <w:rFonts w:hint="eastAsia" w:ascii="Times New Roman" w:hAnsi="Times New Roman" w:eastAsia="仿宋_GB2312" w:cs="Times New Roman"/>
          <w:color w:val="000000"/>
          <w:kern w:val="2"/>
          <w:sz w:val="32"/>
          <w:szCs w:val="32"/>
          <w:lang w:val="en-US" w:eastAsia="zh-CN" w:bidi="ar-SA"/>
        </w:rPr>
        <w:t>进一步提升西安国家中心城市的综合物流服务能级，完善延安陆港型、宝鸡生产服务型国家物流枢纽功能</w:t>
      </w:r>
      <w:r>
        <w:rPr>
          <w:rFonts w:hint="default" w:ascii="Times New Roman" w:hAnsi="Times New Roman" w:eastAsia="仿宋_GB2312" w:cs="Times New Roman"/>
          <w:color w:val="000000"/>
          <w:kern w:val="2"/>
          <w:sz w:val="32"/>
          <w:szCs w:val="32"/>
          <w:lang w:val="en-US" w:eastAsia="zh-CN" w:bidi="ar-SA"/>
        </w:rPr>
        <w:t>，</w:t>
      </w:r>
      <w:r>
        <w:rPr>
          <w:rFonts w:hint="eastAsia" w:ascii="Times New Roman" w:hAnsi="Times New Roman" w:eastAsia="仿宋_GB2312" w:cs="Times New Roman"/>
          <w:color w:val="000000"/>
          <w:kern w:val="2"/>
          <w:sz w:val="32"/>
          <w:szCs w:val="32"/>
          <w:lang w:val="en-US" w:eastAsia="zh-CN" w:bidi="ar-SA"/>
        </w:rPr>
        <w:t>支持榆林打造能源化工物流基地，加快建设汉中多式联运智慧物流园、安康“无水港”、渭南国际现代物流港等重大物流设施。加强规划统筹，引导关中、陕南、陕北三大片区构建特色鲜明的供应链分工体系。通过物联网 、大数据及信息化技术推动省内物流节点、园区、配送中心及物流企业协同联动、结链成网，推动全省物流一体化发展，加快形成“枢纽协同、陆空联动”物流发展新格局。</w:t>
      </w:r>
    </w:p>
    <w:p>
      <w:pPr>
        <w:keepNext w:val="0"/>
        <w:keepLines w:val="0"/>
        <w:pageBreakBefore w:val="0"/>
        <w:numPr>
          <w:ilvl w:val="0"/>
          <w:numId w:val="0"/>
        </w:numPr>
        <w:kinsoku/>
        <w:overflowPunct/>
        <w:topLinePunct w:val="0"/>
        <w:autoSpaceDE/>
        <w:autoSpaceDN/>
        <w:bidi w:val="0"/>
        <w:adjustRightInd/>
        <w:snapToGrid/>
        <w:spacing w:line="580" w:lineRule="exact"/>
        <w:ind w:leftChars="300"/>
        <w:textAlignment w:val="auto"/>
        <w:outlineLvl w:val="1"/>
        <w:rPr>
          <w:rFonts w:hint="eastAsia" w:ascii="CESI仿宋-GB2312" w:hAnsi="CESI仿宋-GB2312" w:eastAsia="CESI仿宋-GB2312" w:cs="CESI仿宋-GB2312"/>
          <w:b/>
          <w:bCs/>
          <w:sz w:val="32"/>
          <w:szCs w:val="32"/>
          <w:lang w:val="en-US" w:eastAsia="zh-CN"/>
        </w:rPr>
      </w:pPr>
      <w:r>
        <w:rPr>
          <w:rFonts w:hint="eastAsia" w:ascii="CESI仿宋-GB2312" w:hAnsi="CESI仿宋-GB2312" w:eastAsia="CESI仿宋-GB2312" w:cs="CESI仿宋-GB2312"/>
          <w:b/>
          <w:bCs/>
          <w:sz w:val="32"/>
          <w:szCs w:val="32"/>
          <w:lang w:val="en-US" w:eastAsia="zh-CN"/>
        </w:rPr>
        <w:t>（三）完善“通道+枢纽+网络”运行体系</w:t>
      </w:r>
    </w:p>
    <w:p>
      <w:pPr>
        <w:pStyle w:val="2"/>
        <w:keepNext w:val="0"/>
        <w:keepLines w:val="0"/>
        <w:pageBreakBefore w:val="0"/>
        <w:widowControl w:val="0"/>
        <w:kinsoku/>
        <w:wordWrap/>
        <w:overflowPunct/>
        <w:topLinePunct w:val="0"/>
        <w:autoSpaceDE/>
        <w:autoSpaceDN/>
        <w:bidi w:val="0"/>
        <w:adjustRightInd/>
        <w:snapToGrid/>
        <w:spacing w:after="0" w:afterLines="0" w:line="580" w:lineRule="exact"/>
        <w:ind w:left="0" w:leftChars="0" w:firstLine="0" w:firstLineChars="0"/>
        <w:textAlignment w:val="auto"/>
        <w:outlineLvl w:val="9"/>
        <w:rPr>
          <w:rFonts w:hint="eastAsia" w:ascii="Times New Roman" w:hAnsi="Times New Roman" w:eastAsia="仿宋_GB2312" w:cs="Times New Roman"/>
          <w:b w:val="0"/>
          <w:bCs w:val="0"/>
          <w:color w:val="000000"/>
          <w:kern w:val="2"/>
          <w:sz w:val="32"/>
          <w:szCs w:val="32"/>
          <w:lang w:val="en-US" w:eastAsia="zh-CN" w:bidi="ar-SA"/>
        </w:rPr>
      </w:pPr>
      <w:r>
        <w:rPr>
          <w:rFonts w:hint="eastAsia" w:ascii="楷体" w:hAnsi="楷体" w:eastAsia="楷体" w:cs="楷体"/>
          <w:b w:val="0"/>
          <w:bCs w:val="0"/>
          <w:kern w:val="2"/>
          <w:sz w:val="32"/>
          <w:szCs w:val="32"/>
          <w:highlight w:val="none"/>
          <w:lang w:val="en-US" w:eastAsia="zh-CN" w:bidi="ar-SA"/>
        </w:rPr>
        <w:t xml:space="preserve">    拓展物流大通道。</w:t>
      </w:r>
      <w:r>
        <w:rPr>
          <w:rFonts w:hint="eastAsia" w:ascii="Times New Roman" w:hAnsi="Times New Roman" w:eastAsia="仿宋_GB2312" w:cs="Times New Roman"/>
          <w:b w:val="0"/>
          <w:bCs w:val="0"/>
          <w:color w:val="000000"/>
          <w:kern w:val="2"/>
          <w:sz w:val="32"/>
          <w:szCs w:val="32"/>
          <w:lang w:val="en-US" w:eastAsia="zh-CN" w:bidi="ar-SA"/>
        </w:rPr>
        <w:t>积极参与国家“四纵四横、两沿十廊”国家物流网络建设。依托陆桥物流大通道，深化与天津、青岛、连云港等东部沿海港口海铁联运合作，拓展连接西亚、中亚和欧洲的丝绸之路经济带国际运输走廊，推动构筑内陆地区效率高、成本低、服务优的国际贸易通道。推动畅通二连浩特至北部湾物流大通道，依托浩吉铁路配套公铁联运转运设施，提升通道内物流枢纽、节点的集疏运能力，推动陕西与呼包鄂榆、山西中部、北部湾城市群等区域高效联通，深度对接长江经济带、粤港澳大湾区。</w:t>
      </w:r>
    </w:p>
    <w:p>
      <w:pPr>
        <w:pStyle w:val="2"/>
        <w:keepNext w:val="0"/>
        <w:keepLines w:val="0"/>
        <w:pageBreakBefore w:val="0"/>
        <w:widowControl w:val="0"/>
        <w:kinsoku/>
        <w:wordWrap/>
        <w:overflowPunct/>
        <w:topLinePunct w:val="0"/>
        <w:autoSpaceDE/>
        <w:autoSpaceDN/>
        <w:bidi w:val="0"/>
        <w:adjustRightInd/>
        <w:snapToGrid/>
        <w:spacing w:after="0" w:afterLines="0" w:line="580" w:lineRule="exact"/>
        <w:ind w:left="0" w:leftChars="0" w:firstLine="0" w:firstLineChars="0"/>
        <w:textAlignment w:val="auto"/>
        <w:outlineLvl w:val="9"/>
        <w:rPr>
          <w:rFonts w:hint="eastAsia" w:ascii="Times New Roman" w:hAnsi="Times New Roman" w:eastAsia="仿宋_GB2312" w:cs="Times New Roman"/>
          <w:b w:val="0"/>
          <w:bCs w:val="0"/>
          <w:color w:val="000000"/>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afterLines="0" w:line="580" w:lineRule="exact"/>
        <w:ind w:left="0" w:leftChars="0" w:firstLine="0" w:firstLineChars="0"/>
        <w:textAlignment w:val="auto"/>
        <w:outlineLvl w:val="9"/>
        <w:rPr>
          <w:rFonts w:hint="eastAsia" w:ascii="Times New Roman" w:hAnsi="Times New Roman" w:eastAsia="仿宋_GB2312" w:cs="Times New Roman"/>
          <w:b w:val="0"/>
          <w:bCs w:val="0"/>
          <w:color w:val="000000"/>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afterLines="0" w:line="580" w:lineRule="exact"/>
        <w:ind w:left="0" w:leftChars="0" w:firstLine="0" w:firstLineChars="0"/>
        <w:textAlignment w:val="auto"/>
        <w:outlineLvl w:val="9"/>
        <w:rPr>
          <w:rFonts w:hint="eastAsia" w:ascii="Times New Roman" w:hAnsi="Times New Roman" w:eastAsia="仿宋_GB2312" w:cs="Times New Roman"/>
          <w:b w:val="0"/>
          <w:bCs w:val="0"/>
          <w:color w:val="000000"/>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afterLines="0" w:line="580" w:lineRule="exact"/>
        <w:ind w:left="0" w:leftChars="0" w:firstLine="0" w:firstLineChars="0"/>
        <w:textAlignment w:val="auto"/>
        <w:outlineLvl w:val="9"/>
        <w:rPr>
          <w:rFonts w:hint="eastAsia" w:ascii="Times New Roman" w:hAnsi="Times New Roman" w:eastAsia="仿宋_GB2312" w:cs="Times New Roman"/>
          <w:b w:val="0"/>
          <w:bCs w:val="0"/>
          <w:color w:val="000000"/>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afterLines="0" w:line="580" w:lineRule="exact"/>
        <w:ind w:left="0" w:leftChars="0" w:firstLine="0" w:firstLineChars="0"/>
        <w:textAlignment w:val="auto"/>
        <w:outlineLvl w:val="9"/>
        <w:rPr>
          <w:rFonts w:hint="eastAsia" w:ascii="Times New Roman" w:hAnsi="Times New Roman" w:eastAsia="仿宋_GB2312" w:cs="Times New Roman"/>
          <w:b w:val="0"/>
          <w:bCs w:val="0"/>
          <w:color w:val="000000"/>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afterLines="0" w:line="580" w:lineRule="exact"/>
        <w:ind w:left="0" w:leftChars="0" w:firstLine="0" w:firstLineChars="0"/>
        <w:textAlignment w:val="auto"/>
        <w:outlineLvl w:val="9"/>
        <w:rPr>
          <w:rFonts w:hint="eastAsia" w:ascii="Times New Roman" w:hAnsi="Times New Roman" w:eastAsia="仿宋_GB2312" w:cs="Times New Roman"/>
          <w:b w:val="0"/>
          <w:bCs w:val="0"/>
          <w:color w:val="000000"/>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afterLines="0" w:line="580" w:lineRule="exact"/>
        <w:ind w:left="0" w:leftChars="0" w:firstLine="0" w:firstLineChars="0"/>
        <w:textAlignment w:val="auto"/>
        <w:outlineLvl w:val="9"/>
        <w:rPr>
          <w:rFonts w:hint="eastAsia" w:ascii="Times New Roman" w:hAnsi="Times New Roman" w:eastAsia="仿宋_GB2312" w:cs="Times New Roman"/>
          <w:b w:val="0"/>
          <w:bCs w:val="0"/>
          <w:color w:val="000000"/>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afterLines="0" w:line="580" w:lineRule="exact"/>
        <w:ind w:left="0" w:leftChars="0" w:firstLine="0" w:firstLineChars="0"/>
        <w:textAlignment w:val="auto"/>
        <w:outlineLvl w:val="9"/>
        <w:rPr>
          <w:rFonts w:hint="eastAsia" w:ascii="Times New Roman" w:hAnsi="Times New Roman" w:eastAsia="仿宋_GB2312" w:cs="Times New Roman"/>
          <w:b w:val="0"/>
          <w:bCs w:val="0"/>
          <w:color w:val="000000"/>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afterLines="0" w:line="580" w:lineRule="exact"/>
        <w:ind w:left="0" w:leftChars="0" w:firstLine="0" w:firstLineChars="0"/>
        <w:textAlignment w:val="auto"/>
        <w:outlineLvl w:val="9"/>
        <w:rPr>
          <w:rFonts w:hint="eastAsia" w:ascii="Times New Roman" w:hAnsi="Times New Roman" w:eastAsia="仿宋_GB2312" w:cs="Times New Roman"/>
          <w:b w:val="0"/>
          <w:bCs w:val="0"/>
          <w:color w:val="000000"/>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afterLines="0" w:line="580" w:lineRule="exact"/>
        <w:ind w:left="0" w:leftChars="0" w:firstLine="0" w:firstLineChars="0"/>
        <w:textAlignment w:val="auto"/>
        <w:outlineLvl w:val="9"/>
        <w:rPr>
          <w:rFonts w:hint="eastAsia" w:ascii="Times New Roman" w:hAnsi="Times New Roman" w:eastAsia="仿宋_GB2312" w:cs="Times New Roman"/>
          <w:b w:val="0"/>
          <w:bCs w:val="0"/>
          <w:color w:val="000000"/>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afterLines="0" w:line="580" w:lineRule="exact"/>
        <w:ind w:left="0" w:leftChars="0" w:firstLine="0" w:firstLineChars="0"/>
        <w:textAlignment w:val="auto"/>
        <w:outlineLvl w:val="9"/>
        <w:rPr>
          <w:rFonts w:hint="eastAsia" w:ascii="Times New Roman" w:hAnsi="Times New Roman" w:eastAsia="仿宋_GB2312" w:cs="Times New Roman"/>
          <w:b w:val="0"/>
          <w:bCs w:val="0"/>
          <w:color w:val="000000"/>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afterLines="0" w:line="580" w:lineRule="exact"/>
        <w:ind w:left="0" w:leftChars="0" w:firstLine="0" w:firstLineChars="0"/>
        <w:textAlignment w:val="auto"/>
        <w:outlineLvl w:val="9"/>
        <w:rPr>
          <w:rFonts w:hint="eastAsia" w:ascii="Times New Roman" w:hAnsi="Times New Roman" w:eastAsia="仿宋_GB2312" w:cs="Times New Roman"/>
          <w:b w:val="0"/>
          <w:bCs w:val="0"/>
          <w:color w:val="000000"/>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afterLines="0" w:line="580" w:lineRule="exact"/>
        <w:ind w:left="0" w:leftChars="0" w:firstLine="0" w:firstLineChars="0"/>
        <w:textAlignment w:val="auto"/>
        <w:outlineLvl w:val="9"/>
        <w:rPr>
          <w:rFonts w:hint="eastAsia" w:ascii="Times New Roman" w:hAnsi="Times New Roman" w:eastAsia="仿宋_GB2312" w:cs="Times New Roman"/>
          <w:b w:val="0"/>
          <w:bCs w:val="0"/>
          <w:color w:val="000000"/>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afterLines="0" w:line="580" w:lineRule="exact"/>
        <w:ind w:left="0" w:leftChars="0" w:firstLine="0" w:firstLineChars="0"/>
        <w:textAlignment w:val="auto"/>
        <w:outlineLvl w:val="9"/>
        <w:rPr>
          <w:rFonts w:hint="eastAsia" w:ascii="Times New Roman" w:hAnsi="Times New Roman" w:eastAsia="仿宋_GB2312" w:cs="Times New Roman"/>
          <w:b w:val="0"/>
          <w:bCs w:val="0"/>
          <w:color w:val="000000"/>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afterLines="0" w:line="580" w:lineRule="exact"/>
        <w:ind w:left="0" w:leftChars="0" w:firstLine="0" w:firstLineChars="0"/>
        <w:textAlignment w:val="auto"/>
        <w:outlineLvl w:val="9"/>
        <w:rPr>
          <w:rFonts w:hint="eastAsia" w:ascii="Times New Roman" w:hAnsi="Times New Roman" w:eastAsia="仿宋_GB2312" w:cs="Times New Roman"/>
          <w:b w:val="0"/>
          <w:bCs w:val="0"/>
          <w:color w:val="000000"/>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afterLines="0" w:line="580" w:lineRule="exact"/>
        <w:ind w:left="0" w:leftChars="0" w:firstLine="0" w:firstLineChars="0"/>
        <w:textAlignment w:val="auto"/>
        <w:outlineLvl w:val="9"/>
        <w:rPr>
          <w:rFonts w:hint="eastAsia" w:ascii="Times New Roman" w:hAnsi="Times New Roman" w:eastAsia="仿宋_GB2312" w:cs="Times New Roman"/>
          <w:b w:val="0"/>
          <w:bCs w:val="0"/>
          <w:color w:val="000000"/>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afterLines="0" w:line="580" w:lineRule="exact"/>
        <w:ind w:left="0" w:leftChars="0" w:firstLine="0" w:firstLineChars="0"/>
        <w:textAlignment w:val="auto"/>
        <w:outlineLvl w:val="9"/>
        <w:rPr>
          <w:rFonts w:hint="eastAsia" w:ascii="Times New Roman" w:hAnsi="Times New Roman" w:eastAsia="仿宋_GB2312" w:cs="Times New Roman"/>
          <w:b w:val="0"/>
          <w:bCs w:val="0"/>
          <w:color w:val="000000"/>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afterLines="0" w:line="580" w:lineRule="exact"/>
        <w:ind w:left="0" w:leftChars="0" w:firstLine="0" w:firstLineChars="0"/>
        <w:textAlignment w:val="auto"/>
        <w:outlineLvl w:val="9"/>
        <w:rPr>
          <w:rFonts w:hint="eastAsia" w:ascii="Times New Roman" w:hAnsi="Times New Roman" w:eastAsia="仿宋_GB2312" w:cs="Times New Roman"/>
          <w:b w:val="0"/>
          <w:bCs w:val="0"/>
          <w:color w:val="000000"/>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spacing w:after="0" w:afterLines="0" w:line="580" w:lineRule="exact"/>
        <w:ind w:left="0" w:leftChars="0" w:firstLine="0" w:firstLineChars="0"/>
        <w:textAlignment w:val="auto"/>
        <w:outlineLvl w:val="9"/>
        <w:rPr>
          <w:rFonts w:hint="eastAsia" w:ascii="Times New Roman" w:hAnsi="Times New Roman" w:eastAsia="仿宋_GB2312" w:cs="Times New Roman"/>
          <w:b w:val="0"/>
          <w:bCs w:val="0"/>
          <w:color w:val="000000"/>
          <w:kern w:val="2"/>
          <w:sz w:val="32"/>
          <w:szCs w:val="32"/>
          <w:lang w:val="en-US" w:eastAsia="zh-CN" w:bidi="ar-SA"/>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8" w:hRule="atLeast"/>
          <w:jc w:val="center"/>
        </w:trPr>
        <w:tc>
          <w:tcPr>
            <w:tcW w:w="8380" w:type="dxa"/>
            <w:noWrap w:val="0"/>
            <w:vAlign w:val="center"/>
          </w:tcPr>
          <w:p>
            <w:pPr>
              <w:keepNext w:val="0"/>
              <w:keepLines w:val="0"/>
              <w:pageBreakBefore w:val="0"/>
              <w:tabs>
                <w:tab w:val="left" w:pos="727"/>
                <w:tab w:val="center" w:pos="4122"/>
              </w:tabs>
              <w:kinsoku/>
              <w:wordWrap/>
              <w:overflowPunct/>
              <w:topLinePunct w:val="0"/>
              <w:autoSpaceDE/>
              <w:autoSpaceDN/>
              <w:bidi w:val="0"/>
              <w:adjustRightInd/>
              <w:snapToGrid/>
              <w:spacing w:line="320" w:lineRule="exact"/>
              <w:jc w:val="center"/>
              <w:textAlignment w:val="auto"/>
              <w:outlineLvl w:val="9"/>
              <w:rPr>
                <w:rFonts w:hint="eastAsia" w:ascii="黑体" w:hAnsi="黑体" w:eastAsia="黑体" w:cs="黑体"/>
                <w:b w:val="0"/>
                <w:bCs w:val="0"/>
                <w:color w:val="000000"/>
                <w:sz w:val="21"/>
                <w:szCs w:val="21"/>
                <w:lang w:val="en-US" w:eastAsia="zh-CN"/>
              </w:rPr>
            </w:pPr>
            <w:r>
              <w:rPr>
                <w:rFonts w:hint="eastAsia" w:ascii="楷体" w:hAnsi="楷体" w:eastAsia="楷体" w:cs="楷体"/>
                <w:b w:val="0"/>
                <w:bCs w:val="0"/>
                <w:color w:val="000000"/>
                <w:sz w:val="28"/>
                <w:szCs w:val="28"/>
              </w:rPr>
              <w:t>专栏</w:t>
            </w:r>
            <w:r>
              <w:rPr>
                <w:rFonts w:hint="eastAsia" w:ascii="楷体" w:hAnsi="楷体" w:eastAsia="楷体" w:cs="楷体"/>
                <w:b w:val="0"/>
                <w:bCs w:val="0"/>
                <w:color w:val="000000"/>
                <w:sz w:val="28"/>
                <w:szCs w:val="28"/>
                <w:lang w:val="en-US" w:eastAsia="zh-CN"/>
              </w:rPr>
              <w:t xml:space="preserve">1  </w:t>
            </w:r>
            <w:r>
              <w:rPr>
                <w:rFonts w:hint="eastAsia" w:ascii="楷体" w:hAnsi="楷体" w:eastAsia="楷体" w:cs="楷体"/>
                <w:b w:val="0"/>
                <w:bCs w:val="0"/>
                <w:color w:val="000000"/>
                <w:sz w:val="28"/>
                <w:szCs w:val="28"/>
                <w:lang w:eastAsia="zh-CN"/>
              </w:rPr>
              <w:t>物流</w:t>
            </w:r>
            <w:r>
              <w:rPr>
                <w:rFonts w:hint="eastAsia" w:ascii="楷体" w:hAnsi="楷体" w:eastAsia="楷体" w:cs="楷体"/>
                <w:b w:val="0"/>
                <w:bCs w:val="0"/>
                <w:color w:val="000000"/>
                <w:kern w:val="2"/>
                <w:sz w:val="28"/>
                <w:szCs w:val="28"/>
                <w:lang w:val="en-US" w:eastAsia="zh-CN" w:bidi="ar-SA"/>
              </w:rPr>
              <w:t>布局优化工程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18" w:hRule="atLeast"/>
          <w:jc w:val="center"/>
        </w:trPr>
        <w:tc>
          <w:tcPr>
            <w:tcW w:w="8380" w:type="dxa"/>
            <w:noWrap w:val="0"/>
            <w:vAlign w:val="center"/>
          </w:tcPr>
          <w:p>
            <w:pPr>
              <w:keepNext w:val="0"/>
              <w:keepLines w:val="0"/>
              <w:pageBreakBefore w:val="0"/>
              <w:kinsoku/>
              <w:wordWrap/>
              <w:overflowPunct/>
              <w:topLinePunct w:val="0"/>
              <w:autoSpaceDE/>
              <w:autoSpaceDN/>
              <w:bidi w:val="0"/>
              <w:adjustRightInd/>
              <w:snapToGrid/>
              <w:spacing w:line="320" w:lineRule="exact"/>
              <w:ind w:left="0" w:leftChars="0" w:firstLine="420" w:firstLineChars="200"/>
              <w:jc w:val="both"/>
              <w:textAlignment w:val="auto"/>
              <w:outlineLvl w:val="9"/>
              <w:rPr>
                <w:rFonts w:hint="eastAsia" w:ascii="仿宋_GB2312" w:hAnsi="仿宋_GB2312" w:eastAsia="仿宋_GB2312" w:cs="仿宋_GB2312"/>
                <w:color w:val="auto"/>
                <w:sz w:val="21"/>
                <w:szCs w:val="21"/>
              </w:rPr>
            </w:pPr>
            <w:r>
              <w:rPr>
                <w:rFonts w:hint="eastAsia" w:ascii="黑体" w:hAnsi="黑体" w:eastAsia="黑体" w:cs="黑体"/>
                <w:b w:val="0"/>
                <w:bCs w:val="0"/>
                <w:color w:val="000000"/>
                <w:sz w:val="21"/>
                <w:szCs w:val="21"/>
                <w:lang w:eastAsia="zh-CN"/>
              </w:rPr>
              <w:t>西安：</w:t>
            </w:r>
            <w:r>
              <w:rPr>
                <w:rFonts w:hint="eastAsia" w:ascii="仿宋_GB2312" w:hAnsi="仿宋_GB2312" w:eastAsia="仿宋_GB2312" w:cs="仿宋_GB2312"/>
                <w:color w:val="auto"/>
                <w:sz w:val="21"/>
                <w:szCs w:val="21"/>
                <w:lang w:eastAsia="zh-CN"/>
              </w:rPr>
              <w:t>深化西安</w:t>
            </w:r>
            <w:r>
              <w:rPr>
                <w:rFonts w:hint="eastAsia" w:ascii="仿宋_GB2312" w:hAnsi="仿宋_GB2312" w:eastAsia="仿宋_GB2312" w:cs="仿宋_GB2312"/>
                <w:color w:val="auto"/>
                <w:sz w:val="21"/>
                <w:szCs w:val="21"/>
              </w:rPr>
              <w:t>咸</w:t>
            </w:r>
            <w:r>
              <w:rPr>
                <w:rFonts w:hint="eastAsia" w:ascii="仿宋_GB2312" w:hAnsi="仿宋_GB2312" w:eastAsia="仿宋_GB2312" w:cs="仿宋_GB2312"/>
                <w:color w:val="auto"/>
                <w:sz w:val="21"/>
                <w:szCs w:val="21"/>
                <w:lang w:eastAsia="zh-CN"/>
              </w:rPr>
              <w:t>阳</w:t>
            </w:r>
            <w:r>
              <w:rPr>
                <w:rFonts w:hint="eastAsia" w:ascii="仿宋_GB2312" w:hAnsi="仿宋_GB2312" w:eastAsia="仿宋_GB2312" w:cs="仿宋_GB2312"/>
                <w:color w:val="auto"/>
                <w:sz w:val="21"/>
                <w:szCs w:val="21"/>
              </w:rPr>
              <w:t>一体化</w:t>
            </w:r>
            <w:r>
              <w:rPr>
                <w:rFonts w:hint="eastAsia" w:ascii="仿宋_GB2312" w:hAnsi="仿宋_GB2312" w:eastAsia="仿宋_GB2312" w:cs="仿宋_GB2312"/>
                <w:color w:val="auto"/>
                <w:sz w:val="21"/>
                <w:szCs w:val="21"/>
                <w:lang w:eastAsia="zh-CN"/>
              </w:rPr>
              <w:t>发展</w:t>
            </w:r>
            <w:r>
              <w:rPr>
                <w:rFonts w:hint="eastAsia" w:ascii="仿宋_GB2312" w:hAnsi="仿宋_GB2312" w:eastAsia="仿宋_GB2312" w:cs="仿宋_GB2312"/>
                <w:color w:val="auto"/>
                <w:sz w:val="21"/>
                <w:szCs w:val="21"/>
              </w:rPr>
              <w:t>，高质量建设中欧班列西安集结中心，</w:t>
            </w:r>
            <w:r>
              <w:rPr>
                <w:rFonts w:hint="eastAsia" w:ascii="仿宋_GB2312" w:hAnsi="仿宋_GB2312" w:eastAsia="仿宋_GB2312" w:cs="仿宋_GB2312"/>
                <w:color w:val="auto"/>
                <w:sz w:val="21"/>
                <w:szCs w:val="21"/>
                <w:lang w:eastAsia="zh-CN"/>
              </w:rPr>
              <w:t>全面推进西安咸阳国际机场三期扩建工程，</w:t>
            </w:r>
            <w:r>
              <w:rPr>
                <w:rFonts w:hint="eastAsia" w:ascii="仿宋_GB2312" w:hAnsi="仿宋_GB2312" w:eastAsia="仿宋_GB2312" w:cs="仿宋_GB2312"/>
                <w:color w:val="auto"/>
                <w:sz w:val="21"/>
                <w:szCs w:val="21"/>
              </w:rPr>
              <w:t>打造西安国际性综合交通枢纽、航空枢纽和全球性邮政快递枢纽。推进物流网络优化升级，</w:t>
            </w:r>
            <w:r>
              <w:rPr>
                <w:rFonts w:hint="eastAsia" w:ascii="仿宋_GB2312" w:hAnsi="仿宋_GB2312" w:eastAsia="仿宋_GB2312" w:cs="仿宋_GB2312"/>
                <w:color w:val="auto"/>
                <w:sz w:val="21"/>
                <w:szCs w:val="21"/>
                <w:lang w:val="en-US" w:eastAsia="zh-CN"/>
              </w:rPr>
              <w:t>大力发展冷链</w:t>
            </w:r>
            <w:r>
              <w:rPr>
                <w:rFonts w:hint="eastAsia" w:ascii="仿宋_GB2312" w:hAnsi="仿宋_GB2312" w:eastAsia="仿宋_GB2312" w:cs="仿宋_GB2312"/>
                <w:color w:val="auto"/>
                <w:sz w:val="21"/>
                <w:szCs w:val="21"/>
              </w:rPr>
              <w:t>物流、商贸物流、</w:t>
            </w:r>
            <w:r>
              <w:rPr>
                <w:rFonts w:hint="eastAsia" w:ascii="仿宋_GB2312" w:hAnsi="仿宋_GB2312" w:eastAsia="仿宋_GB2312" w:cs="仿宋_GB2312"/>
                <w:color w:val="auto"/>
                <w:sz w:val="21"/>
                <w:szCs w:val="21"/>
                <w:lang w:eastAsia="zh-CN"/>
              </w:rPr>
              <w:t>航空物流、</w:t>
            </w:r>
            <w:r>
              <w:rPr>
                <w:rFonts w:hint="eastAsia" w:ascii="仿宋_GB2312" w:hAnsi="仿宋_GB2312" w:eastAsia="仿宋_GB2312" w:cs="仿宋_GB2312"/>
                <w:color w:val="auto"/>
                <w:sz w:val="21"/>
                <w:szCs w:val="21"/>
                <w:lang w:val="en-US" w:eastAsia="zh-CN"/>
              </w:rPr>
              <w:t>供应链管理</w:t>
            </w:r>
            <w:r>
              <w:rPr>
                <w:rFonts w:hint="eastAsia" w:ascii="仿宋_GB2312" w:hAnsi="仿宋_GB2312" w:eastAsia="仿宋_GB2312" w:cs="仿宋_GB2312"/>
                <w:color w:val="auto"/>
                <w:sz w:val="21"/>
                <w:szCs w:val="21"/>
              </w:rPr>
              <w:t>等</w:t>
            </w:r>
            <w:r>
              <w:rPr>
                <w:rFonts w:hint="eastAsia" w:ascii="仿宋_GB2312" w:hAnsi="仿宋_GB2312" w:eastAsia="仿宋_GB2312" w:cs="仿宋_GB2312"/>
                <w:color w:val="auto"/>
                <w:sz w:val="21"/>
                <w:szCs w:val="21"/>
                <w:lang w:val="en-US" w:eastAsia="zh-CN"/>
              </w:rPr>
              <w:t>业态</w:t>
            </w:r>
            <w:r>
              <w:rPr>
                <w:rFonts w:hint="eastAsia" w:ascii="仿宋_GB2312" w:hAnsi="仿宋_GB2312" w:eastAsia="仿宋_GB2312" w:cs="仿宋_GB2312"/>
                <w:color w:val="auto"/>
                <w:sz w:val="21"/>
                <w:szCs w:val="21"/>
                <w:lang w:eastAsia="zh-CN"/>
              </w:rPr>
              <w:t>；加快建设</w:t>
            </w:r>
            <w:r>
              <w:rPr>
                <w:rFonts w:hint="eastAsia" w:ascii="仿宋_GB2312" w:hAnsi="仿宋_GB2312" w:eastAsia="仿宋_GB2312" w:cs="仿宋_GB2312"/>
                <w:szCs w:val="21"/>
              </w:rPr>
              <w:t>国家物流枢纽</w:t>
            </w:r>
            <w:r>
              <w:rPr>
                <w:rFonts w:hint="eastAsia" w:ascii="仿宋_GB2312" w:hAnsi="仿宋_GB2312" w:eastAsia="仿宋_GB2312" w:cs="仿宋_GB2312"/>
                <w:szCs w:val="21"/>
                <w:lang w:eastAsia="zh-CN"/>
              </w:rPr>
              <w:t>、</w:t>
            </w:r>
            <w:r>
              <w:rPr>
                <w:rFonts w:hint="eastAsia" w:ascii="仿宋_GB2312" w:hAnsi="仿宋_GB2312" w:eastAsia="仿宋_GB2312" w:cs="仿宋_GB2312"/>
                <w:szCs w:val="21"/>
              </w:rPr>
              <w:t>骨干冷链物流基地</w:t>
            </w:r>
            <w:r>
              <w:rPr>
                <w:rFonts w:hint="eastAsia" w:ascii="仿宋_GB2312" w:hAnsi="仿宋_GB2312" w:eastAsia="仿宋_GB2312" w:cs="仿宋_GB2312"/>
                <w:szCs w:val="21"/>
                <w:lang w:eastAsia="zh-CN"/>
              </w:rPr>
              <w:t>，</w:t>
            </w:r>
            <w:r>
              <w:rPr>
                <w:rFonts w:hint="eastAsia" w:ascii="仿宋_GB2312" w:hAnsi="仿宋_GB2312" w:eastAsia="仿宋_GB2312" w:cs="仿宋_GB2312"/>
                <w:color w:val="auto"/>
                <w:sz w:val="21"/>
                <w:szCs w:val="21"/>
                <w:lang w:eastAsia="zh-CN"/>
              </w:rPr>
              <w:t>增强高端要素配置能力，打造国内国际双循环的重要节点城市，</w:t>
            </w:r>
            <w:r>
              <w:rPr>
                <w:rFonts w:hint="eastAsia" w:ascii="仿宋_GB2312" w:hAnsi="仿宋_GB2312" w:eastAsia="仿宋_GB2312" w:cs="仿宋_GB2312"/>
                <w:color w:val="auto"/>
                <w:sz w:val="21"/>
                <w:szCs w:val="21"/>
              </w:rPr>
              <w:t>引领全省和关中平原城市群物流高质量发展。</w:t>
            </w:r>
          </w:p>
          <w:p>
            <w:pPr>
              <w:keepNext w:val="0"/>
              <w:keepLines w:val="0"/>
              <w:pageBreakBefore w:val="0"/>
              <w:kinsoku/>
              <w:wordWrap/>
              <w:overflowPunct/>
              <w:topLinePunct w:val="0"/>
              <w:autoSpaceDE/>
              <w:autoSpaceDN/>
              <w:bidi w:val="0"/>
              <w:adjustRightInd/>
              <w:snapToGrid/>
              <w:spacing w:line="320" w:lineRule="exact"/>
              <w:ind w:left="0" w:leftChars="0" w:firstLine="420" w:firstLineChars="200"/>
              <w:jc w:val="both"/>
              <w:textAlignment w:val="auto"/>
              <w:outlineLvl w:val="9"/>
              <w:rPr>
                <w:rFonts w:hint="eastAsia" w:ascii="仿宋_GB2312" w:hAnsi="仿宋_GB2312" w:eastAsia="仿宋_GB2312" w:cs="仿宋_GB2312"/>
                <w:sz w:val="21"/>
                <w:szCs w:val="21"/>
                <w:lang w:val="en-US" w:eastAsia="zh-CN"/>
              </w:rPr>
            </w:pPr>
            <w:r>
              <w:rPr>
                <w:rFonts w:hint="eastAsia" w:ascii="黑体" w:hAnsi="黑体" w:eastAsia="黑体" w:cs="黑体"/>
                <w:b w:val="0"/>
                <w:bCs w:val="0"/>
                <w:color w:val="000000"/>
                <w:sz w:val="21"/>
                <w:szCs w:val="21"/>
                <w:lang w:eastAsia="zh-CN"/>
              </w:rPr>
              <w:t>宝鸡：</w:t>
            </w:r>
            <w:r>
              <w:rPr>
                <w:rFonts w:hint="eastAsia" w:ascii="仿宋_GB2312" w:hAnsi="仿宋_GB2312" w:eastAsia="仿宋_GB2312" w:cs="仿宋_GB2312"/>
                <w:color w:val="auto"/>
                <w:sz w:val="21"/>
                <w:szCs w:val="21"/>
              </w:rPr>
              <w:t>以生产服务型国家物流枢纽</w:t>
            </w:r>
            <w:r>
              <w:rPr>
                <w:rFonts w:hint="eastAsia" w:ascii="仿宋_GB2312" w:hAnsi="仿宋_GB2312" w:eastAsia="仿宋_GB2312" w:cs="仿宋_GB2312"/>
                <w:color w:val="auto"/>
                <w:sz w:val="21"/>
                <w:szCs w:val="21"/>
                <w:lang w:val="en-US" w:eastAsia="zh-CN"/>
              </w:rPr>
              <w:t>、国家骨干冷链物流基地为核心载体，着力推进阳平铁路物流中心、华誉物流园、陆港新城公路冷链物流中心、眉县猕猴桃产业园等重大项目建设，完善公铁联运设施、构建冷链物流体系、健全城乡配送网络，提升</w:t>
            </w:r>
            <w:r>
              <w:rPr>
                <w:rFonts w:hint="eastAsia" w:ascii="仿宋_GB2312" w:hAnsi="仿宋_GB2312" w:eastAsia="仿宋_GB2312" w:cs="仿宋_GB2312"/>
                <w:sz w:val="21"/>
                <w:szCs w:val="21"/>
                <w:lang w:val="en-US" w:eastAsia="zh-CN"/>
              </w:rPr>
              <w:t>现代供应链服务水平，</w:t>
            </w:r>
            <w:r>
              <w:rPr>
                <w:rFonts w:hint="eastAsia" w:ascii="仿宋_GB2312" w:hAnsi="仿宋_GB2312" w:eastAsia="仿宋_GB2312" w:cs="仿宋_GB2312"/>
                <w:color w:val="auto"/>
                <w:sz w:val="21"/>
                <w:szCs w:val="21"/>
                <w:lang w:val="en-US" w:eastAsia="zh-CN"/>
              </w:rPr>
              <w:t>推动物流业与制</w:t>
            </w:r>
            <w:r>
              <w:rPr>
                <w:rFonts w:hint="eastAsia" w:ascii="仿宋_GB2312" w:hAnsi="仿宋_GB2312" w:eastAsia="仿宋_GB2312" w:cs="仿宋_GB2312"/>
                <w:sz w:val="21"/>
                <w:szCs w:val="21"/>
                <w:lang w:val="en-US" w:eastAsia="zh-CN"/>
              </w:rPr>
              <w:t>造业深度融合发展。</w:t>
            </w:r>
          </w:p>
          <w:p>
            <w:pPr>
              <w:keepNext w:val="0"/>
              <w:keepLines w:val="0"/>
              <w:pageBreakBefore w:val="0"/>
              <w:kinsoku/>
              <w:wordWrap/>
              <w:overflowPunct/>
              <w:topLinePunct w:val="0"/>
              <w:autoSpaceDE/>
              <w:autoSpaceDN/>
              <w:bidi w:val="0"/>
              <w:adjustRightInd/>
              <w:snapToGrid/>
              <w:spacing w:line="320" w:lineRule="exact"/>
              <w:ind w:left="0" w:leftChars="0" w:firstLine="420" w:firstLineChars="200"/>
              <w:jc w:val="both"/>
              <w:textAlignment w:val="auto"/>
              <w:outlineLvl w:val="9"/>
              <w:rPr>
                <w:rFonts w:hint="eastAsia" w:ascii="仿宋_GB2312" w:hAnsi="仿宋_GB2312" w:eastAsia="仿宋_GB2312" w:cs="仿宋_GB2312"/>
                <w:sz w:val="21"/>
                <w:szCs w:val="21"/>
                <w:lang w:val="en-US" w:eastAsia="zh-CN"/>
              </w:rPr>
            </w:pPr>
            <w:r>
              <w:rPr>
                <w:rFonts w:hint="eastAsia" w:ascii="黑体" w:hAnsi="黑体" w:eastAsia="黑体" w:cs="黑体"/>
                <w:b w:val="0"/>
                <w:bCs w:val="0"/>
                <w:color w:val="000000"/>
                <w:sz w:val="21"/>
                <w:szCs w:val="21"/>
                <w:lang w:val="en-US" w:eastAsia="zh-CN"/>
              </w:rPr>
              <w:t>延安：</w:t>
            </w:r>
            <w:r>
              <w:rPr>
                <w:rFonts w:hint="eastAsia" w:ascii="仿宋_GB2312" w:hAnsi="仿宋_GB2312" w:eastAsia="仿宋_GB2312" w:cs="仿宋_GB2312"/>
                <w:sz w:val="21"/>
                <w:szCs w:val="21"/>
                <w:lang w:val="en-US" w:eastAsia="zh-CN"/>
              </w:rPr>
              <w:t>依托陕北能源化工基地和我国南北能源运输通道，建设陆港型国家物流枢纽，推进浩吉铁路延安东站铁路煤炭集运站、延安新区仓储物流园等项目建设，提升畅通全国的大宗能化产品物流组织和区域分拨服务能力；健全农产品冷链物流网络，完善城乡物流服务体系，创建国家骨干冷链物流基地。</w:t>
            </w:r>
          </w:p>
          <w:p>
            <w:pPr>
              <w:keepNext w:val="0"/>
              <w:keepLines w:val="0"/>
              <w:pageBreakBefore w:val="0"/>
              <w:kinsoku/>
              <w:wordWrap/>
              <w:overflowPunct/>
              <w:topLinePunct w:val="0"/>
              <w:autoSpaceDE/>
              <w:autoSpaceDN/>
              <w:bidi w:val="0"/>
              <w:adjustRightInd/>
              <w:snapToGrid/>
              <w:spacing w:line="320" w:lineRule="exact"/>
              <w:ind w:left="0" w:leftChars="0" w:firstLine="420" w:firstLineChars="200"/>
              <w:jc w:val="both"/>
              <w:textAlignment w:val="auto"/>
              <w:outlineLvl w:val="9"/>
              <w:rPr>
                <w:rFonts w:hint="eastAsia" w:ascii="仿宋_GB2312" w:hAnsi="仿宋_GB2312" w:eastAsia="仿宋_GB2312" w:cs="仿宋_GB2312"/>
                <w:sz w:val="21"/>
                <w:szCs w:val="21"/>
                <w:lang w:val="en-US" w:eastAsia="zh-CN"/>
              </w:rPr>
            </w:pPr>
            <w:r>
              <w:rPr>
                <w:rFonts w:hint="eastAsia" w:ascii="黑体" w:hAnsi="黑体" w:eastAsia="黑体" w:cs="黑体"/>
                <w:b w:val="0"/>
                <w:bCs w:val="0"/>
                <w:color w:val="000000"/>
                <w:sz w:val="21"/>
                <w:szCs w:val="21"/>
                <w:lang w:val="en-US" w:eastAsia="zh-CN"/>
              </w:rPr>
              <w:t>咸阳：</w:t>
            </w:r>
            <w:r>
              <w:rPr>
                <w:rFonts w:hint="eastAsia" w:ascii="仿宋_GB2312" w:hAnsi="仿宋_GB2312" w:eastAsia="仿宋_GB2312" w:cs="仿宋_GB2312"/>
                <w:sz w:val="21"/>
                <w:szCs w:val="21"/>
                <w:lang w:val="en-US" w:eastAsia="zh-CN"/>
              </w:rPr>
              <w:t>聚力建设西安都市圈咸阳核心区，承接产业转移示范区、临空经济发展示范区，建设综合性专业物流园区、信息平台和货物配载中心，健全城乡物流配送体系，重点发展农产品物流、制造业物流、电商物流、回收物流、应急物流，打造西北综合物流集散中心，西安都市圈重要物流配送基地。</w:t>
            </w:r>
          </w:p>
          <w:p>
            <w:pPr>
              <w:keepNext w:val="0"/>
              <w:keepLines w:val="0"/>
              <w:pageBreakBefore w:val="0"/>
              <w:kinsoku/>
              <w:wordWrap/>
              <w:overflowPunct/>
              <w:topLinePunct w:val="0"/>
              <w:autoSpaceDE/>
              <w:autoSpaceDN/>
              <w:bidi w:val="0"/>
              <w:adjustRightInd/>
              <w:snapToGrid/>
              <w:spacing w:line="320" w:lineRule="exact"/>
              <w:ind w:left="0" w:leftChars="0" w:firstLine="420" w:firstLineChars="200"/>
              <w:jc w:val="both"/>
              <w:textAlignment w:val="auto"/>
              <w:outlineLvl w:val="9"/>
              <w:rPr>
                <w:rFonts w:hint="eastAsia" w:ascii="仿宋_GB2312" w:hAnsi="仿宋_GB2312" w:eastAsia="仿宋_GB2312" w:cs="仿宋_GB2312"/>
                <w:sz w:val="21"/>
                <w:szCs w:val="21"/>
                <w:lang w:val="en-US" w:eastAsia="zh-CN"/>
              </w:rPr>
            </w:pPr>
            <w:r>
              <w:rPr>
                <w:rFonts w:hint="eastAsia" w:ascii="黑体" w:hAnsi="黑体" w:eastAsia="黑体" w:cs="黑体"/>
                <w:b w:val="0"/>
                <w:bCs w:val="0"/>
                <w:color w:val="000000"/>
                <w:sz w:val="21"/>
                <w:szCs w:val="21"/>
                <w:lang w:val="en-US" w:eastAsia="zh-CN"/>
              </w:rPr>
              <w:t>铜川：</w:t>
            </w:r>
            <w:r>
              <w:rPr>
                <w:rFonts w:hint="eastAsia" w:ascii="仿宋_GB2312" w:hAnsi="仿宋_GB2312" w:eastAsia="仿宋_GB2312" w:cs="仿宋_GB2312"/>
                <w:sz w:val="21"/>
                <w:szCs w:val="21"/>
                <w:lang w:val="en-US" w:eastAsia="zh-CN"/>
              </w:rPr>
              <w:t>加快融入西安都市圈，完善与西安物流通道连接，促进与西咸新区空港新城、西安国际港务区等重要物流节点的协同发展，优化全市“两轴三区多点”的物流产业空间布局，全面建设渭北工业品物流枢纽、西安都市圈生活资料物流配套中心和全省城乡共同配送示范城市。</w:t>
            </w:r>
          </w:p>
          <w:p>
            <w:pPr>
              <w:keepNext w:val="0"/>
              <w:keepLines w:val="0"/>
              <w:pageBreakBefore w:val="0"/>
              <w:kinsoku/>
              <w:wordWrap/>
              <w:overflowPunct/>
              <w:topLinePunct w:val="0"/>
              <w:autoSpaceDE/>
              <w:autoSpaceDN/>
              <w:bidi w:val="0"/>
              <w:adjustRightInd/>
              <w:snapToGrid/>
              <w:spacing w:line="320" w:lineRule="exact"/>
              <w:ind w:firstLine="420" w:firstLineChars="200"/>
              <w:jc w:val="both"/>
              <w:textAlignment w:val="auto"/>
              <w:outlineLvl w:val="9"/>
              <w:rPr>
                <w:rFonts w:hint="eastAsia"/>
                <w:sz w:val="21"/>
                <w:szCs w:val="21"/>
                <w:lang w:val="en-US" w:eastAsia="zh-CN"/>
              </w:rPr>
            </w:pPr>
            <w:r>
              <w:rPr>
                <w:rFonts w:hint="eastAsia" w:ascii="黑体" w:hAnsi="黑体" w:eastAsia="黑体" w:cs="黑体"/>
                <w:b w:val="0"/>
                <w:bCs w:val="0"/>
                <w:color w:val="000000"/>
                <w:sz w:val="21"/>
                <w:szCs w:val="21"/>
                <w:lang w:val="en-US" w:eastAsia="zh-CN"/>
              </w:rPr>
              <w:t>渭南：</w:t>
            </w:r>
            <w:r>
              <w:rPr>
                <w:rFonts w:hint="eastAsia" w:ascii="仿宋_GB2312" w:hAnsi="仿宋_GB2312" w:eastAsia="仿宋_GB2312" w:cs="仿宋_GB2312"/>
                <w:b w:val="0"/>
                <w:bCs w:val="0"/>
                <w:color w:val="000000"/>
                <w:sz w:val="21"/>
                <w:szCs w:val="21"/>
                <w:lang w:val="en-US" w:eastAsia="zh-CN"/>
              </w:rPr>
              <w:t>加快推进西安-渭南物流融合发展，建设渭南国际现代物流港、卤阳湖西北物流中心等重点物流平台项目，重点发展能源化工、有色冶金、果品冷链物流，依托韩城、华阴等重点交通节点，提升对豫西、晋中南地区物流辐射能力，打造秦晋豫黄河金三角区域物流中心</w:t>
            </w:r>
            <w:r>
              <w:rPr>
                <w:rFonts w:hint="eastAsia" w:ascii="仿宋_GB2312" w:hAnsi="仿宋_GB2312" w:eastAsia="仿宋_GB2312" w:cs="仿宋_GB2312"/>
                <w:color w:val="000000"/>
                <w:sz w:val="21"/>
                <w:szCs w:val="21"/>
                <w:lang w:eastAsia="zh-CN"/>
              </w:rPr>
              <w:t>。</w:t>
            </w:r>
          </w:p>
          <w:p>
            <w:pPr>
              <w:keepNext w:val="0"/>
              <w:keepLines w:val="0"/>
              <w:pageBreakBefore w:val="0"/>
              <w:kinsoku/>
              <w:wordWrap/>
              <w:overflowPunct/>
              <w:topLinePunct w:val="0"/>
              <w:autoSpaceDE/>
              <w:autoSpaceDN/>
              <w:bidi w:val="0"/>
              <w:adjustRightInd/>
              <w:snapToGrid/>
              <w:spacing w:line="320" w:lineRule="exact"/>
              <w:ind w:left="0" w:leftChars="0" w:firstLine="420" w:firstLineChars="200"/>
              <w:jc w:val="both"/>
              <w:textAlignment w:val="auto"/>
              <w:outlineLvl w:val="9"/>
              <w:rPr>
                <w:rFonts w:hint="eastAsia" w:ascii="仿宋_GB2312" w:hAnsi="仿宋_GB2312" w:eastAsia="仿宋_GB2312" w:cs="仿宋_GB2312"/>
                <w:color w:val="auto"/>
                <w:sz w:val="21"/>
                <w:szCs w:val="21"/>
                <w:lang w:eastAsia="zh-CN"/>
              </w:rPr>
            </w:pPr>
            <w:r>
              <w:rPr>
                <w:rFonts w:hint="eastAsia" w:ascii="黑体" w:hAnsi="黑体" w:eastAsia="黑体" w:cs="黑体"/>
                <w:b w:val="0"/>
                <w:bCs w:val="0"/>
                <w:color w:val="000000"/>
                <w:sz w:val="21"/>
                <w:szCs w:val="21"/>
                <w:lang w:val="en-US" w:eastAsia="zh-CN"/>
              </w:rPr>
              <w:t>榆林：</w:t>
            </w:r>
            <w:r>
              <w:rPr>
                <w:rFonts w:hint="eastAsia" w:ascii="仿宋_GB2312" w:hAnsi="仿宋_GB2312" w:eastAsia="仿宋_GB2312" w:cs="仿宋_GB2312"/>
                <w:color w:val="auto"/>
                <w:sz w:val="21"/>
                <w:szCs w:val="21"/>
                <w:lang w:eastAsia="zh-CN"/>
              </w:rPr>
              <w:t>聚焦</w:t>
            </w:r>
            <w:r>
              <w:rPr>
                <w:rFonts w:hint="eastAsia" w:ascii="仿宋_GB2312" w:hAnsi="仿宋_GB2312" w:eastAsia="仿宋_GB2312" w:cs="仿宋_GB2312"/>
                <w:color w:val="auto"/>
                <w:sz w:val="21"/>
                <w:szCs w:val="21"/>
              </w:rPr>
              <w:t>能源化工产业发展、大宗物资运输</w:t>
            </w:r>
            <w:r>
              <w:rPr>
                <w:rFonts w:hint="eastAsia" w:ascii="仿宋_GB2312" w:hAnsi="仿宋_GB2312" w:eastAsia="仿宋_GB2312" w:cs="仿宋_GB2312"/>
                <w:color w:val="auto"/>
                <w:sz w:val="21"/>
                <w:szCs w:val="21"/>
                <w:lang w:val="en-US" w:eastAsia="zh-CN"/>
              </w:rPr>
              <w:t>和</w:t>
            </w:r>
            <w:r>
              <w:rPr>
                <w:rFonts w:hint="eastAsia" w:ascii="仿宋_GB2312" w:hAnsi="仿宋_GB2312" w:eastAsia="仿宋_GB2312" w:cs="仿宋_GB2312"/>
                <w:color w:val="auto"/>
                <w:sz w:val="21"/>
                <w:szCs w:val="21"/>
              </w:rPr>
              <w:t>农产品流通等</w:t>
            </w:r>
            <w:r>
              <w:rPr>
                <w:rFonts w:hint="eastAsia" w:ascii="仿宋_GB2312" w:hAnsi="仿宋_GB2312" w:eastAsia="仿宋_GB2312" w:cs="仿宋_GB2312"/>
                <w:color w:val="auto"/>
                <w:sz w:val="21"/>
                <w:szCs w:val="21"/>
                <w:lang w:eastAsia="zh-CN"/>
              </w:rPr>
              <w:t>领域，推进中铁泰吉利能源智能化</w:t>
            </w:r>
            <w:r>
              <w:rPr>
                <w:rFonts w:hint="eastAsia" w:ascii="仿宋_GB2312" w:hAnsi="仿宋_GB2312" w:eastAsia="仿宋_GB2312" w:cs="仿宋_GB2312"/>
                <w:sz w:val="21"/>
                <w:szCs w:val="21"/>
                <w:lang w:val="en-US" w:eastAsia="zh-CN"/>
              </w:rPr>
              <w:t>物流园、榆林公铁联运中心、靖边现代综合物流园</w:t>
            </w:r>
            <w:r>
              <w:rPr>
                <w:rFonts w:hint="eastAsia" w:ascii="仿宋_GB2312" w:hAnsi="仿宋_GB2312" w:eastAsia="仿宋_GB2312" w:cs="仿宋_GB2312"/>
                <w:color w:val="auto"/>
                <w:sz w:val="21"/>
                <w:szCs w:val="21"/>
                <w:lang w:val="en-US" w:eastAsia="zh-CN"/>
              </w:rPr>
              <w:t>等重点</w:t>
            </w:r>
            <w:r>
              <w:rPr>
                <w:rFonts w:hint="eastAsia" w:ascii="仿宋_GB2312" w:hAnsi="仿宋_GB2312" w:eastAsia="仿宋_GB2312" w:cs="仿宋_GB2312"/>
                <w:sz w:val="21"/>
                <w:szCs w:val="21"/>
                <w:lang w:val="en-US" w:eastAsia="zh-CN"/>
              </w:rPr>
              <w:t>项目建设，布局覆盖全市各县区的冷链物流体系和快递物流枢纽，深化与呼包银鄂等周边城市协同发展，</w:t>
            </w:r>
            <w:r>
              <w:rPr>
                <w:rFonts w:hint="eastAsia" w:ascii="仿宋_GB2312" w:hAnsi="仿宋_GB2312" w:eastAsia="仿宋_GB2312" w:cs="仿宋_GB2312"/>
                <w:color w:val="auto"/>
                <w:sz w:val="21"/>
                <w:szCs w:val="21"/>
              </w:rPr>
              <w:t>打造能源化工物流基</w:t>
            </w:r>
            <w:r>
              <w:rPr>
                <w:rFonts w:hint="eastAsia" w:ascii="仿宋_GB2312" w:hAnsi="仿宋_GB2312" w:eastAsia="仿宋_GB2312" w:cs="仿宋_GB2312"/>
                <w:color w:val="auto"/>
                <w:sz w:val="21"/>
                <w:szCs w:val="21"/>
                <w:lang w:eastAsia="zh-CN"/>
              </w:rPr>
              <w:t>、区域</w:t>
            </w:r>
            <w:r>
              <w:rPr>
                <w:rFonts w:hint="eastAsia" w:ascii="仿宋_GB2312" w:hAnsi="仿宋_GB2312" w:eastAsia="仿宋_GB2312" w:cs="仿宋_GB2312"/>
                <w:color w:val="auto"/>
                <w:sz w:val="21"/>
                <w:szCs w:val="21"/>
              </w:rPr>
              <w:t>商贸</w:t>
            </w:r>
            <w:r>
              <w:rPr>
                <w:rFonts w:hint="eastAsia" w:ascii="仿宋_GB2312" w:hAnsi="仿宋_GB2312" w:eastAsia="仿宋_GB2312" w:cs="仿宋_GB2312"/>
                <w:color w:val="auto"/>
                <w:sz w:val="21"/>
                <w:szCs w:val="21"/>
                <w:lang w:eastAsia="zh-CN"/>
              </w:rPr>
              <w:t>物流</w:t>
            </w:r>
            <w:r>
              <w:rPr>
                <w:rFonts w:hint="eastAsia" w:ascii="仿宋_GB2312" w:hAnsi="仿宋_GB2312" w:eastAsia="仿宋_GB2312" w:cs="仿宋_GB2312"/>
                <w:color w:val="auto"/>
                <w:sz w:val="21"/>
                <w:szCs w:val="21"/>
              </w:rPr>
              <w:t>中心</w:t>
            </w:r>
            <w:r>
              <w:rPr>
                <w:rFonts w:hint="eastAsia" w:ascii="仿宋_GB2312" w:hAnsi="仿宋_GB2312" w:eastAsia="仿宋_GB2312" w:cs="仿宋_GB2312"/>
                <w:color w:val="auto"/>
                <w:sz w:val="21"/>
                <w:szCs w:val="21"/>
                <w:lang w:eastAsia="zh-CN"/>
              </w:rPr>
              <w:t>和国家骨干冷链物流基地。</w:t>
            </w:r>
          </w:p>
          <w:p>
            <w:pPr>
              <w:keepNext w:val="0"/>
              <w:keepLines w:val="0"/>
              <w:pageBreakBefore w:val="0"/>
              <w:kinsoku/>
              <w:wordWrap/>
              <w:overflowPunct/>
              <w:topLinePunct w:val="0"/>
              <w:autoSpaceDE/>
              <w:autoSpaceDN/>
              <w:bidi w:val="0"/>
              <w:adjustRightInd/>
              <w:snapToGrid/>
              <w:spacing w:line="320" w:lineRule="exact"/>
              <w:ind w:firstLine="420" w:firstLineChars="200"/>
              <w:jc w:val="both"/>
              <w:textAlignment w:val="auto"/>
              <w:outlineLvl w:val="9"/>
              <w:rPr>
                <w:rFonts w:hint="eastAsia" w:ascii="仿宋_GB2312" w:hAnsi="仿宋_GB2312" w:eastAsia="仿宋_GB2312" w:cs="仿宋_GB2312"/>
                <w:color w:val="auto"/>
                <w:kern w:val="2"/>
                <w:sz w:val="21"/>
                <w:szCs w:val="21"/>
                <w:lang w:val="en-US" w:eastAsia="zh-CN" w:bidi="ar-SA"/>
              </w:rPr>
            </w:pPr>
            <w:r>
              <w:rPr>
                <w:rFonts w:hint="eastAsia" w:ascii="黑体" w:hAnsi="黑体" w:eastAsia="黑体" w:cs="黑体"/>
                <w:b w:val="0"/>
                <w:bCs w:val="0"/>
                <w:color w:val="000000"/>
                <w:sz w:val="21"/>
                <w:szCs w:val="21"/>
                <w:lang w:val="en-US" w:eastAsia="zh-CN"/>
              </w:rPr>
              <w:t>汉中：</w:t>
            </w:r>
            <w:r>
              <w:rPr>
                <w:rFonts w:hint="eastAsia" w:ascii="仿宋_GB2312" w:hAnsi="仿宋_GB2312" w:eastAsia="仿宋_GB2312" w:cs="仿宋_GB2312"/>
                <w:color w:val="auto"/>
                <w:kern w:val="2"/>
                <w:sz w:val="21"/>
                <w:szCs w:val="21"/>
                <w:lang w:val="en-US" w:eastAsia="zh-CN" w:bidi="ar-SA"/>
              </w:rPr>
              <w:t>推进交通物流基础设施建设，建设提升褒河物流园、汉中多式联运智慧物流园等物流平台，加强与中欧班列西安集结中心协同联动、对接西部陆海新通道，拓展区域物流通道；强化物流与装备制造、现代材料、食品医药等优势产业深度融合，着力提升区域交通商贸物流中心地位，争创国家物流枢纽。</w:t>
            </w:r>
          </w:p>
          <w:p>
            <w:pPr>
              <w:keepNext w:val="0"/>
              <w:keepLines w:val="0"/>
              <w:pageBreakBefore w:val="0"/>
              <w:kinsoku/>
              <w:wordWrap/>
              <w:overflowPunct/>
              <w:topLinePunct w:val="0"/>
              <w:autoSpaceDE/>
              <w:autoSpaceDN/>
              <w:bidi w:val="0"/>
              <w:adjustRightInd/>
              <w:snapToGrid/>
              <w:spacing w:line="320" w:lineRule="exact"/>
              <w:ind w:left="0" w:leftChars="0" w:firstLine="420" w:firstLineChars="200"/>
              <w:jc w:val="both"/>
              <w:textAlignment w:val="auto"/>
              <w:outlineLvl w:val="9"/>
              <w:rPr>
                <w:rFonts w:hint="eastAsia" w:ascii="仿宋_GB2312" w:hAnsi="仿宋_GB2312" w:eastAsia="仿宋_GB2312" w:cs="仿宋_GB2312"/>
                <w:color w:val="auto"/>
                <w:kern w:val="2"/>
                <w:sz w:val="21"/>
                <w:szCs w:val="21"/>
                <w:lang w:val="en-US" w:eastAsia="zh-CN" w:bidi="ar-SA"/>
              </w:rPr>
            </w:pPr>
            <w:r>
              <w:rPr>
                <w:rFonts w:hint="eastAsia" w:ascii="黑体" w:hAnsi="黑体" w:eastAsia="黑体" w:cs="黑体"/>
                <w:b w:val="0"/>
                <w:bCs w:val="0"/>
                <w:color w:val="000000"/>
                <w:sz w:val="21"/>
                <w:szCs w:val="21"/>
                <w:lang w:val="en-US" w:eastAsia="zh-CN"/>
              </w:rPr>
              <w:t>安康：</w:t>
            </w:r>
            <w:r>
              <w:rPr>
                <w:rFonts w:hint="eastAsia" w:ascii="仿宋_GB2312" w:hAnsi="仿宋_GB2312" w:eastAsia="仿宋_GB2312" w:cs="仿宋_GB2312"/>
                <w:color w:val="000000"/>
                <w:sz w:val="21"/>
                <w:szCs w:val="21"/>
                <w:lang w:eastAsia="zh-CN"/>
              </w:rPr>
              <w:t>完善</w:t>
            </w:r>
            <w:r>
              <w:rPr>
                <w:rFonts w:hint="eastAsia" w:ascii="仿宋_GB2312" w:hAnsi="仿宋_GB2312" w:eastAsia="仿宋_GB2312" w:cs="仿宋_GB2312"/>
                <w:color w:val="000000"/>
                <w:sz w:val="21"/>
                <w:szCs w:val="21"/>
                <w:lang w:val="en-US" w:eastAsia="zh-CN"/>
              </w:rPr>
              <w:t>铁路、水路</w:t>
            </w:r>
            <w:r>
              <w:rPr>
                <w:rFonts w:hint="eastAsia" w:ascii="仿宋_GB2312" w:hAnsi="仿宋_GB2312" w:eastAsia="仿宋_GB2312" w:cs="仿宋_GB2312"/>
                <w:color w:val="auto"/>
                <w:sz w:val="21"/>
                <w:szCs w:val="21"/>
                <w:lang w:eastAsia="zh-CN"/>
              </w:rPr>
              <w:t>、</w:t>
            </w:r>
            <w:r>
              <w:rPr>
                <w:rFonts w:hint="eastAsia" w:ascii="仿宋_GB2312" w:hAnsi="仿宋_GB2312" w:eastAsia="仿宋_GB2312" w:cs="仿宋_GB2312"/>
                <w:color w:val="auto"/>
                <w:sz w:val="21"/>
                <w:szCs w:val="21"/>
                <w:lang w:val="en-US" w:eastAsia="zh-CN"/>
              </w:rPr>
              <w:t>公路</w:t>
            </w:r>
            <w:r>
              <w:rPr>
                <w:rFonts w:hint="eastAsia" w:ascii="仿宋_GB2312" w:hAnsi="仿宋_GB2312" w:eastAsia="仿宋_GB2312" w:cs="仿宋_GB2312"/>
                <w:color w:val="auto"/>
                <w:sz w:val="21"/>
                <w:szCs w:val="21"/>
                <w:lang w:eastAsia="zh-CN"/>
              </w:rPr>
              <w:t>和机场等物流</w:t>
            </w:r>
            <w:r>
              <w:rPr>
                <w:rFonts w:hint="eastAsia" w:ascii="仿宋_GB2312" w:hAnsi="仿宋_GB2312" w:eastAsia="仿宋_GB2312" w:cs="仿宋_GB2312"/>
                <w:color w:val="auto"/>
                <w:sz w:val="21"/>
                <w:szCs w:val="21"/>
                <w:lang w:val="en-US" w:eastAsia="zh-CN"/>
              </w:rPr>
              <w:t>基础</w:t>
            </w:r>
            <w:r>
              <w:rPr>
                <w:rFonts w:hint="eastAsia" w:ascii="仿宋_GB2312" w:hAnsi="仿宋_GB2312" w:eastAsia="仿宋_GB2312" w:cs="仿宋_GB2312"/>
                <w:color w:val="auto"/>
                <w:sz w:val="21"/>
                <w:szCs w:val="21"/>
                <w:lang w:eastAsia="zh-CN"/>
              </w:rPr>
              <w:t>设施，</w:t>
            </w:r>
            <w:r>
              <w:rPr>
                <w:rFonts w:hint="eastAsia" w:ascii="仿宋_GB2312" w:hAnsi="仿宋_GB2312" w:eastAsia="仿宋_GB2312" w:cs="仿宋_GB2312"/>
                <w:color w:val="auto"/>
                <w:kern w:val="2"/>
                <w:sz w:val="21"/>
                <w:szCs w:val="21"/>
                <w:lang w:val="en-US" w:eastAsia="zh-CN" w:bidi="ar-SA"/>
              </w:rPr>
              <w:t>推进秦巴（安康）现代物流港、安康“无水港”、金运陆港综合物流园等重大项目建设</w:t>
            </w:r>
            <w:r>
              <w:rPr>
                <w:rFonts w:hint="eastAsia" w:ascii="仿宋_GB2312" w:hAnsi="仿宋_GB2312" w:eastAsia="仿宋_GB2312" w:cs="仿宋_GB2312"/>
                <w:color w:val="auto"/>
                <w:sz w:val="21"/>
                <w:szCs w:val="21"/>
                <w:lang w:eastAsia="zh-CN"/>
              </w:rPr>
              <w:t>，开辟安康-上海-海外东向国际</w:t>
            </w:r>
            <w:r>
              <w:rPr>
                <w:rFonts w:hint="eastAsia" w:ascii="仿宋_GB2312" w:hAnsi="仿宋_GB2312" w:eastAsia="仿宋_GB2312" w:cs="仿宋_GB2312"/>
                <w:color w:val="auto"/>
                <w:kern w:val="2"/>
                <w:sz w:val="21"/>
                <w:szCs w:val="21"/>
                <w:lang w:val="en-US" w:eastAsia="zh-CN" w:bidi="ar-SA"/>
              </w:rPr>
              <w:t>海运和安康-西安-中东欧国际西向陆运等重点通道，构建现代流通体系，打造秦巴区域综合交通枢纽和物流中心。</w:t>
            </w:r>
          </w:p>
          <w:p>
            <w:pPr>
              <w:keepNext w:val="0"/>
              <w:keepLines w:val="0"/>
              <w:pageBreakBefore w:val="0"/>
              <w:kinsoku/>
              <w:wordWrap/>
              <w:overflowPunct/>
              <w:topLinePunct w:val="0"/>
              <w:autoSpaceDE/>
              <w:autoSpaceDN/>
              <w:bidi w:val="0"/>
              <w:adjustRightInd/>
              <w:snapToGrid/>
              <w:spacing w:line="320" w:lineRule="exact"/>
              <w:ind w:firstLine="420" w:firstLineChars="200"/>
              <w:jc w:val="both"/>
              <w:textAlignment w:val="auto"/>
              <w:outlineLvl w:val="9"/>
              <w:rPr>
                <w:rFonts w:hint="eastAsia" w:ascii="仿宋_GB2312" w:hAnsi="仿宋_GB2312" w:eastAsia="仿宋_GB2312" w:cs="仿宋_GB2312"/>
                <w:color w:val="000000"/>
                <w:sz w:val="21"/>
                <w:szCs w:val="21"/>
                <w:lang w:val="en-US"/>
              </w:rPr>
            </w:pPr>
            <w:r>
              <w:rPr>
                <w:rFonts w:hint="eastAsia" w:ascii="黑体" w:hAnsi="黑体" w:eastAsia="黑体" w:cs="黑体"/>
                <w:b w:val="0"/>
                <w:bCs w:val="0"/>
                <w:color w:val="000000"/>
                <w:sz w:val="21"/>
                <w:szCs w:val="21"/>
                <w:lang w:val="en-US" w:eastAsia="zh-CN"/>
              </w:rPr>
              <w:t>商洛：</w:t>
            </w:r>
            <w:r>
              <w:rPr>
                <w:rFonts w:hint="eastAsia" w:ascii="仿宋_GB2312" w:hAnsi="仿宋_GB2312" w:eastAsia="仿宋_GB2312" w:cs="仿宋_GB2312"/>
                <w:color w:val="000000"/>
                <w:sz w:val="21"/>
                <w:szCs w:val="21"/>
                <w:lang w:eastAsia="zh-CN"/>
              </w:rPr>
              <w:t>发挥鄂豫陕中心区域</w:t>
            </w:r>
            <w:r>
              <w:rPr>
                <w:rFonts w:hint="eastAsia" w:ascii="仿宋_GB2312" w:hAnsi="仿宋_GB2312" w:eastAsia="仿宋_GB2312" w:cs="仿宋_GB2312"/>
                <w:color w:val="000000"/>
                <w:sz w:val="21"/>
                <w:szCs w:val="21"/>
                <w:lang w:val="en-US" w:eastAsia="zh-CN"/>
              </w:rPr>
              <w:t>优势</w:t>
            </w:r>
            <w:r>
              <w:rPr>
                <w:rFonts w:hint="eastAsia" w:ascii="仿宋_GB2312" w:hAnsi="仿宋_GB2312" w:eastAsia="仿宋_GB2312" w:cs="仿宋_GB2312"/>
                <w:color w:val="000000"/>
                <w:sz w:val="21"/>
                <w:szCs w:val="21"/>
                <w:lang w:eastAsia="zh-CN"/>
              </w:rPr>
              <w:t>，加快建设连接关中平原城市圈和中远城市群大通道，推进商洛陆港、商州南秦商贸城、商南鄂豫陕多式联运等物流节点设施建设，完善城乡配送体系，积极培育商贸物流市场，重点发展矿产、农产品流通和中药材物流。</w:t>
            </w:r>
          </w:p>
        </w:tc>
      </w:tr>
    </w:tbl>
    <w:p>
      <w:pPr>
        <w:pStyle w:val="2"/>
        <w:keepNext w:val="0"/>
        <w:keepLines w:val="0"/>
        <w:pageBreakBefore w:val="0"/>
        <w:widowControl w:val="0"/>
        <w:kinsoku/>
        <w:wordWrap/>
        <w:overflowPunct/>
        <w:topLinePunct w:val="0"/>
        <w:autoSpaceDE/>
        <w:autoSpaceDN/>
        <w:bidi w:val="0"/>
        <w:adjustRightInd/>
        <w:snapToGrid/>
        <w:spacing w:after="0" w:afterLines="0" w:line="580" w:lineRule="exact"/>
        <w:ind w:firstLine="640" w:firstLineChars="200"/>
        <w:textAlignment w:val="auto"/>
        <w:outlineLvl w:val="9"/>
        <w:rPr>
          <w:rFonts w:hint="eastAsia" w:ascii="Times New Roman" w:hAnsi="Times New Roman" w:eastAsia="仿宋_GB2312" w:cs="Times New Roman"/>
          <w:color w:val="000000"/>
          <w:kern w:val="2"/>
          <w:sz w:val="32"/>
          <w:szCs w:val="32"/>
          <w:lang w:val="en-US" w:eastAsia="zh-CN" w:bidi="ar-SA"/>
        </w:rPr>
      </w:pPr>
      <w:r>
        <w:rPr>
          <w:rFonts w:hint="eastAsia" w:ascii="楷体" w:hAnsi="楷体" w:eastAsia="楷体" w:cs="楷体"/>
          <w:b w:val="0"/>
          <w:bCs w:val="0"/>
          <w:kern w:val="2"/>
          <w:sz w:val="32"/>
          <w:szCs w:val="32"/>
          <w:highlight w:val="none"/>
          <w:lang w:val="en-US" w:eastAsia="zh-CN" w:bidi="ar-SA"/>
        </w:rPr>
        <w:t>提升物流枢纽、节点建设质量。</w:t>
      </w:r>
      <w:r>
        <w:rPr>
          <w:rFonts w:hint="eastAsia" w:ascii="Times New Roman" w:hAnsi="Times New Roman" w:eastAsia="仿宋_GB2312" w:cs="Times New Roman"/>
          <w:b w:val="0"/>
          <w:bCs w:val="0"/>
          <w:color w:val="000000"/>
          <w:kern w:val="2"/>
          <w:sz w:val="32"/>
          <w:szCs w:val="32"/>
          <w:lang w:val="en-US" w:eastAsia="zh-CN" w:bidi="ar-SA"/>
        </w:rPr>
        <w:t>依托西安咸阳国际机场、西安国际港铁路枢纽，畅通高速</w:t>
      </w:r>
      <w:r>
        <w:rPr>
          <w:rFonts w:hint="eastAsia" w:ascii="Times New Roman" w:hAnsi="Times New Roman" w:eastAsia="仿宋_GB2312" w:cs="Times New Roman"/>
          <w:color w:val="000000"/>
          <w:kern w:val="2"/>
          <w:sz w:val="32"/>
          <w:szCs w:val="32"/>
          <w:lang w:val="en-US" w:eastAsia="zh-CN" w:bidi="ar-SA"/>
        </w:rPr>
        <w:t>公路、铁路、航空等对外通道，提升西安都市圈现代物流综合服务能力，加快建设具有全球竞争力的国际性物流枢纽。</w:t>
      </w:r>
      <w:r>
        <w:rPr>
          <w:rFonts w:hint="eastAsia" w:ascii="Times New Roman" w:hAnsi="Times New Roman" w:eastAsia="仿宋_GB2312" w:cs="Times New Roman"/>
          <w:b w:val="0"/>
          <w:bCs w:val="0"/>
          <w:color w:val="000000"/>
          <w:kern w:val="2"/>
          <w:sz w:val="32"/>
          <w:szCs w:val="32"/>
          <w:lang w:val="en-US" w:eastAsia="zh-CN" w:bidi="ar-SA"/>
        </w:rPr>
        <w:t>大力推进延安、宝鸡等国家物流枢纽、骨干冷链物流基地及国家示范物流园区等重大物流基础设施建设，整合优化存量物流设施，深化枢纽干支配仓等功能集成</w:t>
      </w:r>
      <w:r>
        <w:rPr>
          <w:rFonts w:hint="eastAsia" w:ascii="Times New Roman" w:hAnsi="Times New Roman" w:eastAsia="仿宋_GB2312" w:cs="Times New Roman"/>
          <w:color w:val="000000"/>
          <w:kern w:val="2"/>
          <w:sz w:val="32"/>
          <w:szCs w:val="32"/>
          <w:lang w:val="en-US" w:eastAsia="zh-CN" w:bidi="ar-SA"/>
        </w:rPr>
        <w:t>，完善枢纽服务体系。增强安康、汉中、铜川、渭南及绥德、黄陵、彬州等区域性枢纽节点的集聚能力，</w:t>
      </w:r>
      <w:r>
        <w:rPr>
          <w:rFonts w:hint="eastAsia" w:ascii="Times New Roman" w:hAnsi="Times New Roman" w:eastAsia="仿宋_GB2312" w:cs="Times New Roman"/>
          <w:b w:val="0"/>
          <w:bCs w:val="0"/>
          <w:color w:val="000000"/>
          <w:kern w:val="2"/>
          <w:sz w:val="32"/>
          <w:szCs w:val="32"/>
          <w:lang w:val="en-US" w:eastAsia="zh-CN" w:bidi="ar-SA"/>
        </w:rPr>
        <w:t>促进物流要素集聚和集成运作，</w:t>
      </w:r>
      <w:r>
        <w:rPr>
          <w:rFonts w:hint="eastAsia" w:ascii="Times New Roman" w:hAnsi="Times New Roman" w:eastAsia="仿宋_GB2312" w:cs="Times New Roman"/>
          <w:color w:val="000000"/>
          <w:kern w:val="2"/>
          <w:sz w:val="32"/>
          <w:szCs w:val="32"/>
          <w:lang w:val="en-US" w:eastAsia="zh-CN" w:bidi="ar-SA"/>
        </w:rPr>
        <w:t>强化对区域协调发展的支撑。</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仿宋_GB2312" w:cs="Times New Roman"/>
          <w:b w:val="0"/>
          <w:bCs w:val="0"/>
          <w:color w:val="000000"/>
          <w:kern w:val="2"/>
          <w:sz w:val="32"/>
          <w:szCs w:val="32"/>
          <w:lang w:val="en-US" w:eastAsia="zh-CN" w:bidi="ar-SA"/>
        </w:rPr>
      </w:pPr>
      <w:r>
        <w:rPr>
          <w:rFonts w:hint="eastAsia" w:ascii="楷体" w:hAnsi="楷体" w:eastAsia="楷体" w:cs="楷体"/>
          <w:b w:val="0"/>
          <w:bCs w:val="0"/>
          <w:kern w:val="2"/>
          <w:sz w:val="32"/>
          <w:szCs w:val="32"/>
          <w:highlight w:val="none"/>
          <w:lang w:val="en-US" w:eastAsia="zh-CN" w:bidi="ar-SA"/>
        </w:rPr>
        <w:t>构建干支协同的服务网络。</w:t>
      </w:r>
      <w:r>
        <w:rPr>
          <w:rFonts w:hint="eastAsia" w:ascii="Times New Roman" w:hAnsi="Times New Roman" w:eastAsia="仿宋_GB2312" w:cs="Times New Roman"/>
          <w:b w:val="0"/>
          <w:bCs w:val="0"/>
          <w:color w:val="000000"/>
          <w:kern w:val="2"/>
          <w:sz w:val="32"/>
          <w:szCs w:val="32"/>
          <w:lang w:val="en-US" w:eastAsia="zh-CN" w:bidi="ar-SA"/>
        </w:rPr>
        <w:t>以交通运输通道为载体，密切西安与宝鸡、延安、安康等周边城市间的物流联系，构建全省物流干线服务网络。支持各地依托产业聚集区建设铁路专用线、联运转运设施，提升多式联运网络化组织水平，引领区域内物流园区、配送中心等公共物流设施功能对接、协同联动，加快各市支线成网步伐。积极构建以物流分拨中心、专业配送中心、末端配送网点为主的城市配送体系和以县级分拨中心、乡镇配送节点和村级公共服务站为基础的农村服务网络。开展城乡物流配送网络优化工程，通过畅通城乡物流通道、完善县城城镇化流通设施、实施“快递进村”工程等，建立健全县乡村三级物流配送体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default" w:ascii="黑体" w:hAnsi="黑体" w:eastAsia="黑体" w:cs="黑体"/>
          <w:b w:val="0"/>
          <w:bCs w:val="0"/>
          <w:sz w:val="32"/>
          <w:szCs w:val="32"/>
          <w:lang w:val="en-US" w:eastAsia="zh-CN"/>
        </w:rPr>
      </w:pPr>
      <w:bookmarkStart w:id="13" w:name="_Toc21708"/>
      <w:bookmarkStart w:id="14" w:name="_Toc14275"/>
      <w:r>
        <w:rPr>
          <w:rFonts w:hint="eastAsia" w:ascii="黑体" w:hAnsi="黑体" w:eastAsia="黑体" w:cs="黑体"/>
          <w:b w:val="0"/>
          <w:bCs w:val="0"/>
          <w:sz w:val="32"/>
          <w:szCs w:val="32"/>
          <w:lang w:val="en-US" w:eastAsia="zh-CN"/>
        </w:rPr>
        <w:t>四、主要任务</w:t>
      </w:r>
      <w:bookmarkEnd w:id="13"/>
    </w:p>
    <w:p>
      <w:pPr>
        <w:keepNext w:val="0"/>
        <w:keepLines w:val="0"/>
        <w:pageBreakBefore w:val="0"/>
        <w:numPr>
          <w:ilvl w:val="0"/>
          <w:numId w:val="0"/>
        </w:numPr>
        <w:kinsoku/>
        <w:overflowPunct/>
        <w:topLinePunct w:val="0"/>
        <w:autoSpaceDE/>
        <w:autoSpaceDN/>
        <w:bidi w:val="0"/>
        <w:adjustRightInd/>
        <w:snapToGrid/>
        <w:spacing w:line="580" w:lineRule="exact"/>
        <w:ind w:leftChars="0" w:firstLine="643" w:firstLineChars="200"/>
        <w:textAlignment w:val="auto"/>
        <w:outlineLvl w:val="1"/>
        <w:rPr>
          <w:rFonts w:hint="eastAsia" w:ascii="CESI仿宋-GB2312" w:hAnsi="CESI仿宋-GB2312" w:eastAsia="CESI仿宋-GB2312" w:cs="CESI仿宋-GB2312"/>
          <w:b/>
          <w:bCs/>
          <w:color w:val="000000"/>
          <w:kern w:val="2"/>
          <w:sz w:val="32"/>
          <w:szCs w:val="32"/>
          <w:lang w:val="en-US" w:eastAsia="zh-CN" w:bidi="ar-SA"/>
        </w:rPr>
      </w:pPr>
      <w:bookmarkStart w:id="15" w:name="_Toc3039"/>
      <w:r>
        <w:rPr>
          <w:rFonts w:hint="eastAsia" w:ascii="CESI仿宋-GB2312" w:hAnsi="CESI仿宋-GB2312" w:eastAsia="CESI仿宋-GB2312" w:cs="CESI仿宋-GB2312"/>
          <w:b/>
          <w:bCs/>
          <w:color w:val="000000"/>
          <w:kern w:val="2"/>
          <w:sz w:val="32"/>
          <w:szCs w:val="32"/>
          <w:lang w:val="en-US" w:eastAsia="zh-CN" w:bidi="ar-SA"/>
        </w:rPr>
        <w:t>（一）着力提升国际物流服务能级</w:t>
      </w:r>
      <w:bookmarkEnd w:id="15"/>
    </w:p>
    <w:p>
      <w:pPr>
        <w:pStyle w:val="5"/>
        <w:keepNext w:val="0"/>
        <w:keepLines w:val="0"/>
        <w:pageBreakBefore w:val="0"/>
        <w:kinsoku/>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楷体" w:hAnsi="楷体" w:eastAsia="楷体" w:cs="楷体"/>
          <w:b w:val="0"/>
          <w:bCs w:val="0"/>
          <w:kern w:val="2"/>
          <w:sz w:val="32"/>
          <w:szCs w:val="32"/>
          <w:highlight w:val="none"/>
          <w:lang w:val="en-US" w:eastAsia="zh-CN" w:bidi="ar-SA"/>
        </w:rPr>
        <w:t>构建亚欧陆海贸易大通道。</w:t>
      </w:r>
      <w:r>
        <w:rPr>
          <w:rFonts w:hint="default" w:ascii="Times New Roman" w:hAnsi="Times New Roman" w:eastAsia="仿宋_GB2312" w:cs="Times New Roman"/>
          <w:bCs/>
          <w:color w:val="auto"/>
          <w:sz w:val="32"/>
          <w:szCs w:val="32"/>
        </w:rPr>
        <w:t>以亚</w:t>
      </w:r>
      <w:r>
        <w:rPr>
          <w:rFonts w:hint="default" w:ascii="Times New Roman" w:hAnsi="Times New Roman" w:eastAsia="仿宋_GB2312" w:cs="Times New Roman"/>
          <w:color w:val="auto"/>
          <w:sz w:val="32"/>
          <w:szCs w:val="32"/>
        </w:rPr>
        <w:t>欧大陆桥陆路通道为主、以国际航空货运航线为辅，发挥西安国际性综合交通枢纽</w:t>
      </w:r>
      <w:r>
        <w:rPr>
          <w:rFonts w:hint="eastAsia" w:ascii="Times New Roman" w:hAnsi="Times New Roman" w:eastAsia="仿宋_GB2312" w:cs="Times New Roman"/>
          <w:color w:val="auto"/>
          <w:sz w:val="32"/>
          <w:szCs w:val="32"/>
          <w:lang w:eastAsia="zh-CN"/>
        </w:rPr>
        <w:t>和延安、宝鸡国家物流枢纽</w:t>
      </w:r>
      <w:r>
        <w:rPr>
          <w:rFonts w:hint="default" w:ascii="Times New Roman" w:hAnsi="Times New Roman" w:eastAsia="仿宋_GB2312" w:cs="Times New Roman"/>
          <w:color w:val="auto"/>
          <w:sz w:val="32"/>
          <w:szCs w:val="32"/>
        </w:rPr>
        <w:t>作用，统筹</w:t>
      </w:r>
      <w:r>
        <w:rPr>
          <w:rFonts w:hint="eastAsia" w:ascii="Times New Roman" w:hAnsi="Times New Roman" w:eastAsia="仿宋_GB2312" w:cs="Times New Roman"/>
          <w:color w:val="auto"/>
          <w:sz w:val="32"/>
          <w:szCs w:val="32"/>
          <w:lang w:eastAsia="zh-CN"/>
        </w:rPr>
        <w:t>国际货运班列、货运航班等</w:t>
      </w:r>
      <w:r>
        <w:rPr>
          <w:rFonts w:hint="default" w:ascii="Times New Roman" w:hAnsi="Times New Roman" w:eastAsia="仿宋_GB2312" w:cs="Times New Roman"/>
          <w:color w:val="auto"/>
          <w:sz w:val="32"/>
          <w:szCs w:val="32"/>
        </w:rPr>
        <w:t>各类运输方式，高效串联国际国内物流通道和节点，</w:t>
      </w:r>
      <w:r>
        <w:rPr>
          <w:rFonts w:hint="eastAsia" w:ascii="Times New Roman" w:hAnsi="Times New Roman" w:eastAsia="仿宋_GB2312" w:cs="Times New Roman"/>
          <w:b w:val="0"/>
          <w:bCs w:val="0"/>
          <w:color w:val="000000"/>
          <w:kern w:val="2"/>
          <w:sz w:val="32"/>
          <w:szCs w:val="32"/>
          <w:lang w:val="en-US" w:eastAsia="zh-CN" w:bidi="ar-SA"/>
        </w:rPr>
        <w:t>完善多式联运国际物流服务网络，</w:t>
      </w:r>
      <w:r>
        <w:rPr>
          <w:rFonts w:hint="default" w:ascii="Times New Roman" w:hAnsi="Times New Roman" w:eastAsia="仿宋_GB2312" w:cs="Times New Roman"/>
          <w:color w:val="auto"/>
          <w:sz w:val="32"/>
          <w:szCs w:val="32"/>
        </w:rPr>
        <w:t>推动形成面向中亚西亚南亚</w:t>
      </w:r>
      <w:r>
        <w:rPr>
          <w:rFonts w:hint="eastAsia" w:ascii="Times New Roman" w:hAnsi="Times New Roman" w:eastAsia="仿宋_GB2312" w:cs="Times New Roman"/>
          <w:color w:val="auto"/>
          <w:sz w:val="32"/>
          <w:szCs w:val="32"/>
          <w:lang w:eastAsia="zh-CN"/>
        </w:rPr>
        <w:t>欧洲</w:t>
      </w:r>
      <w:r>
        <w:rPr>
          <w:rFonts w:hint="default" w:ascii="Times New Roman" w:hAnsi="Times New Roman" w:eastAsia="仿宋_GB2312" w:cs="Times New Roman"/>
          <w:color w:val="auto"/>
          <w:sz w:val="32"/>
          <w:szCs w:val="32"/>
        </w:rPr>
        <w:t>、支撑双循环发展、陆</w:t>
      </w:r>
      <w:r>
        <w:rPr>
          <w:rFonts w:hint="eastAsia" w:ascii="Times New Roman" w:hAnsi="Times New Roman" w:eastAsia="仿宋_GB2312" w:cs="Times New Roman"/>
          <w:color w:val="auto"/>
          <w:sz w:val="32"/>
          <w:szCs w:val="32"/>
          <w:lang w:eastAsia="zh-CN"/>
        </w:rPr>
        <w:t>海内</w:t>
      </w:r>
      <w:r>
        <w:rPr>
          <w:rFonts w:hint="default" w:ascii="Times New Roman" w:hAnsi="Times New Roman" w:eastAsia="仿宋_GB2312" w:cs="Times New Roman"/>
          <w:color w:val="auto"/>
          <w:sz w:val="32"/>
          <w:szCs w:val="32"/>
        </w:rPr>
        <w:t>外联动开放格局的亚欧陆海贸易大通道</w:t>
      </w:r>
      <w:r>
        <w:rPr>
          <w:rFonts w:hint="eastAsia" w:ascii="Times New Roman" w:hAnsi="Times New Roman" w:eastAsia="仿宋_GB2312" w:cs="Times New Roman"/>
          <w:color w:val="auto"/>
          <w:sz w:val="32"/>
          <w:szCs w:val="32"/>
          <w:lang w:eastAsia="zh-CN"/>
        </w:rPr>
        <w:t>，</w:t>
      </w:r>
      <w:r>
        <w:rPr>
          <w:rFonts w:hint="eastAsia" w:ascii="Times New Roman" w:hAnsi="Times New Roman" w:eastAsia="仿宋_GB2312" w:cs="Times New Roman"/>
          <w:b w:val="0"/>
          <w:bCs w:val="0"/>
          <w:color w:val="000000"/>
          <w:kern w:val="2"/>
          <w:sz w:val="32"/>
          <w:szCs w:val="32"/>
          <w:lang w:val="en-US" w:eastAsia="zh-CN" w:bidi="ar-SA"/>
        </w:rPr>
        <w:t>打造“一带一路”沿线国家进出口贸易的“黄金通道”。</w:t>
      </w:r>
    </w:p>
    <w:p>
      <w:pPr>
        <w:pStyle w:val="5"/>
        <w:keepNext w:val="0"/>
        <w:keepLines w:val="0"/>
        <w:pageBreakBefore w:val="0"/>
        <w:kinsoku/>
        <w:overflowPunct/>
        <w:topLinePunct w:val="0"/>
        <w:autoSpaceDE/>
        <w:autoSpaceDN/>
        <w:bidi w:val="0"/>
        <w:adjustRightInd/>
        <w:snapToGrid/>
        <w:spacing w:line="580" w:lineRule="exact"/>
        <w:ind w:firstLine="640" w:firstLineChars="200"/>
        <w:jc w:val="both"/>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楷体" w:hAnsi="楷体" w:eastAsia="楷体" w:cs="楷体"/>
          <w:b w:val="0"/>
          <w:bCs w:val="0"/>
          <w:kern w:val="2"/>
          <w:sz w:val="32"/>
          <w:szCs w:val="32"/>
          <w:highlight w:val="none"/>
          <w:lang w:val="en-US" w:eastAsia="zh-CN" w:bidi="ar-SA"/>
        </w:rPr>
        <w:t>推动中欧班列（西安）高质量发展。</w:t>
      </w:r>
      <w:r>
        <w:rPr>
          <w:rFonts w:hint="eastAsia" w:ascii="Times New Roman" w:hAnsi="Times New Roman" w:eastAsia="仿宋_GB2312" w:cs="Times New Roman"/>
          <w:b w:val="0"/>
          <w:bCs w:val="0"/>
          <w:color w:val="000000"/>
          <w:kern w:val="2"/>
          <w:sz w:val="32"/>
          <w:szCs w:val="32"/>
          <w:lang w:val="en-US" w:eastAsia="zh-CN" w:bidi="ar-SA"/>
        </w:rPr>
        <w:t>全面推进中欧班列（西安）市场化运营，提升国际供应链贸易组织水平，降低综合物流成本，提高市场竞争力。构建“干支结合、枢纽集散”高效集疏运体系，推进中欧班列西安集结中心示范工程建设，完善“一核多园、联动发展”模式，加强中亚、南亚、西亚及欧洲的境外物流设施布局组网。强化数字中欧班列建设，完善数字金融综合服务平台，推动班列与国际邮件、跨境电商深度融合，带动</w:t>
      </w:r>
      <w:r>
        <w:rPr>
          <w:rFonts w:hint="default" w:ascii="Times New Roman" w:hAnsi="Times New Roman" w:eastAsia="仿宋_GB2312" w:cs="Times New Roman"/>
          <w:sz w:val="32"/>
          <w:szCs w:val="32"/>
          <w:lang w:val="zh-CN" w:eastAsia="zh-CN"/>
        </w:rPr>
        <w:t>“港产贸”一体化发展</w:t>
      </w:r>
      <w:r>
        <w:rPr>
          <w:rFonts w:hint="eastAsia" w:ascii="Times New Roman" w:hAnsi="Times New Roman" w:eastAsia="仿宋_GB2312" w:cs="Times New Roman"/>
          <w:sz w:val="32"/>
          <w:szCs w:val="32"/>
          <w:lang w:val="zh-CN" w:eastAsia="zh-CN"/>
        </w:rPr>
        <w:t>。</w:t>
      </w:r>
      <w:r>
        <w:rPr>
          <w:rFonts w:hint="eastAsia" w:ascii="Times New Roman" w:hAnsi="Times New Roman" w:eastAsia="仿宋_GB2312" w:cs="Times New Roman"/>
          <w:b w:val="0"/>
          <w:bCs w:val="0"/>
          <w:color w:val="000000"/>
          <w:kern w:val="2"/>
          <w:sz w:val="32"/>
          <w:szCs w:val="32"/>
          <w:lang w:val="en-US" w:eastAsia="zh-CN" w:bidi="ar-SA"/>
        </w:rPr>
        <w:t>到2025年实现集装箱吞吐量达到50万标箱，货运量达到400万吨，建成投用10个海外仓，实现交通枢纽向贸易和产业枢纽转变。</w:t>
      </w:r>
    </w:p>
    <w:p>
      <w:pPr>
        <w:pStyle w:val="5"/>
        <w:keepNext w:val="0"/>
        <w:keepLines w:val="0"/>
        <w:pageBreakBefore w:val="0"/>
        <w:kinsoku/>
        <w:overflowPunct/>
        <w:topLinePunct w:val="0"/>
        <w:autoSpaceDE/>
        <w:autoSpaceDN/>
        <w:bidi w:val="0"/>
        <w:adjustRightInd/>
        <w:snapToGrid/>
        <w:spacing w:line="580" w:lineRule="exact"/>
        <w:jc w:val="both"/>
        <w:textAlignment w:val="auto"/>
        <w:rPr>
          <w:rFonts w:hint="eastAsia" w:ascii="Times New Roman" w:hAnsi="Times New Roman" w:eastAsia="仿宋_GB2312" w:cs="Times New Roman"/>
          <w:b w:val="0"/>
          <w:bCs w:val="0"/>
          <w:color w:val="000000"/>
          <w:kern w:val="2"/>
          <w:sz w:val="32"/>
          <w:szCs w:val="32"/>
          <w:lang w:val="en-US" w:eastAsia="zh-CN" w:bidi="ar-SA"/>
        </w:rPr>
      </w:pPr>
    </w:p>
    <w:p>
      <w:pPr>
        <w:pStyle w:val="5"/>
        <w:keepNext w:val="0"/>
        <w:keepLines w:val="0"/>
        <w:pageBreakBefore w:val="0"/>
        <w:kinsoku/>
        <w:overflowPunct/>
        <w:topLinePunct w:val="0"/>
        <w:autoSpaceDE/>
        <w:autoSpaceDN/>
        <w:bidi w:val="0"/>
        <w:adjustRightInd/>
        <w:snapToGrid/>
        <w:spacing w:line="580" w:lineRule="exact"/>
        <w:jc w:val="both"/>
        <w:textAlignment w:val="auto"/>
        <w:rPr>
          <w:rFonts w:hint="eastAsia" w:ascii="Times New Roman" w:hAnsi="Times New Roman" w:eastAsia="仿宋_GB2312" w:cs="Times New Roman"/>
          <w:b w:val="0"/>
          <w:bCs w:val="0"/>
          <w:color w:val="000000"/>
          <w:kern w:val="2"/>
          <w:sz w:val="32"/>
          <w:szCs w:val="32"/>
          <w:lang w:val="en-US" w:eastAsia="zh-CN" w:bidi="ar-SA"/>
        </w:rPr>
      </w:pPr>
    </w:p>
    <w:p>
      <w:pPr>
        <w:pStyle w:val="5"/>
        <w:keepNext w:val="0"/>
        <w:keepLines w:val="0"/>
        <w:pageBreakBefore w:val="0"/>
        <w:kinsoku/>
        <w:overflowPunct/>
        <w:topLinePunct w:val="0"/>
        <w:autoSpaceDE/>
        <w:autoSpaceDN/>
        <w:bidi w:val="0"/>
        <w:adjustRightInd/>
        <w:snapToGrid/>
        <w:spacing w:line="580" w:lineRule="exact"/>
        <w:jc w:val="both"/>
        <w:textAlignment w:val="auto"/>
        <w:rPr>
          <w:rFonts w:hint="eastAsia" w:ascii="Times New Roman" w:hAnsi="Times New Roman" w:eastAsia="仿宋_GB2312" w:cs="Times New Roman"/>
          <w:b w:val="0"/>
          <w:bCs w:val="0"/>
          <w:color w:val="000000"/>
          <w:kern w:val="2"/>
          <w:sz w:val="32"/>
          <w:szCs w:val="32"/>
          <w:lang w:val="en-US" w:eastAsia="zh-CN" w:bidi="ar-SA"/>
        </w:rPr>
      </w:pPr>
    </w:p>
    <w:p>
      <w:pPr>
        <w:pStyle w:val="5"/>
        <w:keepNext w:val="0"/>
        <w:keepLines w:val="0"/>
        <w:pageBreakBefore w:val="0"/>
        <w:kinsoku/>
        <w:overflowPunct/>
        <w:topLinePunct w:val="0"/>
        <w:autoSpaceDE/>
        <w:autoSpaceDN/>
        <w:bidi w:val="0"/>
        <w:adjustRightInd/>
        <w:snapToGrid/>
        <w:spacing w:line="580" w:lineRule="exact"/>
        <w:jc w:val="both"/>
        <w:textAlignment w:val="auto"/>
        <w:rPr>
          <w:rFonts w:hint="eastAsia" w:ascii="Times New Roman" w:hAnsi="Times New Roman" w:eastAsia="仿宋_GB2312" w:cs="Times New Roman"/>
          <w:b w:val="0"/>
          <w:bCs w:val="0"/>
          <w:color w:val="000000"/>
          <w:kern w:val="2"/>
          <w:sz w:val="32"/>
          <w:szCs w:val="32"/>
          <w:lang w:val="en-US" w:eastAsia="zh-CN" w:bidi="ar-SA"/>
        </w:rPr>
      </w:pPr>
    </w:p>
    <w:p>
      <w:pPr>
        <w:pStyle w:val="5"/>
        <w:keepNext w:val="0"/>
        <w:keepLines w:val="0"/>
        <w:pageBreakBefore w:val="0"/>
        <w:kinsoku/>
        <w:overflowPunct/>
        <w:topLinePunct w:val="0"/>
        <w:autoSpaceDE/>
        <w:autoSpaceDN/>
        <w:bidi w:val="0"/>
        <w:adjustRightInd/>
        <w:snapToGrid/>
        <w:spacing w:line="580" w:lineRule="exact"/>
        <w:jc w:val="both"/>
        <w:textAlignment w:val="auto"/>
        <w:rPr>
          <w:rFonts w:hint="eastAsia" w:ascii="Times New Roman" w:hAnsi="Times New Roman" w:eastAsia="仿宋_GB2312" w:cs="Times New Roman"/>
          <w:b w:val="0"/>
          <w:bCs w:val="0"/>
          <w:color w:val="000000"/>
          <w:kern w:val="2"/>
          <w:sz w:val="32"/>
          <w:szCs w:val="32"/>
          <w:lang w:val="en-US" w:eastAsia="zh-CN" w:bidi="ar-SA"/>
        </w:rPr>
      </w:pPr>
    </w:p>
    <w:p>
      <w:pPr>
        <w:pStyle w:val="5"/>
        <w:keepNext w:val="0"/>
        <w:keepLines w:val="0"/>
        <w:pageBreakBefore w:val="0"/>
        <w:kinsoku/>
        <w:overflowPunct/>
        <w:topLinePunct w:val="0"/>
        <w:autoSpaceDE/>
        <w:autoSpaceDN/>
        <w:bidi w:val="0"/>
        <w:adjustRightInd/>
        <w:snapToGrid/>
        <w:spacing w:line="580" w:lineRule="exact"/>
        <w:jc w:val="both"/>
        <w:textAlignment w:val="auto"/>
        <w:rPr>
          <w:rFonts w:hint="eastAsia" w:ascii="Times New Roman" w:hAnsi="Times New Roman" w:eastAsia="仿宋_GB2312" w:cs="Times New Roman"/>
          <w:b w:val="0"/>
          <w:bCs w:val="0"/>
          <w:color w:val="000000"/>
          <w:kern w:val="2"/>
          <w:sz w:val="32"/>
          <w:szCs w:val="32"/>
          <w:lang w:val="en-US" w:eastAsia="zh-CN" w:bidi="ar-SA"/>
        </w:rPr>
      </w:pPr>
    </w:p>
    <w:p>
      <w:pPr>
        <w:pStyle w:val="5"/>
        <w:keepNext w:val="0"/>
        <w:keepLines w:val="0"/>
        <w:pageBreakBefore w:val="0"/>
        <w:kinsoku/>
        <w:overflowPunct/>
        <w:topLinePunct w:val="0"/>
        <w:autoSpaceDE/>
        <w:autoSpaceDN/>
        <w:bidi w:val="0"/>
        <w:adjustRightInd/>
        <w:snapToGrid/>
        <w:spacing w:line="580" w:lineRule="exact"/>
        <w:jc w:val="both"/>
        <w:textAlignment w:val="auto"/>
        <w:rPr>
          <w:rFonts w:hint="eastAsia" w:ascii="Times New Roman" w:hAnsi="Times New Roman" w:eastAsia="仿宋_GB2312" w:cs="Times New Roman"/>
          <w:b w:val="0"/>
          <w:bCs w:val="0"/>
          <w:color w:val="000000"/>
          <w:kern w:val="2"/>
          <w:sz w:val="32"/>
          <w:szCs w:val="32"/>
          <w:lang w:val="en-US" w:eastAsia="zh-CN" w:bidi="ar-SA"/>
        </w:rPr>
      </w:pPr>
    </w:p>
    <w:p>
      <w:pPr>
        <w:pStyle w:val="5"/>
        <w:keepNext w:val="0"/>
        <w:keepLines w:val="0"/>
        <w:pageBreakBefore w:val="0"/>
        <w:kinsoku/>
        <w:overflowPunct/>
        <w:topLinePunct w:val="0"/>
        <w:autoSpaceDE/>
        <w:autoSpaceDN/>
        <w:bidi w:val="0"/>
        <w:adjustRightInd/>
        <w:snapToGrid/>
        <w:spacing w:line="580" w:lineRule="exact"/>
        <w:jc w:val="both"/>
        <w:textAlignment w:val="auto"/>
        <w:rPr>
          <w:rFonts w:hint="eastAsia" w:ascii="Times New Roman" w:hAnsi="Times New Roman" w:eastAsia="仿宋_GB2312" w:cs="Times New Roman"/>
          <w:b w:val="0"/>
          <w:bCs w:val="0"/>
          <w:color w:val="000000"/>
          <w:kern w:val="2"/>
          <w:sz w:val="32"/>
          <w:szCs w:val="32"/>
          <w:lang w:val="en-US" w:eastAsia="zh-CN" w:bidi="ar-SA"/>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852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黑体" w:hAnsi="黑体" w:eastAsia="黑体" w:cs="黑体"/>
                <w:sz w:val="24"/>
                <w:szCs w:val="24"/>
                <w:vertAlign w:val="baseline"/>
                <w:lang w:eastAsia="zh-CN"/>
              </w:rPr>
            </w:pPr>
            <w:r>
              <w:rPr>
                <w:rFonts w:hint="eastAsia" w:ascii="楷体" w:hAnsi="楷体" w:eastAsia="楷体" w:cs="楷体"/>
                <w:b w:val="0"/>
                <w:bCs w:val="0"/>
                <w:color w:val="000000"/>
                <w:sz w:val="28"/>
                <w:szCs w:val="28"/>
                <w:lang w:eastAsia="zh-CN"/>
              </w:rPr>
              <w:t>专栏2 中欧班列西安集结中心建设工程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7" w:hRule="atLeast"/>
          <w:jc w:val="center"/>
        </w:trPr>
        <w:tc>
          <w:tcPr>
            <w:tcW w:w="852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vertAlign w:val="baseline"/>
              </w:rPr>
            </w:pPr>
            <w:r>
              <w:rPr>
                <w:rFonts w:hint="eastAsia" w:ascii="黑体" w:hAnsi="黑体" w:eastAsia="黑体" w:cs="黑体"/>
                <w:vertAlign w:val="baseline"/>
                <w:lang w:val="en-US" w:eastAsia="zh-CN"/>
              </w:rPr>
              <w:t xml:space="preserve">    </w:t>
            </w:r>
            <w:r>
              <w:rPr>
                <w:rFonts w:hint="eastAsia" w:ascii="黑体" w:hAnsi="黑体" w:eastAsia="黑体" w:cs="黑体"/>
                <w:vertAlign w:val="baseline"/>
                <w:lang w:eastAsia="zh-CN"/>
              </w:rPr>
              <w:t>提升</w:t>
            </w:r>
            <w:r>
              <w:rPr>
                <w:rFonts w:hint="eastAsia" w:ascii="黑体" w:hAnsi="黑体" w:eastAsia="黑体" w:cs="黑体"/>
                <w:vertAlign w:val="baseline"/>
              </w:rPr>
              <w:t>集结中心</w:t>
            </w:r>
            <w:r>
              <w:rPr>
                <w:rFonts w:hint="eastAsia" w:ascii="黑体" w:hAnsi="黑体" w:eastAsia="黑体" w:cs="黑体"/>
                <w:vertAlign w:val="baseline"/>
                <w:lang w:eastAsia="zh-CN"/>
              </w:rPr>
              <w:t>功能</w:t>
            </w:r>
            <w:r>
              <w:rPr>
                <w:rFonts w:hint="eastAsia" w:ascii="黑体" w:hAnsi="黑体" w:eastAsia="黑体" w:cs="黑体"/>
                <w:vertAlign w:val="baseline"/>
              </w:rPr>
              <w:t>。</w:t>
            </w:r>
            <w:r>
              <w:rPr>
                <w:rFonts w:hint="eastAsia" w:ascii="仿宋_GB2312" w:hAnsi="仿宋_GB2312" w:eastAsia="仿宋_GB2312" w:cs="仿宋_GB2312"/>
                <w:vertAlign w:val="baseline"/>
                <w:lang w:eastAsia="zh-CN"/>
              </w:rPr>
              <w:t>完善</w:t>
            </w:r>
            <w:r>
              <w:rPr>
                <w:rFonts w:hint="eastAsia" w:ascii="仿宋_GB2312" w:hAnsi="仿宋_GB2312" w:eastAsia="仿宋_GB2312" w:cs="仿宋_GB2312"/>
                <w:vertAlign w:val="baseline"/>
              </w:rPr>
              <w:t>西安陆港型国家物流枢纽综合服务</w:t>
            </w:r>
            <w:r>
              <w:rPr>
                <w:rFonts w:hint="eastAsia" w:ascii="仿宋_GB2312" w:hAnsi="仿宋_GB2312" w:eastAsia="仿宋_GB2312" w:cs="仿宋_GB2312"/>
                <w:vertAlign w:val="baseline"/>
                <w:lang w:eastAsia="zh-CN"/>
              </w:rPr>
              <w:t>功能</w:t>
            </w:r>
            <w:r>
              <w:rPr>
                <w:rFonts w:hint="eastAsia" w:ascii="仿宋_GB2312" w:hAnsi="仿宋_GB2312" w:eastAsia="仿宋_GB2312" w:cs="仿宋_GB2312"/>
                <w:vertAlign w:val="baseline"/>
              </w:rPr>
              <w:t>，启动建设西安铁路集装箱中心站第三条、第四条线束</w:t>
            </w:r>
            <w:r>
              <w:rPr>
                <w:rFonts w:hint="eastAsia" w:ascii="仿宋_GB2312" w:hAnsi="仿宋_GB2312" w:eastAsia="仿宋_GB2312" w:cs="仿宋_GB2312"/>
                <w:vertAlign w:val="baseline"/>
                <w:lang w:eastAsia="zh-CN"/>
              </w:rPr>
              <w:t>，提升场站作业能力</w:t>
            </w:r>
            <w:r>
              <w:rPr>
                <w:rFonts w:hint="eastAsia" w:ascii="仿宋_GB2312" w:hAnsi="仿宋_GB2312" w:eastAsia="仿宋_GB2312" w:cs="仿宋_GB2312"/>
                <w:vertAlign w:val="baseline"/>
              </w:rPr>
              <w:t>；建设集装箱装卸基础支撑系统、港口作业系统、港口服务系统、业务管控系统，建设更加规范的海关监管作业场所和海关集约封闭式集装箱查验场地，通过电子围网、监控摄像头、信息化系统等实现途中自动化监管，打造现代化、智能化、自动化陆港码头。</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outlineLvl w:val="9"/>
              <w:rPr>
                <w:rFonts w:hint="eastAsia" w:ascii="仿宋_GB2312" w:hAnsi="仿宋_GB2312" w:eastAsia="仿宋_GB2312" w:cs="仿宋_GB2312"/>
                <w:vertAlign w:val="baseline"/>
              </w:rPr>
            </w:pPr>
            <w:r>
              <w:rPr>
                <w:rFonts w:hint="eastAsia" w:ascii="黑体" w:hAnsi="黑体" w:eastAsia="黑体" w:cs="黑体"/>
                <w:vertAlign w:val="baseline"/>
                <w:lang w:eastAsia="zh-CN"/>
              </w:rPr>
              <w:t>完善中欧班列</w:t>
            </w:r>
            <w:r>
              <w:rPr>
                <w:rFonts w:hint="eastAsia" w:ascii="黑体" w:hAnsi="黑体" w:eastAsia="黑体" w:cs="黑体"/>
                <w:vertAlign w:val="baseline"/>
              </w:rPr>
              <w:t>通道网络。</w:t>
            </w:r>
            <w:r>
              <w:rPr>
                <w:rFonts w:hint="eastAsia" w:ascii="仿宋_GB2312" w:hAnsi="仿宋_GB2312" w:eastAsia="仿宋_GB2312" w:cs="仿宋_GB2312"/>
                <w:vertAlign w:val="baseline"/>
                <w:lang w:eastAsia="zh-CN"/>
              </w:rPr>
              <w:t>深入</w:t>
            </w:r>
            <w:r>
              <w:rPr>
                <w:rFonts w:hint="eastAsia" w:ascii="仿宋_GB2312" w:hAnsi="仿宋_GB2312" w:eastAsia="仿宋_GB2312" w:cs="仿宋_GB2312"/>
                <w:vertAlign w:val="baseline"/>
              </w:rPr>
              <w:t>实施“+西欧”开行计划，为“+西欧”城市提供国际贸易通关、国际班列集散换装等服务保障</w:t>
            </w:r>
            <w:r>
              <w:rPr>
                <w:rFonts w:hint="eastAsia" w:ascii="仿宋_GB2312" w:hAnsi="仿宋_GB2312" w:eastAsia="仿宋_GB2312" w:cs="仿宋_GB2312"/>
                <w:vertAlign w:val="baseline"/>
                <w:lang w:eastAsia="zh-CN"/>
              </w:rPr>
              <w:t>，</w:t>
            </w:r>
            <w:r>
              <w:rPr>
                <w:rFonts w:hint="eastAsia" w:ascii="仿宋_GB2312" w:hAnsi="仿宋_GB2312" w:eastAsia="仿宋_GB2312" w:cs="仿宋_GB2312"/>
                <w:vertAlign w:val="baseline"/>
              </w:rPr>
              <w:t>推动形成“干支结合、枢纽集散”的集疏运体系</w:t>
            </w:r>
            <w:r>
              <w:rPr>
                <w:rFonts w:hint="eastAsia" w:ascii="仿宋_GB2312" w:hAnsi="仿宋_GB2312" w:eastAsia="仿宋_GB2312" w:cs="仿宋_GB2312"/>
                <w:vertAlign w:val="baseline"/>
                <w:lang w:eastAsia="zh-CN"/>
              </w:rPr>
              <w:t>。</w:t>
            </w:r>
            <w:r>
              <w:rPr>
                <w:rFonts w:hint="eastAsia" w:ascii="仿宋_GB2312" w:hAnsi="仿宋_GB2312" w:eastAsia="仿宋_GB2312" w:cs="仿宋_GB2312"/>
                <w:vertAlign w:val="baseline"/>
              </w:rPr>
              <w:t>优化国内外中欧班列集结分拨线路布局，构建集约高效的“长安号+国内城市/沿海港口/境外城市”的国际物流通道格局。推动中欧班列西安集结中心与宝鸡、榆林、汉中、安康等各市区产业园区协同联动，加强平台对接和信息共享，以“飞地</w:t>
            </w:r>
            <w:r>
              <w:rPr>
                <w:rFonts w:hint="eastAsia" w:ascii="仿宋_GB2312" w:hAnsi="仿宋_GB2312" w:eastAsia="仿宋_GB2312" w:cs="仿宋_GB2312"/>
                <w:vertAlign w:val="baseline"/>
                <w:lang w:eastAsia="zh-CN"/>
              </w:rPr>
              <w:t>物流</w:t>
            </w:r>
            <w:r>
              <w:rPr>
                <w:rFonts w:hint="eastAsia" w:ascii="仿宋_GB2312" w:hAnsi="仿宋_GB2312" w:eastAsia="仿宋_GB2312" w:cs="仿宋_GB2312"/>
                <w:vertAlign w:val="baseline"/>
              </w:rPr>
              <w:t>”等模式共</w:t>
            </w:r>
            <w:r>
              <w:rPr>
                <w:rFonts w:hint="eastAsia" w:ascii="仿宋_GB2312" w:hAnsi="仿宋_GB2312" w:eastAsia="仿宋_GB2312" w:cs="仿宋_GB2312"/>
                <w:vertAlign w:val="baseline"/>
                <w:lang w:eastAsia="zh-CN"/>
              </w:rPr>
              <w:t>同</w:t>
            </w:r>
            <w:r>
              <w:rPr>
                <w:rFonts w:hint="eastAsia" w:ascii="仿宋_GB2312" w:hAnsi="仿宋_GB2312" w:eastAsia="仿宋_GB2312" w:cs="仿宋_GB2312"/>
                <w:vertAlign w:val="baseline"/>
              </w:rPr>
              <w:t>推动中欧班列西安集结中心建设。</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outlineLvl w:val="9"/>
              <w:rPr>
                <w:rFonts w:hint="eastAsia" w:ascii="仿宋_GB2312" w:hAnsi="仿宋_GB2312" w:eastAsia="仿宋_GB2312" w:cs="仿宋_GB2312"/>
                <w:vertAlign w:val="baseline"/>
                <w:lang w:eastAsia="zh-CN"/>
              </w:rPr>
            </w:pPr>
            <w:r>
              <w:rPr>
                <w:rFonts w:hint="eastAsia" w:ascii="黑体" w:hAnsi="黑体" w:eastAsia="黑体" w:cs="黑体"/>
                <w:vertAlign w:val="baseline"/>
                <w:lang w:eastAsia="zh-CN"/>
              </w:rPr>
              <w:t>建设跨境电商集结中心。</w:t>
            </w:r>
            <w:r>
              <w:rPr>
                <w:rFonts w:hint="eastAsia" w:ascii="仿宋_GB2312" w:hAnsi="仿宋_GB2312" w:eastAsia="仿宋_GB2312" w:cs="仿宋_GB2312"/>
                <w:vertAlign w:val="baseline"/>
                <w:lang w:eastAsia="zh-CN"/>
              </w:rPr>
              <w:t>优化国际铁路运邮作业组织和换装流程，提高跨境寄递服务效率，引导企业利用“长安号”扩展寄递渠道。加密开行跨境电商专列，促进国际快件、跨境电商等新业态发展，建设中欧班列跨境电商全国集结中心。</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outlineLvl w:val="9"/>
              <w:rPr>
                <w:rFonts w:hint="eastAsia" w:ascii="楷体" w:hAnsi="楷体" w:eastAsia="仿宋_GB2312" w:cs="楷体"/>
                <w:b w:val="0"/>
                <w:bCs w:val="0"/>
                <w:color w:val="auto"/>
                <w:sz w:val="28"/>
                <w:szCs w:val="28"/>
                <w:shd w:val="clear" w:color="auto" w:fill="CCE8CF"/>
                <w:lang w:eastAsia="zh-CN"/>
              </w:rPr>
            </w:pPr>
            <w:r>
              <w:rPr>
                <w:rFonts w:hint="eastAsia" w:ascii="黑体" w:hAnsi="黑体" w:eastAsia="黑体" w:cs="黑体"/>
                <w:vertAlign w:val="baseline"/>
              </w:rPr>
              <w:t>培育发展枢纽经济。</w:t>
            </w:r>
            <w:r>
              <w:rPr>
                <w:rFonts w:hint="eastAsia" w:ascii="仿宋_GB2312" w:hAnsi="仿宋_GB2312" w:eastAsia="仿宋_GB2312" w:cs="仿宋_GB2312"/>
                <w:vertAlign w:val="baseline"/>
              </w:rPr>
              <w:t>优化国际贸易营商环境，</w:t>
            </w:r>
            <w:r>
              <w:rPr>
                <w:rFonts w:hint="eastAsia" w:ascii="仿宋_GB2312" w:hAnsi="仿宋_GB2312" w:eastAsia="仿宋_GB2312" w:cs="仿宋_GB2312"/>
                <w:vertAlign w:val="baseline"/>
                <w:lang w:eastAsia="zh-CN"/>
              </w:rPr>
              <w:t>推动</w:t>
            </w:r>
            <w:r>
              <w:rPr>
                <w:rFonts w:hint="eastAsia" w:ascii="仿宋_GB2312" w:hAnsi="仿宋_GB2312" w:eastAsia="仿宋_GB2312" w:cs="仿宋_GB2312"/>
                <w:vertAlign w:val="baseline"/>
              </w:rPr>
              <w:t>“班列+产业”、“班列+贸易”</w:t>
            </w:r>
            <w:r>
              <w:rPr>
                <w:rFonts w:hint="eastAsia" w:ascii="仿宋_GB2312" w:hAnsi="仿宋_GB2312" w:eastAsia="仿宋_GB2312" w:cs="仿宋_GB2312"/>
                <w:vertAlign w:val="baseline"/>
                <w:lang w:eastAsia="zh-CN"/>
              </w:rPr>
              <w:t>联动发展。</w:t>
            </w:r>
            <w:r>
              <w:rPr>
                <w:rFonts w:hint="eastAsia" w:ascii="仿宋_GB2312" w:hAnsi="仿宋_GB2312" w:eastAsia="仿宋_GB2312" w:cs="仿宋_GB2312"/>
                <w:vertAlign w:val="baseline"/>
              </w:rPr>
              <w:t>建设</w:t>
            </w:r>
            <w:r>
              <w:rPr>
                <w:rFonts w:hint="eastAsia" w:ascii="仿宋_GB2312" w:hAnsi="仿宋_GB2312" w:eastAsia="仿宋_GB2312" w:cs="仿宋_GB2312"/>
                <w:vertAlign w:val="baseline"/>
                <w:lang w:eastAsia="zh-CN"/>
              </w:rPr>
              <w:t>运营</w:t>
            </w:r>
            <w:r>
              <w:rPr>
                <w:rFonts w:hint="eastAsia" w:ascii="仿宋_GB2312" w:hAnsi="仿宋_GB2312" w:eastAsia="仿宋_GB2312" w:cs="仿宋_GB2312"/>
                <w:vertAlign w:val="baseline"/>
              </w:rPr>
              <w:t>中欧班列数字金融综合服务平台，设立“一带一路”产业转移承接发展基金，引导信息链、资金链、供应链等全产业链要素高度融合聚集，</w:t>
            </w:r>
            <w:r>
              <w:rPr>
                <w:rFonts w:hint="eastAsia" w:ascii="仿宋_GB2312" w:hAnsi="仿宋_GB2312" w:eastAsia="仿宋_GB2312" w:cs="仿宋_GB2312"/>
                <w:vertAlign w:val="baseline"/>
                <w:lang w:eastAsia="zh-CN"/>
              </w:rPr>
              <w:t>打造</w:t>
            </w:r>
            <w:r>
              <w:rPr>
                <w:rFonts w:hint="eastAsia" w:ascii="仿宋_GB2312" w:hAnsi="仿宋_GB2312" w:eastAsia="仿宋_GB2312" w:cs="仿宋_GB2312"/>
                <w:vertAlign w:val="baseline"/>
              </w:rPr>
              <w:t>国家级“一带一路”国际产业转移承接中心。</w:t>
            </w:r>
            <w:r>
              <w:rPr>
                <w:rFonts w:hint="eastAsia" w:ascii="仿宋_GB2312" w:hAnsi="仿宋_GB2312" w:eastAsia="仿宋_GB2312" w:cs="仿宋_GB2312"/>
                <w:vertAlign w:val="baseline"/>
                <w:lang w:eastAsia="zh-CN"/>
              </w:rPr>
              <w:t>推动</w:t>
            </w:r>
            <w:r>
              <w:rPr>
                <w:rFonts w:hint="eastAsia" w:ascii="仿宋_GB2312" w:hAnsi="仿宋_GB2312" w:eastAsia="仿宋_GB2312" w:cs="仿宋_GB2312"/>
                <w:vertAlign w:val="baseline"/>
              </w:rPr>
              <w:t>构建仓储、交收、加工、物流配送和货物质押融资等综合性服务为一体的市场体系，开展面向“一带一路”的国际大宗商品交易服务。</w:t>
            </w:r>
          </w:p>
        </w:tc>
      </w:tr>
    </w:tbl>
    <w:p>
      <w:pPr>
        <w:pStyle w:val="34"/>
        <w:keepNext w:val="0"/>
        <w:keepLines w:val="0"/>
        <w:pageBreakBefore w:val="0"/>
        <w:numPr>
          <w:ilvl w:val="0"/>
          <w:numId w:val="0"/>
        </w:numPr>
        <w:kinsoku/>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楷体" w:hAnsi="楷体" w:eastAsia="楷体" w:cs="楷体"/>
          <w:b w:val="0"/>
          <w:bCs w:val="0"/>
          <w:kern w:val="2"/>
          <w:sz w:val="32"/>
          <w:szCs w:val="32"/>
          <w:highlight w:val="none"/>
          <w:lang w:val="en-US" w:eastAsia="zh-CN" w:bidi="ar-SA"/>
        </w:rPr>
        <w:t>建设通达顺畅的航空物流体系。</w:t>
      </w:r>
      <w:r>
        <w:rPr>
          <w:rFonts w:hint="eastAsia" w:ascii="Times New Roman" w:hAnsi="Times New Roman" w:eastAsia="仿宋_GB2312" w:cs="Times New Roman"/>
          <w:b w:val="0"/>
          <w:bCs w:val="0"/>
          <w:color w:val="000000"/>
          <w:kern w:val="2"/>
          <w:sz w:val="32"/>
          <w:szCs w:val="32"/>
          <w:lang w:val="en-US" w:eastAsia="zh-CN" w:bidi="ar-SA"/>
        </w:rPr>
        <w:t>全面推进西安咸阳国际机场三期扩建工程，以建设中国最佳中转机场为抓手，提升基础设施综合保障能力。以服务国际贸易、支持电子信息、生物医药等高端产业发展为目标，构建以东亚东南亚为重点、辐射“一带一路”沿线国家和地区、联通美澳等发达国家的国际航空货运网络。强化机场货物集疏能力，建设卡车航班中心、空铁联运中心等配套设施，完善航空物流数字供应链服务平台，健全航空货运服务体系，打造全球性国际邮政快递枢纽。积极引进大型跨国物流企业、供应链服务企业和供应链咨询公司等，延伸航空物流价值链，拓展综合供应链服务，建设面向“一带一路”的供应链管理中心。2025年，西安咸阳国际机场国际及地区通航城市达到70个，全货运航线通航城市40个，年货邮吞吐量80万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852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vertAlign w:val="baseline"/>
              </w:rPr>
            </w:pPr>
            <w:r>
              <w:rPr>
                <w:rFonts w:hint="eastAsia" w:ascii="楷体" w:hAnsi="楷体" w:eastAsia="楷体" w:cs="楷体"/>
                <w:b w:val="0"/>
                <w:bCs w:val="0"/>
                <w:color w:val="000000"/>
                <w:sz w:val="28"/>
                <w:szCs w:val="28"/>
              </w:rPr>
              <w:t>专栏</w:t>
            </w:r>
            <w:r>
              <w:rPr>
                <w:rFonts w:hint="eastAsia" w:ascii="楷体" w:hAnsi="楷体" w:eastAsia="楷体" w:cs="楷体"/>
                <w:b w:val="0"/>
                <w:bCs w:val="0"/>
                <w:color w:val="000000"/>
                <w:sz w:val="28"/>
                <w:szCs w:val="28"/>
                <w:lang w:val="en-US" w:eastAsia="zh-CN"/>
              </w:rPr>
              <w:t xml:space="preserve">3  </w:t>
            </w:r>
            <w:r>
              <w:rPr>
                <w:rFonts w:hint="eastAsia" w:ascii="楷体" w:hAnsi="楷体" w:eastAsia="楷体" w:cs="楷体"/>
                <w:b w:val="0"/>
                <w:bCs w:val="0"/>
                <w:color w:val="000000"/>
                <w:sz w:val="28"/>
                <w:szCs w:val="28"/>
                <w:lang w:eastAsia="zh-CN"/>
              </w:rPr>
              <w:t>航空物流体系构建工程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0" w:hRule="atLeast"/>
          <w:jc w:val="center"/>
        </w:trPr>
        <w:tc>
          <w:tcPr>
            <w:tcW w:w="852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outlineLvl w:val="9"/>
              <w:rPr>
                <w:rFonts w:hint="eastAsia" w:ascii="仿宋_GB2312" w:hAnsi="仿宋_GB2312" w:eastAsia="仿宋_GB2312" w:cs="仿宋_GB2312"/>
                <w:vertAlign w:val="baseline"/>
              </w:rPr>
            </w:pPr>
            <w:r>
              <w:rPr>
                <w:rFonts w:hint="eastAsia" w:ascii="黑体" w:hAnsi="黑体" w:eastAsia="黑体" w:cs="黑体"/>
                <w:vertAlign w:val="baseline"/>
              </w:rPr>
              <w:t>完善航空货运服务网络。</w:t>
            </w:r>
            <w:r>
              <w:rPr>
                <w:rFonts w:hint="eastAsia" w:ascii="仿宋_GB2312" w:hAnsi="仿宋_GB2312" w:eastAsia="仿宋_GB2312" w:cs="仿宋_GB2312"/>
                <w:vertAlign w:val="baseline"/>
              </w:rPr>
              <w:t>以服务高端产业发展为目标，以供应链运输为导向，以服务国际贸易为重点，构建以东亚东南亚为重点、辐射“一带一路”沿线国家和地区、联通美澳等发达国家的国际航空货运网络。发挥国内客运腹舱网络广度优势，拓展货运网络服务范围，做优做强中转货运服务体系，构建辐射西北、联通全国的航空货运网络体系。依托跨境电商试点城市平台，顺应电子商务发展新需求，适时开辟全货机跨境物流专线。探索“无人机+运输”航空货运发展新模式。</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outlineLvl w:val="9"/>
              <w:rPr>
                <w:rFonts w:hint="eastAsia" w:ascii="黑体" w:hAnsi="黑体" w:eastAsia="黑体" w:cs="黑体"/>
                <w:vertAlign w:val="baseline"/>
              </w:rPr>
            </w:pPr>
            <w:r>
              <w:rPr>
                <w:rFonts w:hint="eastAsia" w:ascii="黑体" w:hAnsi="黑体" w:eastAsia="黑体" w:cs="黑体"/>
                <w:vertAlign w:val="baseline"/>
              </w:rPr>
              <w:t>提升航空物流服务水平。</w:t>
            </w:r>
            <w:r>
              <w:rPr>
                <w:rFonts w:hint="eastAsia" w:ascii="仿宋_GB2312" w:hAnsi="仿宋_GB2312" w:eastAsia="仿宋_GB2312" w:cs="仿宋_GB2312"/>
                <w:vertAlign w:val="baseline"/>
              </w:rPr>
              <w:t>以航空快件、跨境电商、冷链物流等高增长市场为主攻方向，完善相关配套设施设备，提升专业化服务能力，构建具有效率竞争优势的航空货运服务体系。对标国际先进水平，提升机坪中转服务，完善中转服务标准，拓展中转服务范围和服务品种。</w:t>
            </w:r>
          </w:p>
          <w:p>
            <w:pPr>
              <w:keepNext w:val="0"/>
              <w:keepLines w:val="0"/>
              <w:pageBreakBefore w:val="0"/>
              <w:widowControl w:val="0"/>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vertAlign w:val="baseline"/>
              </w:rPr>
            </w:pPr>
            <w:r>
              <w:rPr>
                <w:rFonts w:hint="eastAsia" w:ascii="仿宋_GB2312" w:hAnsi="仿宋_GB2312" w:eastAsia="仿宋_GB2312" w:cs="仿宋_GB2312"/>
                <w:vertAlign w:val="baseline"/>
                <w:lang w:eastAsia="zh-CN"/>
              </w:rPr>
              <w:t>以市场需求为导向</w:t>
            </w:r>
            <w:r>
              <w:rPr>
                <w:rFonts w:hint="eastAsia" w:ascii="仿宋_GB2312" w:hAnsi="仿宋_GB2312" w:eastAsia="仿宋_GB2312" w:cs="仿宋_GB2312"/>
                <w:vertAlign w:val="baseline"/>
              </w:rPr>
              <w:t>，开展口岸、边检前置服务，提供定制化服务产品，实现“门到门”的物流运输服务。推动空港</w:t>
            </w:r>
            <w:r>
              <w:rPr>
                <w:rFonts w:hint="eastAsia" w:ascii="仿宋_GB2312" w:hAnsi="仿宋_GB2312" w:eastAsia="仿宋_GB2312" w:cs="仿宋_GB2312"/>
                <w:vertAlign w:val="baseline"/>
                <w:lang w:eastAsia="zh-CN"/>
              </w:rPr>
              <w:t>新城</w:t>
            </w:r>
            <w:r>
              <w:rPr>
                <w:rFonts w:hint="eastAsia" w:ascii="仿宋_GB2312" w:hAnsi="仿宋_GB2312" w:eastAsia="仿宋_GB2312" w:cs="仿宋_GB2312"/>
                <w:vertAlign w:val="baseline"/>
              </w:rPr>
              <w:t>与西安国际港务区</w:t>
            </w:r>
            <w:r>
              <w:rPr>
                <w:rFonts w:hint="eastAsia" w:ascii="仿宋_GB2312" w:hAnsi="仿宋_GB2312" w:eastAsia="仿宋_GB2312" w:cs="仿宋_GB2312"/>
                <w:vertAlign w:val="baseline"/>
                <w:lang w:eastAsia="zh-CN"/>
              </w:rPr>
              <w:t>“</w:t>
            </w:r>
            <w:r>
              <w:rPr>
                <w:rFonts w:hint="eastAsia" w:ascii="仿宋_GB2312" w:hAnsi="仿宋_GB2312" w:eastAsia="仿宋_GB2312" w:cs="仿宋_GB2312"/>
                <w:vertAlign w:val="baseline"/>
              </w:rPr>
              <w:t>双港联动</w:t>
            </w:r>
            <w:r>
              <w:rPr>
                <w:rFonts w:hint="eastAsia" w:ascii="仿宋_GB2312" w:hAnsi="仿宋_GB2312" w:eastAsia="仿宋_GB2312" w:cs="仿宋_GB2312"/>
                <w:vertAlign w:val="baseline"/>
                <w:lang w:eastAsia="zh-CN"/>
              </w:rPr>
              <w:t>、协同发展”，</w:t>
            </w:r>
            <w:r>
              <w:rPr>
                <w:rFonts w:hint="eastAsia" w:ascii="仿宋_GB2312" w:hAnsi="仿宋_GB2312" w:eastAsia="仿宋_GB2312" w:cs="仿宋_GB2312"/>
                <w:vertAlign w:val="baseline"/>
              </w:rPr>
              <w:t>打造</w:t>
            </w:r>
            <w:r>
              <w:rPr>
                <w:rFonts w:hint="eastAsia" w:ascii="仿宋_GB2312" w:hAnsi="仿宋_GB2312" w:eastAsia="仿宋_GB2312" w:cs="仿宋_GB2312"/>
                <w:vertAlign w:val="baseline"/>
                <w:lang w:eastAsia="zh-CN"/>
              </w:rPr>
              <w:t>高效快捷的</w:t>
            </w:r>
            <w:r>
              <w:rPr>
                <w:rFonts w:hint="eastAsia" w:ascii="仿宋_GB2312" w:hAnsi="仿宋_GB2312" w:eastAsia="仿宋_GB2312" w:cs="仿宋_GB2312"/>
                <w:vertAlign w:val="baseline"/>
              </w:rPr>
              <w:t>国际货运中转联运产品。推进口岸功能优化升级，完善升级运营口岸监管流程。</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both"/>
              <w:textAlignment w:val="auto"/>
              <w:outlineLvl w:val="9"/>
              <w:rPr>
                <w:vertAlign w:val="baseline"/>
              </w:rPr>
            </w:pPr>
            <w:r>
              <w:rPr>
                <w:rFonts w:hint="eastAsia" w:ascii="黑体" w:hAnsi="黑体" w:eastAsia="黑体" w:cs="黑体"/>
                <w:vertAlign w:val="baseline"/>
              </w:rPr>
              <w:t>集聚航空物流发展要素。</w:t>
            </w:r>
            <w:r>
              <w:rPr>
                <w:rFonts w:hint="eastAsia" w:ascii="仿宋_GB2312" w:hAnsi="仿宋_GB2312" w:eastAsia="仿宋_GB2312" w:cs="仿宋_GB2312"/>
                <w:vertAlign w:val="baseline"/>
              </w:rPr>
              <w:t>支持在西安咸阳国际机场设立基地快递物流集成商做大做强，吸引专业化航空货运公司、国际大型物流集成商、大型货代企业将西安打造成全球物流体系的重要节点。与卡车运输等物流企业构建战略伙伴关系，强化机场货物集疏能力。依托航空枢纽平台，引进大型跨国物流企业、供应链服务企业和供应链咨询公司，延伸航空物流价值链，拓展综合供应链服务，建设面向“一带一路”的供应链管理中心。</w:t>
            </w:r>
          </w:p>
        </w:tc>
      </w:tr>
    </w:tbl>
    <w:p>
      <w:pPr>
        <w:keepNext w:val="0"/>
        <w:keepLines w:val="0"/>
        <w:pageBreakBefore w:val="0"/>
        <w:numPr>
          <w:ilvl w:val="0"/>
          <w:numId w:val="0"/>
        </w:numPr>
        <w:kinsoku/>
        <w:overflowPunct/>
        <w:topLinePunct w:val="0"/>
        <w:autoSpaceDE/>
        <w:autoSpaceDN/>
        <w:bidi w:val="0"/>
        <w:adjustRightInd/>
        <w:snapToGrid/>
        <w:spacing w:line="580" w:lineRule="exact"/>
        <w:ind w:leftChars="0" w:firstLine="643" w:firstLineChars="200"/>
        <w:textAlignment w:val="auto"/>
        <w:outlineLvl w:val="1"/>
        <w:rPr>
          <w:rFonts w:hint="eastAsia" w:ascii="CESI仿宋-GB2312" w:hAnsi="CESI仿宋-GB2312" w:eastAsia="CESI仿宋-GB2312" w:cs="CESI仿宋-GB2312"/>
          <w:b/>
          <w:bCs/>
          <w:color w:val="000000"/>
          <w:kern w:val="2"/>
          <w:sz w:val="32"/>
          <w:szCs w:val="32"/>
          <w:lang w:val="en-US" w:eastAsia="zh-CN" w:bidi="ar-SA"/>
        </w:rPr>
      </w:pPr>
      <w:bookmarkStart w:id="16" w:name="_Toc7647"/>
      <w:r>
        <w:rPr>
          <w:rFonts w:hint="eastAsia" w:ascii="CESI仿宋-GB2312" w:hAnsi="CESI仿宋-GB2312" w:eastAsia="CESI仿宋-GB2312" w:cs="CESI仿宋-GB2312"/>
          <w:b/>
          <w:bCs/>
          <w:color w:val="000000"/>
          <w:kern w:val="2"/>
          <w:sz w:val="32"/>
          <w:szCs w:val="32"/>
          <w:lang w:val="en-US" w:eastAsia="zh-CN" w:bidi="ar-SA"/>
        </w:rPr>
        <w:t>（二）系统推进物流行业降本增效</w:t>
      </w:r>
      <w:bookmarkEnd w:id="16"/>
    </w:p>
    <w:p>
      <w:pPr>
        <w:pStyle w:val="34"/>
        <w:keepNext w:val="0"/>
        <w:keepLines w:val="0"/>
        <w:pageBreakBefore w:val="0"/>
        <w:numPr>
          <w:ilvl w:val="0"/>
          <w:numId w:val="0"/>
        </w:numPr>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bCs/>
          <w:color w:val="000000"/>
          <w:kern w:val="2"/>
          <w:sz w:val="32"/>
          <w:szCs w:val="32"/>
          <w:lang w:val="en-US" w:eastAsia="zh-CN" w:bidi="ar-SA"/>
        </w:rPr>
      </w:pPr>
      <w:r>
        <w:rPr>
          <w:rFonts w:hint="eastAsia" w:ascii="楷体" w:hAnsi="楷体" w:eastAsia="楷体" w:cs="楷体"/>
          <w:b w:val="0"/>
          <w:bCs w:val="0"/>
          <w:kern w:val="2"/>
          <w:sz w:val="32"/>
          <w:szCs w:val="32"/>
          <w:highlight w:val="none"/>
          <w:lang w:val="en-US" w:eastAsia="zh-CN" w:bidi="ar-SA"/>
        </w:rPr>
        <w:t>实施物流领域新基建。</w:t>
      </w:r>
      <w:r>
        <w:rPr>
          <w:rFonts w:hint="eastAsia" w:ascii="Times New Roman" w:hAnsi="Times New Roman" w:eastAsia="仿宋_GB2312" w:cs="Times New Roman"/>
          <w:b w:val="0"/>
          <w:bCs w:val="0"/>
          <w:color w:val="000000"/>
          <w:kern w:val="2"/>
          <w:sz w:val="32"/>
          <w:szCs w:val="32"/>
          <w:lang w:val="en-US" w:eastAsia="zh-CN" w:bidi="ar-SA"/>
        </w:rPr>
        <w:t>推动口岸、物流枢纽、物流园区、配送中心、货运场站等物流基础设施设备改造升级，打造智慧口岸、智慧物流园区、智慧陆（空）港、数字仓库等设施网络。丰富人、车、货、运、场应用场景业态模式创新。推进无人机、无人驾驶货车、自动分拣机器人、智能快（邮）件箱等智能装备，以及自动感知、自动控制、智能决策等先进技术在物流领域应用。</w:t>
      </w:r>
      <w:r>
        <w:rPr>
          <w:rFonts w:ascii="Times New Roman" w:hAnsi="Times New Roman" w:eastAsia="仿宋_GB2312"/>
          <w:color w:val="000000"/>
          <w:kern w:val="2"/>
          <w:sz w:val="32"/>
          <w:szCs w:val="32"/>
        </w:rPr>
        <w:t>推动物流信息平台之间互联互通，支持物流企业</w:t>
      </w:r>
      <w:r>
        <w:rPr>
          <w:rFonts w:hint="eastAsia" w:ascii="Times New Roman" w:hAnsi="Times New Roman" w:eastAsia="仿宋_GB2312"/>
          <w:color w:val="000000"/>
          <w:kern w:val="2"/>
          <w:sz w:val="32"/>
          <w:szCs w:val="32"/>
          <w:lang w:val="en-US" w:eastAsia="zh-CN"/>
        </w:rPr>
        <w:t>开展</w:t>
      </w:r>
      <w:r>
        <w:rPr>
          <w:rFonts w:ascii="Times New Roman" w:hAnsi="Times New Roman" w:eastAsia="仿宋_GB2312"/>
          <w:color w:val="000000"/>
          <w:kern w:val="2"/>
          <w:sz w:val="32"/>
          <w:szCs w:val="32"/>
        </w:rPr>
        <w:t>物流活动的信息化和数据化采集，鼓励政府部门、行业协会、科研机构</w:t>
      </w:r>
      <w:r>
        <w:rPr>
          <w:rFonts w:hint="eastAsia" w:ascii="Times New Roman" w:hAnsi="Times New Roman" w:eastAsia="仿宋_GB2312"/>
          <w:color w:val="000000"/>
          <w:kern w:val="2"/>
          <w:sz w:val="32"/>
          <w:szCs w:val="32"/>
          <w:lang w:eastAsia="zh-CN"/>
        </w:rPr>
        <w:t>和</w:t>
      </w:r>
      <w:r>
        <w:rPr>
          <w:rFonts w:ascii="Times New Roman" w:hAnsi="Times New Roman" w:eastAsia="仿宋_GB2312"/>
          <w:color w:val="000000"/>
          <w:kern w:val="2"/>
          <w:sz w:val="32"/>
          <w:szCs w:val="32"/>
        </w:rPr>
        <w:t>企业开展物流大数据分析应用</w:t>
      </w:r>
      <w:r>
        <w:rPr>
          <w:rFonts w:hint="eastAsia" w:ascii="Times New Roman" w:hAnsi="Times New Roman" w:eastAsia="仿宋_GB2312"/>
          <w:color w:val="000000"/>
          <w:kern w:val="2"/>
          <w:sz w:val="32"/>
          <w:szCs w:val="32"/>
          <w:lang w:eastAsia="zh-CN"/>
        </w:rPr>
        <w:t>。探索建立全省多式联运信息服务平</w:t>
      </w:r>
      <w:r>
        <w:rPr>
          <w:rFonts w:ascii="Times New Roman" w:hAnsi="Times New Roman" w:eastAsia="仿宋_GB2312"/>
          <w:color w:val="000000"/>
          <w:kern w:val="2"/>
          <w:sz w:val="32"/>
          <w:szCs w:val="32"/>
        </w:rPr>
        <w:t>台，建设物流业运行监测信息平台。</w:t>
      </w:r>
    </w:p>
    <w:p>
      <w:pPr>
        <w:keepNext w:val="0"/>
        <w:keepLines w:val="0"/>
        <w:pageBreakBefore w:val="0"/>
        <w:numPr>
          <w:ilvl w:val="0"/>
          <w:numId w:val="0"/>
        </w:numPr>
        <w:kinsoku/>
        <w:overflowPunct/>
        <w:topLinePunct w:val="0"/>
        <w:autoSpaceDE/>
        <w:autoSpaceDN/>
        <w:bidi w:val="0"/>
        <w:adjustRightInd/>
        <w:snapToGrid/>
        <w:spacing w:line="580" w:lineRule="exact"/>
        <w:ind w:leftChars="0" w:firstLine="640" w:firstLineChars="200"/>
        <w:textAlignment w:val="auto"/>
        <w:rPr>
          <w:rFonts w:hint="eastAsia" w:ascii="仿宋_GB2312" w:hAnsi="仿宋_GB2312" w:eastAsia="仿宋_GB2312" w:cs="仿宋_GB2312"/>
          <w:b/>
          <w:bCs/>
          <w:color w:val="000000"/>
          <w:kern w:val="2"/>
          <w:sz w:val="32"/>
          <w:szCs w:val="32"/>
          <w:lang w:val="en-US" w:eastAsia="zh-CN" w:bidi="ar-SA"/>
        </w:rPr>
      </w:pPr>
      <w:r>
        <w:rPr>
          <w:rFonts w:hint="eastAsia" w:ascii="楷体" w:hAnsi="楷体" w:eastAsia="楷体" w:cs="楷体"/>
          <w:b w:val="0"/>
          <w:bCs w:val="0"/>
          <w:kern w:val="2"/>
          <w:sz w:val="32"/>
          <w:szCs w:val="32"/>
          <w:highlight w:val="none"/>
          <w:lang w:val="en-US" w:eastAsia="zh-CN" w:bidi="ar-SA"/>
        </w:rPr>
        <w:t>大力发展多式联运。</w:t>
      </w:r>
      <w:r>
        <w:rPr>
          <w:rFonts w:hint="eastAsia" w:ascii="仿宋_GB2312" w:hAnsi="仿宋_GB2312" w:eastAsia="仿宋_GB2312" w:cs="仿宋_GB2312"/>
          <w:b w:val="0"/>
          <w:bCs w:val="0"/>
          <w:color w:val="000000"/>
          <w:kern w:val="2"/>
          <w:sz w:val="32"/>
          <w:szCs w:val="32"/>
          <w:lang w:val="en-US" w:eastAsia="zh-CN" w:bidi="ar-SA"/>
        </w:rPr>
        <w:t>在西安、宝鸡、榆林、延安、安康等交通枢纽城市开展多式联运试点示范，先行先试联运模式、运输装备和信息数据标准，探索标准化、一体化、一单制多式联运运输模式。坚持市场化运作，推动骨干物流企业数据资源开放共享，共建多式联运综合信息平台。支持西安国际陆港实施公铁海多式联运示范工程，扩大中欧班列运输公铁联运规模；健全西安咸阳国际机场物流设施设备，拓展卡车航班网络，扩大空陆联运规模。以专业化的集装箱和半挂车多式联运中转站建设改造为重点，着力推进公转铁，提高不同运输方式间基础设施衔接水平。推动邮政快递处理中心等基础设施与铁路、公路、航空枢纽的同步建设。加强对传统货运站场升级改造，逐步构建层次清晰、功能完善、衔接顺畅的站场节点体系。</w:t>
      </w:r>
    </w:p>
    <w:p>
      <w:pPr>
        <w:pStyle w:val="34"/>
        <w:keepNext w:val="0"/>
        <w:keepLines w:val="0"/>
        <w:pageBreakBefore w:val="0"/>
        <w:numPr>
          <w:ilvl w:val="0"/>
          <w:numId w:val="0"/>
        </w:numPr>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楷体" w:hAnsi="楷体" w:eastAsia="楷体" w:cs="楷体"/>
          <w:b w:val="0"/>
          <w:bCs w:val="0"/>
          <w:kern w:val="2"/>
          <w:sz w:val="32"/>
          <w:szCs w:val="32"/>
          <w:highlight w:val="none"/>
          <w:lang w:val="en-US" w:eastAsia="zh-CN" w:bidi="ar-SA"/>
        </w:rPr>
        <w:t>深化物流业与制造业融合发展。</w:t>
      </w:r>
      <w:r>
        <w:rPr>
          <w:rFonts w:hint="eastAsia" w:ascii="仿宋_GB2312" w:hAnsi="仿宋_GB2312" w:eastAsia="仿宋_GB2312" w:cs="仿宋_GB2312"/>
          <w:b w:val="0"/>
          <w:bCs w:val="0"/>
          <w:color w:val="000000"/>
          <w:kern w:val="2"/>
          <w:sz w:val="32"/>
          <w:szCs w:val="32"/>
          <w:lang w:val="en-US" w:eastAsia="zh-CN" w:bidi="ar-SA"/>
        </w:rPr>
        <w:t>坚持服务实体经济，推动物流业与制造业联动发展，围绕全省先进制造、高端装备、能源化工等主导产业布局，以全程供应链物流服务支持生产制造企业提升核心竞争力，向服务型制造转型。鼓励第三方物流企业、网络货运企业向供应链上下游延伸服务，建设供应链管理平台，为制造业提供供应链计划、采购物流、生产物流、销售物流和回收物流等集成服务。建设与制造业企业紧密配套、有效衔接的仓储配送设施和物流信息系统。提高精细化、高品质物流服务供给能力和制造业产业链协同发展水平，增强制造业供应链弹性，推动生产制造领域物流降本增效。鼓励延长石油、陕煤化工、陕汽集团、陕西物流等龙头企业发起成立物流业制造业深度融合创新发展联盟，培育形成一批物流业制造业融合创新发展标杆企业，打造陕西产业物流融合创新服务品牌，引领带动物流业制造业融合水平显著提升。</w:t>
      </w:r>
    </w:p>
    <w:p>
      <w:pPr>
        <w:keepNext w:val="0"/>
        <w:keepLines w:val="0"/>
        <w:pageBreakBefore w:val="0"/>
        <w:numPr>
          <w:ilvl w:val="0"/>
          <w:numId w:val="0"/>
        </w:numPr>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楷体" w:hAnsi="楷体" w:eastAsia="楷体" w:cs="楷体"/>
          <w:b w:val="0"/>
          <w:bCs w:val="0"/>
          <w:kern w:val="2"/>
          <w:sz w:val="32"/>
          <w:szCs w:val="32"/>
          <w:highlight w:val="none"/>
          <w:lang w:val="en-US" w:eastAsia="zh-CN" w:bidi="ar-SA"/>
        </w:rPr>
        <w:t>创新发展融合联动物流模式。</w:t>
      </w:r>
      <w:r>
        <w:rPr>
          <w:rFonts w:hint="eastAsia" w:ascii="仿宋_GB2312" w:hAnsi="仿宋_GB2312" w:eastAsia="仿宋_GB2312" w:cs="仿宋_GB2312"/>
          <w:b w:val="0"/>
          <w:bCs w:val="0"/>
          <w:color w:val="000000"/>
          <w:kern w:val="2"/>
          <w:sz w:val="32"/>
          <w:szCs w:val="32"/>
          <w:lang w:val="en-US" w:eastAsia="zh-CN" w:bidi="ar-SA"/>
        </w:rPr>
        <w:t>积极争取高铁快运试点，推进高铁快运与电商快递、生产制造等融合发展，培育空铁联运新模式。支持绥德、西安国际港务区等地（开发区）规范发展网络货运，完善网络货运平台功能，优化车、站、仓等分散物流资源供需对接，提升物流规模化组织水平。鼓励国家物流枢纽、骨干冷链物流基地和国家级、省级示范物流园区打造物流枢纽运营平台，集成储、运、配等物流服务，创新一体化物流组织模式。培育供应链服务平台，提供信息、物流、金融等综合服务，增强流通全链条价值创造能力。推动物流与生产、消费融合发展，深度嵌入农业、制造、商贸产业链，创新融合发展新业态，提高物流服务经济运行效能。</w:t>
      </w:r>
    </w:p>
    <w:p>
      <w:pPr>
        <w:keepNext w:val="0"/>
        <w:keepLines w:val="0"/>
        <w:pageBreakBefore w:val="0"/>
        <w:numPr>
          <w:ilvl w:val="0"/>
          <w:numId w:val="0"/>
        </w:numPr>
        <w:kinsoku/>
        <w:overflowPunct/>
        <w:topLinePunct w:val="0"/>
        <w:autoSpaceDE/>
        <w:autoSpaceDN/>
        <w:bidi w:val="0"/>
        <w:adjustRightInd/>
        <w:snapToGrid/>
        <w:spacing w:line="580" w:lineRule="exact"/>
        <w:ind w:leftChars="0" w:firstLine="643" w:firstLineChars="200"/>
        <w:textAlignment w:val="auto"/>
        <w:outlineLvl w:val="1"/>
        <w:rPr>
          <w:rFonts w:hint="eastAsia" w:ascii="CESI仿宋-GB2312" w:hAnsi="CESI仿宋-GB2312" w:eastAsia="CESI仿宋-GB2312" w:cs="CESI仿宋-GB2312"/>
          <w:b/>
          <w:bCs/>
          <w:color w:val="auto"/>
          <w:kern w:val="2"/>
          <w:sz w:val="32"/>
          <w:szCs w:val="32"/>
          <w:highlight w:val="none"/>
          <w:lang w:val="en-US" w:eastAsia="zh-CN" w:bidi="ar-SA"/>
        </w:rPr>
      </w:pPr>
      <w:bookmarkStart w:id="17" w:name="_Toc10088"/>
      <w:r>
        <w:rPr>
          <w:rFonts w:hint="eastAsia" w:ascii="CESI仿宋-GB2312" w:hAnsi="CESI仿宋-GB2312" w:eastAsia="CESI仿宋-GB2312" w:cs="CESI仿宋-GB2312"/>
          <w:b/>
          <w:bCs/>
          <w:color w:val="auto"/>
          <w:kern w:val="2"/>
          <w:sz w:val="32"/>
          <w:szCs w:val="32"/>
          <w:highlight w:val="none"/>
          <w:lang w:val="en-US" w:eastAsia="zh-CN" w:bidi="ar-SA"/>
        </w:rPr>
        <w:t>（三）培育壮大物流市场运营主体</w:t>
      </w:r>
      <w:bookmarkEnd w:id="17"/>
    </w:p>
    <w:p>
      <w:pPr>
        <w:keepNext w:val="0"/>
        <w:keepLines w:val="0"/>
        <w:pageBreakBefore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楷体" w:hAnsi="楷体" w:eastAsia="楷体" w:cs="楷体"/>
          <w:b w:val="0"/>
          <w:bCs w:val="0"/>
          <w:kern w:val="2"/>
          <w:sz w:val="32"/>
          <w:szCs w:val="32"/>
          <w:highlight w:val="none"/>
          <w:lang w:val="en-US" w:eastAsia="zh-CN" w:bidi="ar-SA"/>
        </w:rPr>
        <w:t>优化物流市场营商环境。</w:t>
      </w:r>
      <w:r>
        <w:rPr>
          <w:rFonts w:hint="eastAsia" w:ascii="仿宋_GB2312" w:hAnsi="仿宋_GB2312" w:eastAsia="仿宋_GB2312" w:cs="仿宋_GB2312"/>
          <w:b w:val="0"/>
          <w:bCs w:val="0"/>
          <w:color w:val="auto"/>
          <w:sz w:val="32"/>
          <w:szCs w:val="32"/>
          <w:highlight w:val="none"/>
          <w:lang w:val="en-US" w:eastAsia="zh-CN"/>
        </w:rPr>
        <w:t>深化物流领域“放管服”改革，放宽物流相关市场准入。推动物流领域资质证照电子化，加快电子政务系统建设，实现注册、审批、变更、注销等政务服务“一网通办”。持续优化城市配送货运车辆通行管理，放开新能源和清洁能源货运车辆的通行限制。深入推进通关一体化改革，优化通关流程，依托电子口岸提高口岸智能管理和服务水平，实施部门间安检互认，提升通关效率。完善物流体系标准，推动基础通用和产业共性物流技术标准优化升级，强化各种运输方式、各种物流环节衔接。</w:t>
      </w:r>
    </w:p>
    <w:p>
      <w:pPr>
        <w:keepNext w:val="0"/>
        <w:keepLines w:val="0"/>
        <w:pageBreakBefore w:val="0"/>
        <w:kinsoku/>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bCs/>
          <w:sz w:val="32"/>
          <w:szCs w:val="32"/>
          <w:lang w:val="en-US" w:eastAsia="zh-CN"/>
        </w:rPr>
      </w:pPr>
      <w:r>
        <w:rPr>
          <w:rFonts w:hint="eastAsia" w:ascii="楷体" w:hAnsi="楷体" w:eastAsia="楷体" w:cs="楷体"/>
          <w:b w:val="0"/>
          <w:bCs w:val="0"/>
          <w:kern w:val="2"/>
          <w:sz w:val="32"/>
          <w:szCs w:val="32"/>
          <w:highlight w:val="none"/>
          <w:lang w:val="en-US" w:eastAsia="zh-CN" w:bidi="ar-SA"/>
        </w:rPr>
        <w:t>提升物流企业经营能力。</w:t>
      </w:r>
      <w:r>
        <w:rPr>
          <w:rFonts w:hint="eastAsia" w:ascii="仿宋_GB2312" w:hAnsi="仿宋_GB2312" w:eastAsia="仿宋_GB2312" w:cs="仿宋_GB2312"/>
          <w:b w:val="0"/>
          <w:bCs w:val="0"/>
          <w:color w:val="000000"/>
          <w:sz w:val="32"/>
          <w:szCs w:val="32"/>
          <w:lang w:eastAsia="zh-CN"/>
        </w:rPr>
        <w:t>鼓励物流企业通过兼并重组、联盟合作等方式加强资源优化整合，支持大型企业推进物流社会化，在</w:t>
      </w:r>
      <w:r>
        <w:rPr>
          <w:rFonts w:hint="eastAsia" w:ascii="仿宋_GB2312" w:hAnsi="仿宋_GB2312" w:eastAsia="仿宋_GB2312" w:cs="仿宋_GB2312"/>
          <w:b w:val="0"/>
          <w:bCs w:val="0"/>
          <w:color w:val="000000"/>
          <w:sz w:val="32"/>
          <w:szCs w:val="32"/>
          <w:lang w:val="en-US" w:eastAsia="zh-CN"/>
        </w:rPr>
        <w:t>国际物流、航</w:t>
      </w:r>
      <w:r>
        <w:rPr>
          <w:rFonts w:hint="eastAsia" w:ascii="仿宋_GB2312" w:hAnsi="仿宋_GB2312" w:eastAsia="仿宋_GB2312" w:cs="仿宋_GB2312"/>
          <w:b w:val="0"/>
          <w:bCs w:val="0"/>
          <w:color w:val="000000"/>
          <w:sz w:val="32"/>
          <w:szCs w:val="32"/>
          <w:lang w:eastAsia="zh-CN"/>
        </w:rPr>
        <w:t>空物流、</w:t>
      </w:r>
      <w:r>
        <w:rPr>
          <w:rFonts w:hint="eastAsia" w:ascii="仿宋_GB2312" w:hAnsi="仿宋_GB2312" w:eastAsia="仿宋_GB2312" w:cs="仿宋_GB2312"/>
          <w:b w:val="0"/>
          <w:bCs w:val="0"/>
          <w:color w:val="000000"/>
          <w:sz w:val="32"/>
          <w:szCs w:val="32"/>
          <w:lang w:val="en-US" w:eastAsia="zh-CN"/>
        </w:rPr>
        <w:t>城市仓配、</w:t>
      </w:r>
      <w:r>
        <w:rPr>
          <w:rFonts w:hint="eastAsia" w:ascii="仿宋_GB2312" w:hAnsi="仿宋_GB2312" w:eastAsia="仿宋_GB2312" w:cs="仿宋_GB2312"/>
          <w:b w:val="0"/>
          <w:bCs w:val="0"/>
          <w:color w:val="000000"/>
          <w:sz w:val="32"/>
          <w:szCs w:val="32"/>
          <w:lang w:eastAsia="zh-CN"/>
        </w:rPr>
        <w:t>供应链服务、网络货运、多式</w:t>
      </w:r>
      <w:r>
        <w:rPr>
          <w:rFonts w:hint="eastAsia" w:ascii="仿宋_GB2312" w:hAnsi="仿宋_GB2312" w:eastAsia="仿宋_GB2312" w:cs="仿宋_GB2312"/>
          <w:b w:val="0"/>
          <w:bCs w:val="0"/>
          <w:color w:val="000000"/>
          <w:sz w:val="32"/>
          <w:szCs w:val="32"/>
          <w:lang w:val="en-US" w:eastAsia="zh-CN"/>
        </w:rPr>
        <w:t>联运</w:t>
      </w:r>
      <w:r>
        <w:rPr>
          <w:rFonts w:hint="eastAsia" w:ascii="仿宋_GB2312" w:hAnsi="仿宋_GB2312" w:eastAsia="仿宋_GB2312" w:cs="仿宋_GB2312"/>
          <w:b w:val="0"/>
          <w:bCs w:val="0"/>
          <w:color w:val="000000"/>
          <w:sz w:val="32"/>
          <w:szCs w:val="32"/>
          <w:lang w:eastAsia="zh-CN"/>
        </w:rPr>
        <w:t>等领域培育一批具有竞争力的现代物流企业，增强</w:t>
      </w:r>
      <w:r>
        <w:rPr>
          <w:rFonts w:hint="eastAsia" w:ascii="仿宋_GB2312" w:hAnsi="仿宋_GB2312" w:eastAsia="仿宋_GB2312" w:cs="仿宋_GB2312"/>
          <w:b w:val="0"/>
          <w:bCs w:val="0"/>
          <w:color w:val="000000"/>
          <w:sz w:val="32"/>
          <w:szCs w:val="32"/>
          <w:lang w:val="en-US" w:eastAsia="zh-CN"/>
        </w:rPr>
        <w:t>供应链</w:t>
      </w:r>
      <w:r>
        <w:rPr>
          <w:rFonts w:hint="eastAsia" w:ascii="仿宋_GB2312" w:hAnsi="仿宋_GB2312" w:eastAsia="仿宋_GB2312" w:cs="仿宋_GB2312"/>
          <w:b w:val="0"/>
          <w:bCs w:val="0"/>
          <w:color w:val="000000"/>
          <w:sz w:val="32"/>
          <w:szCs w:val="32"/>
          <w:lang w:eastAsia="zh-CN"/>
        </w:rPr>
        <w:t>服务能力和市场</w:t>
      </w:r>
      <w:r>
        <w:rPr>
          <w:rFonts w:hint="eastAsia" w:ascii="仿宋_GB2312" w:hAnsi="仿宋_GB2312" w:eastAsia="仿宋_GB2312" w:cs="仿宋_GB2312"/>
          <w:b w:val="0"/>
          <w:bCs w:val="0"/>
          <w:color w:val="000000"/>
          <w:sz w:val="32"/>
          <w:szCs w:val="32"/>
          <w:lang w:val="en-US" w:eastAsia="zh-CN"/>
        </w:rPr>
        <w:t>竞争</w:t>
      </w:r>
      <w:r>
        <w:rPr>
          <w:rFonts w:hint="eastAsia" w:ascii="仿宋_GB2312" w:hAnsi="仿宋_GB2312" w:eastAsia="仿宋_GB2312" w:cs="仿宋_GB2312"/>
          <w:b w:val="0"/>
          <w:bCs w:val="0"/>
          <w:color w:val="000000"/>
          <w:sz w:val="32"/>
          <w:szCs w:val="32"/>
          <w:lang w:eastAsia="zh-CN"/>
        </w:rPr>
        <w:t>力。强化各类企业网络协同和互补衔接，优化物流组织模式，提高网络运行效率。</w:t>
      </w:r>
      <w:r>
        <w:rPr>
          <w:rFonts w:hint="eastAsia" w:ascii="仿宋_GB2312" w:hAnsi="仿宋_GB2312" w:eastAsia="仿宋_GB2312" w:cs="仿宋_GB2312"/>
          <w:sz w:val="32"/>
          <w:szCs w:val="32"/>
        </w:rPr>
        <w:t>鼓励运输、仓储等传统物流企业向上下游延伸服务，支持物流企业与制造企业深化战略合作</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充分发挥邮政、供销社的网络、信息和服务优势，推动农资下乡和农产品进城。</w:t>
      </w:r>
      <w:r>
        <w:rPr>
          <w:rFonts w:hint="eastAsia" w:ascii="仿宋_GB2312" w:hAnsi="仿宋_GB2312" w:eastAsia="仿宋_GB2312" w:cs="仿宋_GB2312"/>
          <w:sz w:val="32"/>
          <w:szCs w:val="32"/>
          <w:lang w:eastAsia="zh-CN"/>
        </w:rPr>
        <w:t>开展省级物流园区示范建设，争取创建国家级示范物流园区，支持物流企业聚集发展。</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8522" w:type="dxa"/>
            <w:noWrap w:val="0"/>
            <w:vAlign w:val="center"/>
          </w:tcPr>
          <w:p>
            <w:pPr>
              <w:pStyle w:val="5"/>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vertAlign w:val="baseline"/>
                <w:lang w:eastAsia="zh-CN"/>
              </w:rPr>
            </w:pPr>
            <w:r>
              <w:rPr>
                <w:rFonts w:hint="eastAsia" w:ascii="楷体" w:hAnsi="楷体" w:eastAsia="楷体" w:cs="楷体"/>
                <w:b w:val="0"/>
                <w:bCs w:val="0"/>
                <w:color w:val="000000"/>
                <w:sz w:val="28"/>
                <w:szCs w:val="28"/>
                <w:lang w:val="en-US" w:eastAsia="zh-CN"/>
              </w:rPr>
              <w:t xml:space="preserve">专栏4  </w:t>
            </w:r>
            <w:r>
              <w:rPr>
                <w:rFonts w:hint="eastAsia" w:ascii="楷体" w:hAnsi="楷体" w:eastAsia="楷体" w:cs="楷体"/>
                <w:b w:val="0"/>
                <w:bCs w:val="0"/>
                <w:color w:val="000000"/>
                <w:sz w:val="28"/>
                <w:szCs w:val="28"/>
                <w:lang w:eastAsia="zh-CN"/>
              </w:rPr>
              <w:t>物流园区</w:t>
            </w:r>
            <w:r>
              <w:rPr>
                <w:rFonts w:hint="eastAsia" w:ascii="楷体" w:hAnsi="楷体" w:eastAsia="楷体" w:cs="楷体"/>
                <w:b w:val="0"/>
                <w:bCs w:val="0"/>
                <w:color w:val="000000"/>
                <w:sz w:val="28"/>
                <w:szCs w:val="28"/>
                <w:lang w:val="en-US" w:eastAsia="zh-CN"/>
              </w:rPr>
              <w:t>示范建设工程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7" w:hRule="atLeast"/>
          <w:jc w:val="center"/>
        </w:trPr>
        <w:tc>
          <w:tcPr>
            <w:tcW w:w="8522" w:type="dxa"/>
            <w:noWrap w:val="0"/>
            <w:vAlign w:val="top"/>
          </w:tcPr>
          <w:p>
            <w:pPr>
              <w:pStyle w:val="5"/>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仿宋_GB2312" w:hAnsi="宋体" w:eastAsia="仿宋_GB2312" w:cs="仿宋_GB2312"/>
                <w:i w:val="0"/>
                <w:color w:val="000000"/>
                <w:sz w:val="21"/>
                <w:szCs w:val="21"/>
                <w:u w:val="none"/>
                <w:lang w:eastAsia="zh-CN"/>
              </w:rPr>
            </w:pPr>
            <w:r>
              <w:rPr>
                <w:rFonts w:hint="eastAsia" w:ascii="黑体" w:hAnsi="黑体" w:eastAsia="黑体" w:cs="黑体"/>
                <w:i w:val="0"/>
                <w:color w:val="000000"/>
                <w:sz w:val="21"/>
                <w:szCs w:val="21"/>
                <w:u w:val="none"/>
                <w:lang w:eastAsia="zh-CN"/>
              </w:rPr>
              <w:t>商贸服务型：</w:t>
            </w:r>
            <w:r>
              <w:rPr>
                <w:rFonts w:hint="eastAsia" w:ascii="仿宋_GB2312" w:hAnsi="宋体" w:eastAsia="仿宋_GB2312" w:cs="仿宋_GB2312"/>
                <w:i w:val="0"/>
                <w:color w:val="000000"/>
                <w:sz w:val="21"/>
                <w:szCs w:val="21"/>
                <w:u w:val="none"/>
                <w:lang w:eastAsia="zh-CN"/>
              </w:rPr>
              <w:t>陕西商储凤城七路物流园</w:t>
            </w:r>
          </w:p>
          <w:p>
            <w:pPr>
              <w:pStyle w:val="5"/>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仿宋_GB2312" w:hAnsi="宋体" w:eastAsia="仿宋_GB2312" w:cs="仿宋_GB2312"/>
                <w:i w:val="0"/>
                <w:color w:val="000000"/>
                <w:sz w:val="21"/>
                <w:szCs w:val="21"/>
                <w:u w:val="none"/>
                <w:lang w:eastAsia="zh-CN"/>
              </w:rPr>
            </w:pPr>
            <w:r>
              <w:rPr>
                <w:rFonts w:hint="eastAsia" w:ascii="黑体" w:hAnsi="黑体" w:eastAsia="黑体" w:cs="黑体"/>
                <w:i w:val="0"/>
                <w:color w:val="000000"/>
                <w:sz w:val="21"/>
                <w:szCs w:val="21"/>
                <w:u w:val="none"/>
                <w:lang w:eastAsia="zh-CN"/>
              </w:rPr>
              <w:t>生产服务型：</w:t>
            </w:r>
            <w:r>
              <w:rPr>
                <w:rFonts w:hint="eastAsia" w:ascii="仿宋_GB2312" w:hAnsi="宋体" w:eastAsia="仿宋_GB2312" w:cs="仿宋_GB2312"/>
                <w:i w:val="0"/>
                <w:color w:val="000000"/>
                <w:sz w:val="21"/>
                <w:szCs w:val="21"/>
                <w:u w:val="none"/>
                <w:lang w:eastAsia="zh-CN"/>
              </w:rPr>
              <w:t>陕西泰华物流产业园区</w:t>
            </w:r>
          </w:p>
          <w:p>
            <w:pPr>
              <w:pStyle w:val="5"/>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ascii="仿宋_GB2312" w:hAnsi="宋体" w:eastAsia="仿宋_GB2312" w:cs="仿宋_GB2312"/>
                <w:i w:val="0"/>
                <w:color w:val="000000"/>
                <w:sz w:val="21"/>
                <w:szCs w:val="21"/>
                <w:u w:val="none"/>
                <w:lang w:eastAsia="zh-CN"/>
              </w:rPr>
            </w:pPr>
            <w:r>
              <w:rPr>
                <w:rFonts w:hint="eastAsia" w:ascii="黑体" w:hAnsi="黑体" w:eastAsia="黑体" w:cs="黑体"/>
                <w:i w:val="0"/>
                <w:color w:val="000000"/>
                <w:sz w:val="21"/>
                <w:szCs w:val="21"/>
                <w:u w:val="none"/>
                <w:lang w:eastAsia="zh-CN"/>
              </w:rPr>
              <w:t>综合服务型：</w:t>
            </w:r>
            <w:r>
              <w:rPr>
                <w:rFonts w:hint="eastAsia" w:ascii="仿宋_GB2312" w:hAnsi="宋体" w:eastAsia="仿宋_GB2312" w:cs="仿宋_GB2312"/>
                <w:i w:val="0"/>
                <w:color w:val="000000"/>
                <w:sz w:val="21"/>
                <w:szCs w:val="21"/>
                <w:u w:val="none"/>
                <w:lang w:eastAsia="zh-CN"/>
              </w:rPr>
              <w:t>东大石油化工物流中心、西安集装箱中心站物流园区、宝鸡华誉物流园区、汉中褒河物流园区、陕西润海综合物流园区</w:t>
            </w:r>
          </w:p>
          <w:p>
            <w:pPr>
              <w:pStyle w:val="5"/>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outlineLvl w:val="9"/>
              <w:rPr>
                <w:rFonts w:hint="eastAsia"/>
                <w:vertAlign w:val="baseline"/>
                <w:lang w:eastAsia="zh-CN"/>
              </w:rPr>
            </w:pPr>
            <w:r>
              <w:rPr>
                <w:rFonts w:hint="eastAsia" w:ascii="黑体" w:hAnsi="黑体" w:eastAsia="黑体" w:cs="黑体"/>
                <w:i w:val="0"/>
                <w:color w:val="000000"/>
                <w:sz w:val="21"/>
                <w:szCs w:val="21"/>
                <w:u w:val="none"/>
                <w:lang w:eastAsia="zh-CN"/>
              </w:rPr>
              <w:t>货运枢纽型：</w:t>
            </w:r>
            <w:r>
              <w:rPr>
                <w:rFonts w:hint="eastAsia" w:ascii="仿宋_GB2312" w:hAnsi="宋体" w:eastAsia="仿宋_GB2312" w:cs="仿宋_GB2312"/>
                <w:i w:val="0"/>
                <w:color w:val="000000"/>
                <w:sz w:val="21"/>
                <w:szCs w:val="21"/>
                <w:u w:val="none"/>
                <w:lang w:eastAsia="zh-CN"/>
              </w:rPr>
              <w:t>陕西华阳电子商务物流园、延安利源物流园区、陕西商山物流园、陕西国铁白村物流基地、普洛斯空港国际航空物流枢纽航港基地、西安咸阳机场货运园区</w:t>
            </w:r>
          </w:p>
        </w:tc>
      </w:tr>
    </w:tbl>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lang w:eastAsia="zh-CN"/>
        </w:rPr>
      </w:pPr>
      <w:r>
        <w:rPr>
          <w:rFonts w:hint="eastAsia" w:ascii="楷体" w:hAnsi="楷体" w:eastAsia="楷体" w:cs="楷体"/>
          <w:b w:val="0"/>
          <w:bCs w:val="0"/>
          <w:kern w:val="2"/>
          <w:sz w:val="32"/>
          <w:szCs w:val="32"/>
          <w:highlight w:val="none"/>
          <w:lang w:val="en-US" w:eastAsia="zh-CN" w:bidi="ar-SA"/>
        </w:rPr>
        <w:t>推动物流业开放发展。</w:t>
      </w:r>
      <w:r>
        <w:rPr>
          <w:rFonts w:hint="eastAsia" w:ascii="仿宋_GB2312" w:hAnsi="仿宋_GB2312" w:eastAsia="仿宋_GB2312" w:cs="仿宋_GB2312"/>
          <w:color w:val="000000"/>
          <w:sz w:val="32"/>
          <w:szCs w:val="32"/>
          <w:lang w:eastAsia="zh-CN"/>
        </w:rPr>
        <w:t>持续改善产业发展环境，深化与中外运物流、中远海运、京东、顺丰等企业物流合作，</w:t>
      </w:r>
      <w:r>
        <w:rPr>
          <w:rFonts w:hint="eastAsia" w:ascii="仿宋_GB2312" w:hAnsi="仿宋_GB2312" w:eastAsia="仿宋_GB2312" w:cs="仿宋_GB2312"/>
          <w:color w:val="000000"/>
          <w:sz w:val="32"/>
          <w:szCs w:val="32"/>
        </w:rPr>
        <w:t>着力引进世界知名</w:t>
      </w:r>
      <w:r>
        <w:rPr>
          <w:rFonts w:hint="eastAsia" w:ascii="仿宋_GB2312" w:hAnsi="仿宋_GB2312" w:eastAsia="仿宋_GB2312" w:cs="仿宋_GB2312"/>
          <w:color w:val="000000"/>
          <w:sz w:val="32"/>
          <w:szCs w:val="32"/>
          <w:lang w:val="en-US" w:eastAsia="zh-CN"/>
        </w:rPr>
        <w:t>和</w:t>
      </w:r>
      <w:r>
        <w:rPr>
          <w:rFonts w:hint="eastAsia" w:ascii="仿宋_GB2312" w:hAnsi="仿宋_GB2312" w:eastAsia="仿宋_GB2312" w:cs="仿宋_GB2312"/>
          <w:color w:val="000000"/>
          <w:sz w:val="32"/>
          <w:szCs w:val="32"/>
        </w:rPr>
        <w:t>国内龙头</w:t>
      </w:r>
      <w:r>
        <w:rPr>
          <w:rFonts w:hint="eastAsia" w:ascii="仿宋_GB2312" w:hAnsi="仿宋_GB2312" w:eastAsia="仿宋_GB2312" w:cs="仿宋_GB2312"/>
          <w:color w:val="000000"/>
          <w:sz w:val="32"/>
          <w:szCs w:val="32"/>
          <w:lang w:val="en-US" w:eastAsia="zh-CN"/>
        </w:rPr>
        <w:t>物流</w:t>
      </w:r>
      <w:r>
        <w:rPr>
          <w:rFonts w:hint="eastAsia" w:ascii="仿宋_GB2312" w:hAnsi="仿宋_GB2312" w:eastAsia="仿宋_GB2312" w:cs="仿宋_GB2312"/>
          <w:color w:val="000000"/>
          <w:sz w:val="32"/>
          <w:szCs w:val="32"/>
        </w:rPr>
        <w:t>企业入陕</w:t>
      </w:r>
      <w:r>
        <w:rPr>
          <w:rFonts w:hint="eastAsia" w:ascii="仿宋_GB2312" w:hAnsi="仿宋_GB2312" w:eastAsia="仿宋_GB2312" w:cs="仿宋_GB2312"/>
          <w:color w:val="000000"/>
          <w:sz w:val="32"/>
          <w:szCs w:val="32"/>
          <w:lang w:eastAsia="zh-CN"/>
        </w:rPr>
        <w:t>。重点引进具有国际、全国物流网络和物流资源的</w:t>
      </w:r>
      <w:r>
        <w:rPr>
          <w:rFonts w:hint="eastAsia" w:ascii="仿宋_GB2312" w:hAnsi="仿宋_GB2312" w:eastAsia="仿宋_GB2312" w:cs="仿宋_GB2312"/>
          <w:color w:val="000000"/>
          <w:sz w:val="32"/>
          <w:szCs w:val="32"/>
        </w:rPr>
        <w:t>企业在陕设立区域总部、运营中心、分拨中心和转运中心</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rPr>
        <w:t>提升我省物流业集散能力和开放水平</w:t>
      </w:r>
      <w:r>
        <w:rPr>
          <w:rFonts w:hint="eastAsia" w:ascii="仿宋_GB2312" w:hAnsi="仿宋_GB2312" w:eastAsia="仿宋_GB2312" w:cs="仿宋_GB2312"/>
          <w:sz w:val="32"/>
          <w:szCs w:val="32"/>
          <w:lang w:eastAsia="zh-CN"/>
        </w:rPr>
        <w:t>，助力陕西深</w:t>
      </w:r>
      <w:r>
        <w:rPr>
          <w:rFonts w:hint="eastAsia" w:ascii="仿宋_GB2312" w:hAnsi="仿宋_GB2312" w:eastAsia="仿宋_GB2312" w:cs="仿宋_GB2312"/>
          <w:color w:val="000000"/>
          <w:sz w:val="32"/>
          <w:szCs w:val="32"/>
          <w:lang w:eastAsia="zh-CN"/>
        </w:rPr>
        <w:t>度融入大循环、双循环新发展格局。完善物流服务质量评价机制，支持</w:t>
      </w:r>
      <w:r>
        <w:rPr>
          <w:rFonts w:hint="eastAsia" w:ascii="仿宋_GB2312" w:hAnsi="仿宋_GB2312" w:eastAsia="仿宋_GB2312" w:cs="仿宋_GB2312"/>
          <w:color w:val="000000"/>
          <w:sz w:val="32"/>
          <w:szCs w:val="32"/>
          <w:lang w:val="en-US" w:eastAsia="zh-CN"/>
        </w:rPr>
        <w:t>物流</w:t>
      </w:r>
      <w:r>
        <w:rPr>
          <w:rFonts w:hint="eastAsia" w:ascii="仿宋_GB2312" w:hAnsi="仿宋_GB2312" w:eastAsia="仿宋_GB2312" w:cs="仿宋_GB2312"/>
          <w:color w:val="000000"/>
          <w:sz w:val="32"/>
          <w:szCs w:val="32"/>
          <w:lang w:eastAsia="zh-CN"/>
        </w:rPr>
        <w:t>企业开展</w:t>
      </w:r>
      <w:r>
        <w:rPr>
          <w:rFonts w:hint="eastAsia" w:ascii="仿宋_GB2312" w:hAnsi="仿宋_GB2312" w:eastAsia="仿宋_GB2312" w:cs="仿宋_GB2312"/>
          <w:color w:val="000000"/>
          <w:sz w:val="32"/>
          <w:szCs w:val="32"/>
          <w:lang w:val="en-US" w:eastAsia="zh-CN"/>
        </w:rPr>
        <w:t>A级认证和</w:t>
      </w:r>
      <w:r>
        <w:rPr>
          <w:rFonts w:hint="eastAsia" w:ascii="仿宋_GB2312" w:hAnsi="仿宋_GB2312" w:eastAsia="仿宋_GB2312" w:cs="仿宋_GB2312"/>
          <w:color w:val="000000"/>
          <w:sz w:val="32"/>
          <w:szCs w:val="32"/>
          <w:lang w:eastAsia="zh-CN"/>
        </w:rPr>
        <w:t>物流服务</w:t>
      </w:r>
      <w:r>
        <w:rPr>
          <w:rFonts w:hint="eastAsia" w:ascii="仿宋_GB2312" w:hAnsi="仿宋_GB2312" w:eastAsia="仿宋_GB2312" w:cs="仿宋_GB2312"/>
          <w:color w:val="000000"/>
          <w:sz w:val="32"/>
          <w:szCs w:val="32"/>
          <w:lang w:val="en-US" w:eastAsia="zh-CN"/>
        </w:rPr>
        <w:t>品牌培育工作，支持本土物流企业做大做强，引领行业规范有序发展</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鼓励</w:t>
      </w:r>
      <w:r>
        <w:rPr>
          <w:rFonts w:hint="eastAsia" w:ascii="仿宋_GB2312" w:hAnsi="仿宋_GB2312" w:eastAsia="仿宋_GB2312" w:cs="仿宋_GB2312"/>
          <w:b w:val="0"/>
          <w:bCs w:val="0"/>
          <w:color w:val="000000"/>
          <w:sz w:val="32"/>
          <w:szCs w:val="32"/>
          <w:lang w:eastAsia="zh-CN"/>
        </w:rPr>
        <w:t>引导中小微物流企业发掘细分市场需求，做精做专创新服务，</w:t>
      </w:r>
      <w:r>
        <w:rPr>
          <w:rFonts w:hint="eastAsia" w:ascii="仿宋_GB2312" w:hAnsi="仿宋_GB2312" w:eastAsia="仿宋_GB2312" w:cs="仿宋_GB2312"/>
          <w:b w:val="0"/>
          <w:bCs w:val="0"/>
          <w:color w:val="000000"/>
          <w:sz w:val="32"/>
          <w:szCs w:val="32"/>
          <w:lang w:val="en-US" w:eastAsia="zh-CN"/>
        </w:rPr>
        <w:t>增强</w:t>
      </w:r>
      <w:r>
        <w:rPr>
          <w:rFonts w:hint="eastAsia" w:ascii="仿宋_GB2312" w:hAnsi="仿宋_GB2312" w:eastAsia="仿宋_GB2312" w:cs="仿宋_GB2312"/>
          <w:b w:val="0"/>
          <w:bCs w:val="0"/>
          <w:color w:val="000000"/>
          <w:sz w:val="32"/>
          <w:szCs w:val="32"/>
          <w:lang w:eastAsia="zh-CN"/>
        </w:rPr>
        <w:t>专业化市场竞争力，提高规范化运作水平。</w:t>
      </w:r>
    </w:p>
    <w:p>
      <w:pPr>
        <w:keepNext w:val="0"/>
        <w:keepLines w:val="0"/>
        <w:pageBreakBefore w:val="0"/>
        <w:numPr>
          <w:ilvl w:val="0"/>
          <w:numId w:val="0"/>
        </w:numPr>
        <w:kinsoku/>
        <w:overflowPunct/>
        <w:topLinePunct w:val="0"/>
        <w:autoSpaceDE/>
        <w:autoSpaceDN/>
        <w:bidi w:val="0"/>
        <w:adjustRightInd/>
        <w:snapToGrid/>
        <w:spacing w:line="580" w:lineRule="exact"/>
        <w:ind w:leftChars="0" w:firstLine="643" w:firstLineChars="200"/>
        <w:textAlignment w:val="auto"/>
        <w:outlineLvl w:val="1"/>
        <w:rPr>
          <w:rFonts w:hint="eastAsia" w:ascii="CESI仿宋-GB2312" w:hAnsi="CESI仿宋-GB2312" w:eastAsia="CESI仿宋-GB2312" w:cs="CESI仿宋-GB2312"/>
          <w:b/>
          <w:bCs/>
          <w:color w:val="auto"/>
          <w:kern w:val="2"/>
          <w:sz w:val="32"/>
          <w:szCs w:val="32"/>
          <w:highlight w:val="none"/>
          <w:lang w:val="en-US" w:eastAsia="zh-CN" w:bidi="ar-SA"/>
        </w:rPr>
      </w:pPr>
      <w:bookmarkStart w:id="18" w:name="_Toc23714"/>
      <w:r>
        <w:rPr>
          <w:rFonts w:hint="eastAsia" w:ascii="CESI仿宋-GB2312" w:hAnsi="CESI仿宋-GB2312" w:eastAsia="CESI仿宋-GB2312" w:cs="CESI仿宋-GB2312"/>
          <w:b/>
          <w:bCs/>
          <w:color w:val="auto"/>
          <w:kern w:val="2"/>
          <w:sz w:val="32"/>
          <w:szCs w:val="32"/>
          <w:highlight w:val="none"/>
          <w:lang w:val="en-US" w:eastAsia="zh-CN" w:bidi="ar-SA"/>
        </w:rPr>
        <w:t>（四）切实提高绿色物流发展水平</w:t>
      </w:r>
      <w:bookmarkEnd w:id="18"/>
    </w:p>
    <w:p>
      <w:pPr>
        <w:pStyle w:val="5"/>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楷体" w:hAnsi="楷体" w:eastAsia="楷体" w:cs="楷体"/>
          <w:b w:val="0"/>
          <w:bCs w:val="0"/>
          <w:kern w:val="2"/>
          <w:sz w:val="32"/>
          <w:szCs w:val="32"/>
          <w:highlight w:val="none"/>
          <w:lang w:val="en-US" w:eastAsia="zh-CN" w:bidi="ar-SA"/>
        </w:rPr>
        <w:t>深入推进现代物流节能减排。</w:t>
      </w:r>
      <w:r>
        <w:rPr>
          <w:rFonts w:hint="eastAsia" w:ascii="仿宋_GB2312" w:hAnsi="仿宋_GB2312" w:eastAsia="仿宋_GB2312" w:cs="仿宋_GB2312"/>
          <w:b w:val="0"/>
          <w:bCs w:val="0"/>
          <w:color w:val="000000"/>
          <w:kern w:val="2"/>
          <w:sz w:val="32"/>
          <w:szCs w:val="32"/>
          <w:lang w:val="en-US" w:eastAsia="zh-CN" w:bidi="ar-SA"/>
        </w:rPr>
        <w:t>加大货运车辆适用的充电桩、加氢站等配套设施布局规划建设力度，加快新能源、清洁能源货运车辆在现代物流特别是城市配送领域应用。推动物流企业完善绿色节能低碳运营的管理流程和机制，推行合同能源管理。加强绿色物流新技术和设备研究与应用，推广使用循环包装和生物降解包装材料，鼓励物流企业与制造、商贸企业包装循环共用，减少过度包装和二次包装，促进包装减量化、再利用。推动托盘循环共用系统建设，促进产品包装和物流器具绿色化、标准化、循环化。</w:t>
      </w:r>
    </w:p>
    <w:p>
      <w:pPr>
        <w:pStyle w:val="5"/>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楷体" w:hAnsi="楷体" w:eastAsia="楷体" w:cs="楷体"/>
          <w:b w:val="0"/>
          <w:bCs w:val="0"/>
          <w:kern w:val="2"/>
          <w:sz w:val="32"/>
          <w:szCs w:val="32"/>
          <w:highlight w:val="none"/>
          <w:lang w:val="en-US" w:eastAsia="zh-CN" w:bidi="ar-SA"/>
        </w:rPr>
        <w:t>支持绿色智能商品以旧换新。</w:t>
      </w:r>
      <w:r>
        <w:rPr>
          <w:rFonts w:hint="eastAsia" w:ascii="仿宋_GB2312" w:hAnsi="仿宋_GB2312" w:eastAsia="仿宋_GB2312" w:cs="仿宋_GB2312"/>
          <w:b w:val="0"/>
          <w:bCs w:val="0"/>
          <w:color w:val="000000"/>
          <w:kern w:val="2"/>
          <w:sz w:val="32"/>
          <w:szCs w:val="32"/>
          <w:lang w:val="en-US" w:eastAsia="zh-CN" w:bidi="ar-SA"/>
        </w:rPr>
        <w:t>鼓励具备条件的流通企业回收废旧电子电器产品，折价置换超高清电视、节能冰箱、洗衣机、空调、智能手机等绿色、节能、智能电子电器产品，扩大绿色智能消费。支持废旧物资回收体系建设。合理设置废旧大宗商品回收处理中心、回收运输中转站，按照城市公共基础设施给予保障。支持具备条件的企业回收废旧物资折价置换绿色智能产品、研发应用再生资源回收平台系统。</w:t>
      </w:r>
    </w:p>
    <w:p>
      <w:pPr>
        <w:pStyle w:val="5"/>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_GB2312" w:eastAsia="仿宋_GB2312" w:cs="仿宋_GB2312"/>
          <w:b w:val="0"/>
          <w:bCs w:val="0"/>
          <w:color w:val="000000"/>
          <w:kern w:val="2"/>
          <w:sz w:val="32"/>
          <w:szCs w:val="32"/>
          <w:highlight w:val="none"/>
          <w:lang w:val="en-US" w:eastAsia="zh-CN" w:bidi="ar-SA"/>
        </w:rPr>
      </w:pPr>
      <w:r>
        <w:rPr>
          <w:rFonts w:hint="eastAsia" w:ascii="楷体" w:hAnsi="楷体" w:eastAsia="楷体" w:cs="楷体"/>
          <w:b w:val="0"/>
          <w:bCs w:val="0"/>
          <w:kern w:val="2"/>
          <w:sz w:val="32"/>
          <w:szCs w:val="32"/>
          <w:highlight w:val="none"/>
          <w:lang w:val="en-US" w:eastAsia="zh-CN" w:bidi="ar-SA"/>
        </w:rPr>
        <w:t>加快健全逆向物流服务体系。</w:t>
      </w:r>
      <w:r>
        <w:rPr>
          <w:rFonts w:hint="eastAsia" w:ascii="仿宋_GB2312" w:hAnsi="仿宋_GB2312" w:eastAsia="仿宋_GB2312" w:cs="仿宋_GB2312"/>
          <w:b w:val="0"/>
          <w:bCs w:val="0"/>
          <w:color w:val="000000"/>
          <w:kern w:val="2"/>
          <w:sz w:val="32"/>
          <w:szCs w:val="32"/>
          <w:highlight w:val="none"/>
          <w:lang w:val="en-US" w:eastAsia="zh-CN" w:bidi="ar-SA"/>
        </w:rPr>
        <w:t>探索符合国情、省情的逆向物流发展模式，鼓励逆向物流基础设施建设，培育专业化逆向物流服务企业。针对产品包装、物流器具、家用电器、电子产品、汽车等废旧物资及电商等退货产品，建立线上线下融合的逆向物流服务平台和回收网络，促进产品回收和资源循环利用。推动商场与电商、再生资源回收企业和社区等开展多方合作，积极开展垃圾分类，推动社区绿色回收示范点建设，形成有特点、可持续、可复制推广的经营模式和典型案例。</w:t>
      </w:r>
    </w:p>
    <w:p>
      <w:pPr>
        <w:keepNext w:val="0"/>
        <w:keepLines w:val="0"/>
        <w:pageBreakBefore w:val="0"/>
        <w:numPr>
          <w:ilvl w:val="0"/>
          <w:numId w:val="0"/>
        </w:numPr>
        <w:kinsoku/>
        <w:overflowPunct/>
        <w:topLinePunct w:val="0"/>
        <w:autoSpaceDE/>
        <w:autoSpaceDN/>
        <w:bidi w:val="0"/>
        <w:adjustRightInd/>
        <w:snapToGrid/>
        <w:spacing w:line="580" w:lineRule="exact"/>
        <w:ind w:leftChars="0" w:firstLine="643" w:firstLineChars="200"/>
        <w:textAlignment w:val="auto"/>
        <w:outlineLvl w:val="1"/>
        <w:rPr>
          <w:rFonts w:hint="eastAsia" w:ascii="CESI仿宋-GB2312" w:hAnsi="CESI仿宋-GB2312" w:eastAsia="CESI仿宋-GB2312" w:cs="CESI仿宋-GB2312"/>
          <w:b/>
          <w:bCs/>
          <w:color w:val="auto"/>
          <w:kern w:val="2"/>
          <w:sz w:val="32"/>
          <w:szCs w:val="32"/>
          <w:highlight w:val="none"/>
          <w:lang w:val="en-US" w:eastAsia="zh-CN" w:bidi="ar-SA"/>
        </w:rPr>
      </w:pPr>
      <w:bookmarkStart w:id="19" w:name="_Toc22056"/>
      <w:r>
        <w:rPr>
          <w:rFonts w:hint="eastAsia" w:ascii="CESI仿宋-GB2312" w:hAnsi="CESI仿宋-GB2312" w:eastAsia="CESI仿宋-GB2312" w:cs="CESI仿宋-GB2312"/>
          <w:b/>
          <w:bCs/>
          <w:color w:val="auto"/>
          <w:kern w:val="2"/>
          <w:sz w:val="32"/>
          <w:szCs w:val="32"/>
          <w:highlight w:val="none"/>
          <w:lang w:val="en-US" w:eastAsia="zh-CN" w:bidi="ar-SA"/>
        </w:rPr>
        <w:t>（五）健全应急物流保障服务</w:t>
      </w:r>
      <w:bookmarkEnd w:id="19"/>
      <w:r>
        <w:rPr>
          <w:rFonts w:hint="eastAsia" w:ascii="CESI仿宋-GB2312" w:hAnsi="CESI仿宋-GB2312" w:eastAsia="CESI仿宋-GB2312" w:cs="CESI仿宋-GB2312"/>
          <w:b/>
          <w:bCs/>
          <w:color w:val="auto"/>
          <w:kern w:val="2"/>
          <w:sz w:val="32"/>
          <w:szCs w:val="32"/>
          <w:highlight w:val="none"/>
          <w:lang w:val="en-US" w:eastAsia="zh-CN" w:bidi="ar-SA"/>
        </w:rPr>
        <w:t>体系</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楷体" w:hAnsi="楷体" w:eastAsia="楷体" w:cs="楷体"/>
          <w:b w:val="0"/>
          <w:bCs w:val="0"/>
          <w:color w:val="000000"/>
          <w:kern w:val="2"/>
          <w:sz w:val="32"/>
          <w:szCs w:val="32"/>
          <w:lang w:val="en-US" w:eastAsia="zh-CN" w:bidi="ar-SA"/>
        </w:rPr>
        <w:t>构建三级应急物流网络。</w:t>
      </w:r>
      <w:r>
        <w:rPr>
          <w:rFonts w:hint="eastAsia" w:ascii="仿宋_GB2312" w:hAnsi="仿宋_GB2312" w:eastAsia="仿宋_GB2312" w:cs="仿宋_GB2312"/>
          <w:color w:val="000000"/>
          <w:sz w:val="32"/>
          <w:szCs w:val="32"/>
          <w:lang w:val="en-US" w:eastAsia="zh-CN"/>
        </w:rPr>
        <w:t>积极应对突发公</w:t>
      </w:r>
      <w:r>
        <w:rPr>
          <w:rFonts w:hint="eastAsia" w:ascii="仿宋_GB2312" w:hAnsi="仿宋_GB2312" w:eastAsia="仿宋_GB2312" w:cs="仿宋_GB2312"/>
          <w:color w:val="000000"/>
          <w:sz w:val="32"/>
          <w:szCs w:val="32"/>
        </w:rPr>
        <w:t>共卫生、自然灾害</w:t>
      </w:r>
      <w:r>
        <w:rPr>
          <w:rFonts w:hint="eastAsia" w:ascii="仿宋_GB2312" w:hAnsi="仿宋_GB2312" w:eastAsia="仿宋_GB2312" w:cs="仿宋_GB2312"/>
          <w:color w:val="000000"/>
          <w:sz w:val="32"/>
          <w:szCs w:val="32"/>
          <w:lang w:eastAsia="zh-CN"/>
        </w:rPr>
        <w:t>、事故灾难</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val="en-US" w:eastAsia="zh-CN"/>
        </w:rPr>
        <w:t>构建省-市-县（区）三级应急物资保障体系，</w:t>
      </w:r>
      <w:r>
        <w:rPr>
          <w:rFonts w:hint="eastAsia" w:ascii="仿宋_GB2312" w:hAnsi="仿宋_GB2312" w:eastAsia="仿宋_GB2312" w:cs="仿宋_GB2312"/>
          <w:color w:val="000000"/>
          <w:sz w:val="32"/>
          <w:szCs w:val="32"/>
        </w:rPr>
        <w:t>规划铁路货场应急转运通道、场地，建立公路</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最后一公里</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应急转运体系，确保应急物流通道畅通。在各地</w:t>
      </w:r>
      <w:r>
        <w:rPr>
          <w:rFonts w:hint="eastAsia" w:ascii="仿宋_GB2312" w:hAnsi="仿宋_GB2312" w:eastAsia="仿宋_GB2312" w:cs="仿宋_GB2312"/>
          <w:color w:val="000000"/>
          <w:kern w:val="2"/>
          <w:sz w:val="32"/>
          <w:szCs w:val="32"/>
        </w:rPr>
        <w:t>市和部分重点区县搭建应急物流配送平台，形成一批具有较强应急物流运作能力的骨干物流企业。完善陕西粮油食盐和猪肉</w:t>
      </w:r>
      <w:r>
        <w:rPr>
          <w:rFonts w:hint="eastAsia" w:ascii="仿宋_GB2312" w:hAnsi="仿宋_GB2312" w:eastAsia="仿宋_GB2312" w:cs="仿宋_GB2312"/>
          <w:color w:val="000000"/>
          <w:kern w:val="2"/>
          <w:sz w:val="32"/>
          <w:szCs w:val="32"/>
          <w:lang w:val="en-US" w:eastAsia="zh-CN"/>
        </w:rPr>
        <w:t>仓储配送</w:t>
      </w:r>
      <w:r>
        <w:rPr>
          <w:rFonts w:hint="eastAsia" w:ascii="仿宋_GB2312" w:hAnsi="仿宋_GB2312" w:eastAsia="仿宋_GB2312" w:cs="仿宋_GB2312"/>
          <w:color w:val="000000"/>
          <w:kern w:val="2"/>
          <w:sz w:val="32"/>
          <w:szCs w:val="32"/>
        </w:rPr>
        <w:t>设施，</w:t>
      </w:r>
      <w:r>
        <w:rPr>
          <w:rFonts w:hint="eastAsia" w:ascii="仿宋_GB2312" w:hAnsi="仿宋_GB2312" w:eastAsia="仿宋_GB2312" w:cs="仿宋_GB2312"/>
          <w:color w:val="000000"/>
          <w:kern w:val="2"/>
          <w:sz w:val="32"/>
          <w:szCs w:val="32"/>
          <w:lang w:val="en-US" w:eastAsia="zh-CN"/>
        </w:rPr>
        <w:t>以地市为单位科学规划建设</w:t>
      </w:r>
      <w:r>
        <w:rPr>
          <w:rFonts w:hint="eastAsia" w:ascii="仿宋_GB2312" w:hAnsi="仿宋_GB2312" w:eastAsia="仿宋_GB2312" w:cs="仿宋_GB2312"/>
          <w:color w:val="000000"/>
          <w:kern w:val="2"/>
          <w:sz w:val="32"/>
          <w:szCs w:val="32"/>
        </w:rPr>
        <w:t>一批应急</w:t>
      </w:r>
      <w:r>
        <w:rPr>
          <w:rFonts w:hint="eastAsia" w:ascii="仿宋_GB2312" w:hAnsi="仿宋_GB2312" w:eastAsia="仿宋_GB2312" w:cs="仿宋_GB2312"/>
          <w:color w:val="000000"/>
          <w:kern w:val="2"/>
          <w:sz w:val="32"/>
          <w:szCs w:val="32"/>
          <w:lang w:val="en-US" w:eastAsia="zh-CN"/>
        </w:rPr>
        <w:t>物资仓储配送</w:t>
      </w:r>
      <w:r>
        <w:rPr>
          <w:rFonts w:hint="eastAsia" w:ascii="仿宋_GB2312" w:hAnsi="仿宋_GB2312" w:eastAsia="仿宋_GB2312" w:cs="仿宋_GB2312"/>
          <w:color w:val="000000"/>
          <w:kern w:val="2"/>
          <w:sz w:val="32"/>
          <w:szCs w:val="32"/>
        </w:rPr>
        <w:t>中心，</w:t>
      </w:r>
      <w:r>
        <w:rPr>
          <w:rFonts w:hint="eastAsia" w:ascii="仿宋_GB2312" w:hAnsi="仿宋_GB2312" w:eastAsia="仿宋_GB2312" w:cs="仿宋_GB2312"/>
          <w:color w:val="000000"/>
          <w:kern w:val="2"/>
          <w:sz w:val="32"/>
          <w:szCs w:val="32"/>
          <w:lang w:val="en-US" w:eastAsia="zh-CN"/>
        </w:rPr>
        <w:t>在重点区域</w:t>
      </w:r>
      <w:r>
        <w:rPr>
          <w:rFonts w:hint="eastAsia" w:ascii="仿宋_GB2312" w:hAnsi="仿宋_GB2312" w:eastAsia="仿宋_GB2312" w:cs="仿宋_GB2312"/>
          <w:color w:val="000000"/>
          <w:kern w:val="2"/>
          <w:sz w:val="32"/>
          <w:szCs w:val="32"/>
        </w:rPr>
        <w:t>建立应急</w:t>
      </w:r>
      <w:r>
        <w:rPr>
          <w:rFonts w:hint="eastAsia" w:ascii="仿宋_GB2312" w:hAnsi="仿宋_GB2312" w:eastAsia="仿宋_GB2312" w:cs="仿宋_GB2312"/>
          <w:color w:val="000000"/>
          <w:kern w:val="2"/>
          <w:sz w:val="32"/>
          <w:szCs w:val="32"/>
          <w:lang w:val="en-US" w:eastAsia="zh-CN"/>
        </w:rPr>
        <w:t>物资</w:t>
      </w:r>
      <w:r>
        <w:rPr>
          <w:rFonts w:hint="eastAsia" w:ascii="仿宋_GB2312" w:hAnsi="仿宋_GB2312" w:eastAsia="仿宋_GB2312" w:cs="仿宋_GB2312"/>
          <w:color w:val="000000"/>
          <w:kern w:val="2"/>
          <w:sz w:val="32"/>
          <w:szCs w:val="32"/>
        </w:rPr>
        <w:t>储备点。</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ascii="Times New Roman" w:hAnsi="Times New Roman" w:eastAsia="仿宋_GB2312"/>
          <w:color w:val="000000"/>
          <w:kern w:val="2"/>
          <w:sz w:val="32"/>
          <w:szCs w:val="32"/>
        </w:rPr>
      </w:pPr>
      <w:r>
        <w:rPr>
          <w:rFonts w:hint="eastAsia" w:ascii="楷体" w:hAnsi="楷体" w:eastAsia="楷体" w:cs="楷体"/>
          <w:b w:val="0"/>
          <w:bCs w:val="0"/>
          <w:color w:val="000000"/>
          <w:kern w:val="2"/>
          <w:sz w:val="32"/>
          <w:szCs w:val="32"/>
          <w:lang w:val="en-US" w:eastAsia="zh-CN" w:bidi="ar-SA"/>
        </w:rPr>
        <w:t>建立应急物流高效协同机制。</w:t>
      </w:r>
      <w:r>
        <w:rPr>
          <w:rFonts w:hint="eastAsia" w:ascii="仿宋_GB2312" w:hAnsi="仿宋_GB2312" w:eastAsia="仿宋_GB2312" w:cs="仿宋_GB2312"/>
          <w:color w:val="000000"/>
          <w:kern w:val="2"/>
          <w:sz w:val="32"/>
          <w:szCs w:val="32"/>
          <w:lang w:val="en-US" w:eastAsia="zh-CN"/>
        </w:rPr>
        <w:t>完善平急结合应急物资储备系统，建立健全应急物流快速响应机制，提高应急物流组织能力。完善政府、生产商贸企业和物流配送企业高效协同的应急管理协调机制，提高应急物流实施效率。</w:t>
      </w:r>
      <w:r>
        <w:rPr>
          <w:rFonts w:ascii="Times New Roman" w:hAnsi="Times New Roman" w:eastAsia="仿宋_GB2312"/>
          <w:color w:val="000000"/>
          <w:kern w:val="2"/>
          <w:sz w:val="32"/>
          <w:szCs w:val="32"/>
        </w:rPr>
        <w:t>加快建设适应性强、功能强大、反应灵敏的应急管理中心和信息网络中心，结</w:t>
      </w:r>
      <w:r>
        <w:rPr>
          <w:rFonts w:hint="eastAsia" w:ascii="Times New Roman" w:hAnsi="Times New Roman" w:eastAsia="仿宋_GB2312"/>
          <w:color w:val="000000"/>
          <w:kern w:val="2"/>
          <w:sz w:val="32"/>
          <w:szCs w:val="32"/>
        </w:rPr>
        <w:t>合</w:t>
      </w:r>
      <w:r>
        <w:rPr>
          <w:rFonts w:ascii="Times New Roman" w:hAnsi="Times New Roman" w:eastAsia="仿宋_GB2312"/>
          <w:color w:val="000000"/>
          <w:kern w:val="2"/>
          <w:sz w:val="32"/>
          <w:szCs w:val="32"/>
        </w:rPr>
        <w:t>国民经济动员体系建设，按类分等建立应急</w:t>
      </w:r>
      <w:r>
        <w:rPr>
          <w:rFonts w:hint="eastAsia" w:ascii="Times New Roman" w:hAnsi="Times New Roman" w:eastAsia="仿宋_GB2312"/>
          <w:color w:val="000000"/>
          <w:kern w:val="2"/>
          <w:sz w:val="32"/>
          <w:szCs w:val="32"/>
          <w:lang w:val="en-US" w:eastAsia="zh-CN"/>
        </w:rPr>
        <w:t>配送</w:t>
      </w:r>
      <w:r>
        <w:rPr>
          <w:rFonts w:ascii="Times New Roman" w:hAnsi="Times New Roman" w:eastAsia="仿宋_GB2312"/>
          <w:color w:val="000000"/>
          <w:kern w:val="2"/>
          <w:sz w:val="32"/>
          <w:szCs w:val="32"/>
        </w:rPr>
        <w:t>队伍</w:t>
      </w:r>
      <w:r>
        <w:rPr>
          <w:rFonts w:hint="eastAsia" w:ascii="Times New Roman" w:hAnsi="Times New Roman" w:eastAsia="仿宋_GB2312"/>
          <w:color w:val="000000"/>
          <w:kern w:val="2"/>
          <w:sz w:val="32"/>
          <w:szCs w:val="32"/>
        </w:rPr>
        <w:t>，</w:t>
      </w:r>
      <w:r>
        <w:rPr>
          <w:rFonts w:ascii="Times New Roman" w:hAnsi="Times New Roman" w:eastAsia="仿宋_GB2312"/>
          <w:color w:val="000000"/>
          <w:kern w:val="2"/>
          <w:sz w:val="32"/>
          <w:szCs w:val="32"/>
        </w:rPr>
        <w:t>增强保障作用。</w:t>
      </w:r>
    </w:p>
    <w:p>
      <w:pPr>
        <w:pStyle w:val="2"/>
        <w:keepNext w:val="0"/>
        <w:keepLines w:val="0"/>
        <w:pageBreakBefore w:val="0"/>
        <w:widowControl w:val="0"/>
        <w:kinsoku/>
        <w:wordWrap/>
        <w:overflowPunct/>
        <w:topLinePunct w:val="0"/>
        <w:autoSpaceDE/>
        <w:autoSpaceDN/>
        <w:bidi w:val="0"/>
        <w:adjustRightInd/>
        <w:snapToGrid/>
        <w:spacing w:after="0" w:afterLines="0" w:line="580" w:lineRule="exact"/>
        <w:ind w:left="0" w:leftChars="0" w:firstLine="640" w:firstLineChars="200"/>
        <w:textAlignment w:val="auto"/>
        <w:rPr>
          <w:rFonts w:hint="default" w:ascii="Times New Roman" w:hAnsi="Times New Roman" w:eastAsia="仿宋_GB2312"/>
          <w:color w:val="000000"/>
          <w:kern w:val="2"/>
          <w:sz w:val="32"/>
          <w:szCs w:val="32"/>
          <w:lang w:val="en-US" w:eastAsia="zh-CN"/>
        </w:rPr>
      </w:pPr>
      <w:r>
        <w:rPr>
          <w:rFonts w:hint="eastAsia" w:ascii="楷体" w:hAnsi="楷体" w:eastAsia="楷体" w:cs="楷体"/>
          <w:b w:val="0"/>
          <w:bCs w:val="0"/>
          <w:color w:val="000000"/>
          <w:kern w:val="2"/>
          <w:sz w:val="32"/>
          <w:szCs w:val="32"/>
          <w:lang w:val="en-US" w:eastAsia="zh-CN" w:bidi="ar-SA"/>
        </w:rPr>
        <w:t>提升应急物流组织水平。</w:t>
      </w:r>
      <w:r>
        <w:rPr>
          <w:rFonts w:hint="eastAsia" w:ascii="Times New Roman" w:hAnsi="Times New Roman" w:eastAsia="仿宋_GB2312"/>
          <w:color w:val="000000"/>
          <w:kern w:val="2"/>
          <w:sz w:val="32"/>
          <w:szCs w:val="32"/>
          <w:lang w:eastAsia="zh-CN"/>
        </w:rPr>
        <w:t>增强应急物流社会动员能力，建立以企业为主体的应急物流队伍，健全物流企业“平急转换”机制</w:t>
      </w:r>
      <w:r>
        <w:rPr>
          <w:rFonts w:hint="eastAsia" w:ascii="Times New Roman" w:hAnsi="Times New Roman" w:eastAsia="仿宋_GB2312"/>
          <w:color w:val="000000"/>
          <w:kern w:val="2"/>
          <w:sz w:val="32"/>
          <w:szCs w:val="32"/>
        </w:rPr>
        <w:t>。充分利用市场化物流服务资源</w:t>
      </w:r>
      <w:r>
        <w:rPr>
          <w:rFonts w:hint="eastAsia" w:ascii="Times New Roman" w:hAnsi="Times New Roman" w:eastAsia="仿宋_GB2312"/>
          <w:color w:val="000000"/>
          <w:kern w:val="2"/>
          <w:sz w:val="32"/>
          <w:szCs w:val="32"/>
          <w:lang w:eastAsia="zh-CN"/>
        </w:rPr>
        <w:t>，</w:t>
      </w:r>
      <w:r>
        <w:rPr>
          <w:rFonts w:hint="eastAsia" w:ascii="Times New Roman" w:hAnsi="Times New Roman" w:eastAsia="仿宋_GB2312"/>
          <w:color w:val="000000"/>
          <w:kern w:val="2"/>
          <w:sz w:val="32"/>
          <w:szCs w:val="32"/>
        </w:rPr>
        <w:t>完善应急物流干线运输和支线辐射网络</w:t>
      </w:r>
      <w:r>
        <w:rPr>
          <w:rFonts w:hint="eastAsia" w:ascii="Times New Roman" w:hAnsi="Times New Roman" w:eastAsia="仿宋_GB2312"/>
          <w:color w:val="000000"/>
          <w:kern w:val="2"/>
          <w:sz w:val="32"/>
          <w:szCs w:val="32"/>
          <w:lang w:eastAsia="zh-CN"/>
        </w:rPr>
        <w:t>，</w:t>
      </w:r>
      <w:r>
        <w:rPr>
          <w:rFonts w:hint="eastAsia" w:ascii="Times New Roman" w:hAnsi="Times New Roman" w:eastAsia="仿宋_GB2312"/>
          <w:color w:val="000000"/>
          <w:kern w:val="2"/>
          <w:sz w:val="32"/>
          <w:szCs w:val="32"/>
        </w:rPr>
        <w:t>提升物资跨区域大规模调运组织水平</w:t>
      </w:r>
      <w:r>
        <w:rPr>
          <w:rFonts w:hint="eastAsia" w:ascii="Times New Roman" w:hAnsi="Times New Roman" w:eastAsia="仿宋_GB2312"/>
          <w:color w:val="000000"/>
          <w:kern w:val="2"/>
          <w:sz w:val="32"/>
          <w:szCs w:val="32"/>
          <w:lang w:eastAsia="zh-CN"/>
        </w:rPr>
        <w:t>，</w:t>
      </w:r>
      <w:r>
        <w:rPr>
          <w:rFonts w:hint="eastAsia" w:ascii="Times New Roman" w:hAnsi="Times New Roman" w:eastAsia="仿宋_GB2312"/>
          <w:color w:val="000000"/>
          <w:kern w:val="2"/>
          <w:sz w:val="32"/>
          <w:szCs w:val="32"/>
        </w:rPr>
        <w:t>形成应对各类、各级突发事件的应急物流保障能力</w:t>
      </w:r>
      <w:r>
        <w:rPr>
          <w:rFonts w:hint="eastAsia" w:ascii="Times New Roman" w:hAnsi="Times New Roman" w:eastAsia="仿宋_GB2312"/>
          <w:color w:val="000000"/>
          <w:kern w:val="2"/>
          <w:sz w:val="32"/>
          <w:szCs w:val="32"/>
          <w:lang w:eastAsia="zh-CN"/>
        </w:rPr>
        <w:t>，</w:t>
      </w:r>
      <w:r>
        <w:rPr>
          <w:rFonts w:hint="eastAsia" w:ascii="Times New Roman" w:hAnsi="Times New Roman" w:eastAsia="仿宋_GB2312"/>
          <w:color w:val="000000"/>
          <w:kern w:val="2"/>
          <w:sz w:val="32"/>
          <w:szCs w:val="32"/>
        </w:rPr>
        <w:t>满足防汛</w:t>
      </w:r>
      <w:r>
        <w:rPr>
          <w:rFonts w:hint="eastAsia" w:ascii="Times New Roman" w:hAnsi="Times New Roman" w:eastAsia="仿宋_GB2312"/>
          <w:color w:val="000000"/>
          <w:kern w:val="2"/>
          <w:sz w:val="32"/>
          <w:szCs w:val="32"/>
          <w:lang w:eastAsia="zh-CN"/>
        </w:rPr>
        <w:t>救</w:t>
      </w:r>
      <w:r>
        <w:rPr>
          <w:rFonts w:hint="eastAsia" w:ascii="Times New Roman" w:hAnsi="Times New Roman" w:eastAsia="仿宋_GB2312"/>
          <w:color w:val="000000"/>
          <w:kern w:val="2"/>
          <w:sz w:val="32"/>
          <w:szCs w:val="32"/>
        </w:rPr>
        <w:t>灾、处置重大事故、应对公共卫生和社会安全事件应急物资紧急调运</w:t>
      </w:r>
      <w:r>
        <w:rPr>
          <w:rFonts w:hint="eastAsia" w:ascii="Times New Roman" w:hAnsi="Times New Roman" w:eastAsia="仿宋_GB2312"/>
          <w:color w:val="000000"/>
          <w:kern w:val="2"/>
          <w:sz w:val="32"/>
          <w:szCs w:val="32"/>
          <w:lang w:eastAsia="zh-CN"/>
        </w:rPr>
        <w:t>，</w:t>
      </w:r>
      <w:r>
        <w:rPr>
          <w:rFonts w:hint="eastAsia" w:ascii="Times New Roman" w:hAnsi="Times New Roman" w:eastAsia="仿宋_GB2312"/>
          <w:color w:val="000000"/>
          <w:kern w:val="2"/>
          <w:sz w:val="32"/>
          <w:szCs w:val="32"/>
        </w:rPr>
        <w:t>保障生活必需品市场供应和产业链供应链安全运行。</w:t>
      </w:r>
    </w:p>
    <w:p>
      <w:pPr>
        <w:keepNext w:val="0"/>
        <w:keepLines w:val="0"/>
        <w:pageBreakBefore w:val="0"/>
        <w:numPr>
          <w:ilvl w:val="0"/>
          <w:numId w:val="0"/>
        </w:numPr>
        <w:kinsoku/>
        <w:overflowPunct/>
        <w:topLinePunct w:val="0"/>
        <w:autoSpaceDE/>
        <w:autoSpaceDN/>
        <w:bidi w:val="0"/>
        <w:adjustRightInd/>
        <w:snapToGrid/>
        <w:spacing w:line="580" w:lineRule="exact"/>
        <w:ind w:firstLine="640" w:firstLineChars="200"/>
        <w:textAlignment w:val="auto"/>
        <w:outlineLvl w:val="0"/>
        <w:rPr>
          <w:rFonts w:hint="eastAsia" w:ascii="黑体" w:hAnsi="黑体" w:eastAsia="黑体" w:cs="黑体"/>
          <w:b w:val="0"/>
          <w:bCs w:val="0"/>
          <w:color w:val="FF0000"/>
          <w:sz w:val="32"/>
          <w:szCs w:val="32"/>
          <w:lang w:val="en-US" w:eastAsia="zh-CN"/>
        </w:rPr>
      </w:pPr>
      <w:bookmarkStart w:id="20" w:name="_Toc12776"/>
      <w:r>
        <w:rPr>
          <w:rFonts w:hint="eastAsia" w:ascii="黑体" w:hAnsi="黑体" w:eastAsia="黑体" w:cs="黑体"/>
          <w:b w:val="0"/>
          <w:bCs w:val="0"/>
          <w:sz w:val="32"/>
          <w:szCs w:val="32"/>
          <w:lang w:val="en-US" w:eastAsia="zh-CN"/>
        </w:rPr>
        <w:t>五、重点工程</w:t>
      </w:r>
    </w:p>
    <w:p>
      <w:pPr>
        <w:keepNext w:val="0"/>
        <w:keepLines w:val="0"/>
        <w:pageBreakBefore w:val="0"/>
        <w:numPr>
          <w:ilvl w:val="0"/>
          <w:numId w:val="0"/>
        </w:numPr>
        <w:kinsoku/>
        <w:overflowPunct/>
        <w:topLinePunct w:val="0"/>
        <w:autoSpaceDE/>
        <w:autoSpaceDN/>
        <w:bidi w:val="0"/>
        <w:adjustRightInd/>
        <w:snapToGrid/>
        <w:spacing w:line="580" w:lineRule="exact"/>
        <w:ind w:leftChars="0" w:firstLine="643" w:firstLineChars="200"/>
        <w:textAlignment w:val="auto"/>
        <w:outlineLvl w:val="1"/>
        <w:rPr>
          <w:rFonts w:hint="eastAsia" w:ascii="方正仿宋_GBK" w:hAnsi="方正仿宋_GBK" w:eastAsia="方正仿宋_GBK" w:cs="方正仿宋_GBK"/>
          <w:b/>
          <w:bCs/>
          <w:color w:val="000000"/>
          <w:kern w:val="2"/>
          <w:sz w:val="32"/>
          <w:szCs w:val="32"/>
          <w:lang w:val="en-US" w:eastAsia="zh-CN" w:bidi="ar-SA"/>
        </w:rPr>
      </w:pPr>
      <w:bookmarkStart w:id="21" w:name="_Toc10084"/>
      <w:r>
        <w:rPr>
          <w:rFonts w:hint="eastAsia" w:ascii="方正仿宋_GBK" w:hAnsi="方正仿宋_GBK" w:eastAsia="方正仿宋_GBK" w:cs="方正仿宋_GBK"/>
          <w:b/>
          <w:bCs/>
          <w:color w:val="000000"/>
          <w:kern w:val="2"/>
          <w:sz w:val="32"/>
          <w:szCs w:val="32"/>
          <w:lang w:val="en-US" w:eastAsia="zh-CN" w:bidi="ar-SA"/>
        </w:rPr>
        <w:t>（一）冷链物流</w:t>
      </w:r>
      <w:bookmarkEnd w:id="21"/>
      <w:r>
        <w:rPr>
          <w:rFonts w:hint="eastAsia" w:ascii="方正仿宋_GBK" w:hAnsi="方正仿宋_GBK" w:eastAsia="方正仿宋_GBK" w:cs="方正仿宋_GBK"/>
          <w:b/>
          <w:bCs/>
          <w:color w:val="000000"/>
          <w:kern w:val="2"/>
          <w:sz w:val="32"/>
          <w:szCs w:val="32"/>
          <w:lang w:val="en-US" w:eastAsia="zh-CN" w:bidi="ar-SA"/>
        </w:rPr>
        <w:t>体系建设工程</w:t>
      </w:r>
    </w:p>
    <w:p>
      <w:pPr>
        <w:keepNext w:val="0"/>
        <w:keepLines w:val="0"/>
        <w:pageBreakBefore w:val="0"/>
        <w:numPr>
          <w:ilvl w:val="0"/>
          <w:numId w:val="0"/>
        </w:numPr>
        <w:kinsoku/>
        <w:overflowPunct/>
        <w:topLinePunct w:val="0"/>
        <w:autoSpaceDE/>
        <w:autoSpaceDN/>
        <w:bidi w:val="0"/>
        <w:adjustRightInd/>
        <w:snapToGrid/>
        <w:spacing w:line="580" w:lineRule="exact"/>
        <w:textAlignment w:val="auto"/>
        <w:outlineLvl w:val="9"/>
        <w:rPr>
          <w:rFonts w:hint="eastAsia" w:ascii="楷体" w:hAnsi="楷体" w:eastAsia="楷体" w:cs="楷体"/>
          <w:b/>
          <w:bCs/>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 xml:space="preserve">    高标准建设宝鸡国家骨干冷链物流基地，推动西安、延安、榆林、渭南等生鲜农产品产销区纳入全国骨干冷链物流网络体系；完善陕西冷链设施网络，加强产后预冷、贮藏保鲜、分级包装、移动冷库等产地冷链物流设施建设，结合县城城镇化流通设施建设，补齐城乡冷链物流设施短板。加快冷链物流与现代农业融合发展，支撑生鲜农产品规模化、组织化生产和流通；支持建设面向城市消费的低温加工处理中</w:t>
      </w:r>
      <w:bookmarkStart w:id="22" w:name="_Toc148"/>
      <w:r>
        <w:rPr>
          <w:rFonts w:hint="eastAsia" w:ascii="Times New Roman" w:hAnsi="Times New Roman" w:eastAsia="仿宋_GB2312" w:cs="Times New Roman"/>
          <w:b w:val="0"/>
          <w:bCs w:val="0"/>
          <w:color w:val="000000"/>
          <w:kern w:val="2"/>
          <w:sz w:val="32"/>
          <w:szCs w:val="32"/>
          <w:lang w:val="en-US" w:eastAsia="zh-CN" w:bidi="ar-SA"/>
        </w:rPr>
        <w:t>心，发展“中央厨房+食材冷链配送”、“生鲜电商+冷链宅配”等新模式；利用现代信息技术手段加强全链条监管，减少“断链”隐患，提升冷链物流安全运行和质量保障水平。到2025年，全省基本健全城乡冷链物流网络，构建起全链条、网络化、严标准、可追溯、新模式、高效率的现代化冷链物流体系。</w:t>
      </w:r>
    </w:p>
    <w:p>
      <w:pPr>
        <w:keepNext w:val="0"/>
        <w:keepLines w:val="0"/>
        <w:pageBreakBefore w:val="0"/>
        <w:numPr>
          <w:ilvl w:val="0"/>
          <w:numId w:val="0"/>
        </w:numPr>
        <w:kinsoku/>
        <w:overflowPunct/>
        <w:topLinePunct w:val="0"/>
        <w:autoSpaceDE/>
        <w:autoSpaceDN/>
        <w:bidi w:val="0"/>
        <w:adjustRightInd/>
        <w:snapToGrid/>
        <w:spacing w:line="580" w:lineRule="exact"/>
        <w:textAlignment w:val="auto"/>
        <w:outlineLvl w:val="1"/>
        <w:rPr>
          <w:rFonts w:hint="eastAsia" w:ascii="Times New Roman" w:hAnsi="Times New Roman" w:eastAsia="仿宋_GB2312" w:cs="Times New Roman"/>
          <w:b w:val="0"/>
          <w:bCs w:val="0"/>
          <w:color w:val="000000"/>
          <w:kern w:val="2"/>
          <w:sz w:val="32"/>
          <w:szCs w:val="32"/>
          <w:lang w:val="en-US" w:eastAsia="zh-CN" w:bidi="ar-SA"/>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jc w:val="center"/>
        </w:trPr>
        <w:tc>
          <w:tcPr>
            <w:tcW w:w="852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黑体" w:hAnsi="黑体" w:eastAsia="楷体" w:cs="黑体"/>
                <w:b w:val="0"/>
                <w:bCs w:val="0"/>
                <w:color w:val="000000"/>
                <w:sz w:val="21"/>
                <w:szCs w:val="21"/>
                <w:lang w:val="en-US" w:eastAsia="zh-CN"/>
              </w:rPr>
            </w:pPr>
            <w:r>
              <w:rPr>
                <w:rFonts w:hint="eastAsia" w:ascii="楷体" w:hAnsi="楷体" w:eastAsia="楷体" w:cs="楷体"/>
                <w:b w:val="0"/>
                <w:bCs w:val="0"/>
                <w:color w:val="000000"/>
                <w:sz w:val="28"/>
                <w:szCs w:val="28"/>
              </w:rPr>
              <w:t>专栏</w:t>
            </w:r>
            <w:r>
              <w:rPr>
                <w:rFonts w:hint="eastAsia" w:ascii="楷体" w:hAnsi="楷体" w:eastAsia="楷体" w:cs="楷体"/>
                <w:b w:val="0"/>
                <w:bCs w:val="0"/>
                <w:color w:val="000000"/>
                <w:sz w:val="28"/>
                <w:szCs w:val="28"/>
                <w:lang w:val="en-US" w:eastAsia="zh-CN"/>
              </w:rPr>
              <w:t xml:space="preserve">5  </w:t>
            </w:r>
            <w:r>
              <w:rPr>
                <w:rFonts w:hint="eastAsia" w:ascii="楷体" w:hAnsi="楷体" w:eastAsia="楷体" w:cs="楷体"/>
                <w:b w:val="0"/>
                <w:bCs w:val="0"/>
                <w:color w:val="000000"/>
                <w:sz w:val="28"/>
                <w:szCs w:val="28"/>
              </w:rPr>
              <w:t>冷链物流</w:t>
            </w:r>
            <w:r>
              <w:rPr>
                <w:rFonts w:hint="eastAsia" w:ascii="楷体" w:hAnsi="楷体" w:eastAsia="楷体" w:cs="楷体"/>
                <w:b w:val="0"/>
                <w:bCs w:val="0"/>
                <w:color w:val="000000"/>
                <w:sz w:val="28"/>
                <w:szCs w:val="28"/>
                <w:lang w:eastAsia="zh-CN"/>
              </w:rPr>
              <w:t>重点领域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0" w:hRule="atLeast"/>
          <w:jc w:val="center"/>
        </w:trPr>
        <w:tc>
          <w:tcPr>
            <w:tcW w:w="852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outlineLvl w:val="9"/>
              <w:rPr>
                <w:rFonts w:hint="eastAsia" w:ascii="仿宋_GB2312" w:hAnsi="仿宋_GB2312" w:eastAsia="仿宋_GB2312" w:cs="仿宋_GB2312"/>
                <w:color w:val="000000"/>
                <w:sz w:val="21"/>
                <w:szCs w:val="21"/>
                <w:lang w:val="en-US" w:eastAsia="zh-CN"/>
              </w:rPr>
            </w:pPr>
            <w:r>
              <w:rPr>
                <w:rFonts w:hint="eastAsia" w:ascii="黑体" w:hAnsi="黑体" w:eastAsia="黑体" w:cs="黑体"/>
                <w:b w:val="0"/>
                <w:bCs w:val="0"/>
                <w:color w:val="000000"/>
                <w:sz w:val="21"/>
                <w:szCs w:val="21"/>
                <w:lang w:val="en-US" w:eastAsia="zh-CN"/>
              </w:rPr>
              <w:t>特色农产品冷链物流。</w:t>
            </w:r>
            <w:r>
              <w:rPr>
                <w:rFonts w:hint="eastAsia" w:ascii="仿宋_GB2312" w:hAnsi="仿宋_GB2312" w:eastAsia="仿宋_GB2312" w:cs="仿宋_GB2312"/>
                <w:color w:val="000000"/>
                <w:sz w:val="21"/>
                <w:szCs w:val="21"/>
                <w:lang w:val="en-US" w:eastAsia="zh-CN"/>
              </w:rPr>
              <w:t>聚焦“3+X”特色产业，以水果和蔬菜生产基地县、特色农产品优势区为主，加快产地农产品批发市场和低温储藏保鲜设施建设，引导特色农产品主产区、批发市场、大型商贸连锁企业建设具备集中采购、低温加工、跨区域配送能力的果蔬配送中心和中转保鲜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outlineLvl w:val="9"/>
              <w:rPr>
                <w:rFonts w:hint="eastAsia" w:ascii="仿宋_GB2312" w:hAnsi="仿宋_GB2312" w:eastAsia="仿宋_GB2312" w:cs="仿宋_GB2312"/>
                <w:color w:val="000000"/>
                <w:sz w:val="21"/>
                <w:szCs w:val="21"/>
                <w:lang w:val="en-US" w:eastAsia="zh-CN"/>
              </w:rPr>
            </w:pPr>
            <w:r>
              <w:rPr>
                <w:rFonts w:hint="eastAsia" w:ascii="黑体" w:hAnsi="黑体" w:eastAsia="黑体" w:cs="黑体"/>
                <w:b w:val="0"/>
                <w:bCs w:val="0"/>
                <w:color w:val="000000"/>
                <w:sz w:val="21"/>
                <w:szCs w:val="21"/>
                <w:lang w:val="en-US" w:eastAsia="zh-CN"/>
              </w:rPr>
              <w:t>肉类冷链物流。</w:t>
            </w:r>
            <w:r>
              <w:rPr>
                <w:rFonts w:hint="eastAsia" w:ascii="仿宋_GB2312" w:hAnsi="仿宋_GB2312" w:eastAsia="仿宋_GB2312" w:cs="仿宋_GB2312"/>
                <w:color w:val="000000"/>
                <w:sz w:val="21"/>
                <w:szCs w:val="21"/>
                <w:lang w:val="en-US" w:eastAsia="zh-CN"/>
              </w:rPr>
              <w:t>依托西安方欣、雨润、欣桥等大型交易市场和榆林、宝鸡、渭南、铜川等畜禽养殖基地，支持建设规模化屠宰加工基地和肉类加工配送中心，构建覆盖全省的肉类冷链物流高效运输网、城配网和信息网。</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outlineLvl w:val="9"/>
              <w:rPr>
                <w:rFonts w:hint="eastAsia" w:ascii="仿宋_GB2312" w:hAnsi="仿宋_GB2312" w:eastAsia="仿宋_GB2312" w:cs="仿宋_GB2312"/>
                <w:color w:val="000000"/>
                <w:sz w:val="21"/>
                <w:szCs w:val="21"/>
              </w:rPr>
            </w:pPr>
            <w:r>
              <w:rPr>
                <w:rFonts w:hint="eastAsia" w:ascii="黑体" w:hAnsi="黑体" w:eastAsia="黑体" w:cs="黑体"/>
                <w:b w:val="0"/>
                <w:bCs w:val="0"/>
                <w:color w:val="000000"/>
                <w:sz w:val="21"/>
                <w:szCs w:val="21"/>
                <w:lang w:val="en-US" w:eastAsia="zh-CN"/>
              </w:rPr>
              <w:t>乳制品冷链物流。</w:t>
            </w:r>
            <w:r>
              <w:rPr>
                <w:rFonts w:hint="eastAsia" w:ascii="仿宋_GB2312" w:hAnsi="仿宋_GB2312" w:eastAsia="仿宋_GB2312" w:cs="仿宋_GB2312"/>
                <w:color w:val="000000"/>
                <w:sz w:val="21"/>
                <w:szCs w:val="21"/>
                <w:lang w:val="en-US" w:eastAsia="zh-CN"/>
              </w:rPr>
              <w:t>支持陕西银桥、华山、关山等乳制品骨干企业在原奶产地建设大型生产预冷中心，在主要销地建设前置仓、加工分拨中心和共同配送中心，生鲜乳制品实行全流程冷链温控管理。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outlineLvl w:val="9"/>
              <w:rPr>
                <w:rFonts w:ascii="Times New Roman" w:hAnsi="Times New Roman" w:eastAsia="仿宋_GB2312"/>
                <w:color w:val="000000"/>
                <w:sz w:val="24"/>
                <w:szCs w:val="24"/>
              </w:rPr>
            </w:pPr>
            <w:r>
              <w:rPr>
                <w:rFonts w:hint="eastAsia" w:ascii="黑体" w:hAnsi="黑体" w:eastAsia="黑体" w:cs="黑体"/>
                <w:b w:val="0"/>
                <w:bCs w:val="0"/>
                <w:color w:val="000000"/>
                <w:sz w:val="21"/>
                <w:szCs w:val="21"/>
                <w:lang w:val="en-US" w:eastAsia="zh-CN"/>
              </w:rPr>
              <w:t>医药冷链物流。</w:t>
            </w:r>
            <w:r>
              <w:rPr>
                <w:rFonts w:hint="eastAsia" w:ascii="仿宋_GB2312" w:hAnsi="仿宋_GB2312" w:eastAsia="仿宋_GB2312" w:cs="仿宋_GB2312"/>
                <w:color w:val="000000"/>
                <w:sz w:val="21"/>
                <w:szCs w:val="21"/>
                <w:lang w:val="en-US" w:eastAsia="zh-CN"/>
              </w:rPr>
              <w:t>推动医药流通企业、药品生产企业、医疗机构和零售药店等协同配合，强化药品冷链物流配送全程动态监管，实现药品质量可控、可追溯。</w:t>
            </w:r>
          </w:p>
        </w:tc>
      </w:tr>
    </w:tbl>
    <w:p>
      <w:pPr>
        <w:keepNext w:val="0"/>
        <w:keepLines w:val="0"/>
        <w:pageBreakBefore w:val="0"/>
        <w:numPr>
          <w:ilvl w:val="0"/>
          <w:numId w:val="0"/>
        </w:numPr>
        <w:kinsoku/>
        <w:overflowPunct/>
        <w:topLinePunct w:val="0"/>
        <w:autoSpaceDE/>
        <w:autoSpaceDN/>
        <w:bidi w:val="0"/>
        <w:adjustRightInd/>
        <w:snapToGrid/>
        <w:spacing w:line="580" w:lineRule="exact"/>
        <w:ind w:leftChars="0" w:firstLine="643" w:firstLineChars="200"/>
        <w:textAlignment w:val="auto"/>
        <w:outlineLvl w:val="1"/>
        <w:rPr>
          <w:rFonts w:hint="eastAsia" w:ascii="方正仿宋_GBK" w:hAnsi="方正仿宋_GBK" w:eastAsia="方正仿宋_GBK" w:cs="方正仿宋_GBK"/>
          <w:b/>
          <w:bCs/>
          <w:color w:val="000000"/>
          <w:kern w:val="2"/>
          <w:sz w:val="32"/>
          <w:szCs w:val="32"/>
          <w:lang w:val="en-US" w:eastAsia="zh-CN" w:bidi="ar-SA"/>
        </w:rPr>
      </w:pPr>
      <w:r>
        <w:rPr>
          <w:rFonts w:hint="eastAsia" w:ascii="方正仿宋_GBK" w:hAnsi="方正仿宋_GBK" w:eastAsia="方正仿宋_GBK" w:cs="方正仿宋_GBK"/>
          <w:b/>
          <w:bCs/>
          <w:color w:val="000000"/>
          <w:kern w:val="2"/>
          <w:sz w:val="32"/>
          <w:szCs w:val="32"/>
          <w:lang w:val="en-US" w:eastAsia="zh-CN" w:bidi="ar-SA"/>
        </w:rPr>
        <w:t>（二）商贸物流提档升级</w:t>
      </w:r>
      <w:bookmarkEnd w:id="22"/>
      <w:r>
        <w:rPr>
          <w:rFonts w:hint="eastAsia" w:ascii="方正仿宋_GBK" w:hAnsi="方正仿宋_GBK" w:eastAsia="方正仿宋_GBK" w:cs="方正仿宋_GBK"/>
          <w:b/>
          <w:bCs/>
          <w:color w:val="000000"/>
          <w:kern w:val="2"/>
          <w:sz w:val="32"/>
          <w:szCs w:val="32"/>
          <w:lang w:val="en-US" w:eastAsia="zh-CN" w:bidi="ar-SA"/>
        </w:rPr>
        <w:t>工程</w:t>
      </w:r>
    </w:p>
    <w:p>
      <w:pPr>
        <w:keepNext w:val="0"/>
        <w:keepLines w:val="0"/>
        <w:pageBreakBefore w:val="0"/>
        <w:numPr>
          <w:ilvl w:val="0"/>
          <w:numId w:val="0"/>
        </w:numPr>
        <w:kinsoku/>
        <w:overflowPunct/>
        <w:topLinePunct w:val="0"/>
        <w:autoSpaceDE/>
        <w:autoSpaceDN/>
        <w:bidi w:val="0"/>
        <w:adjustRightInd/>
        <w:snapToGrid/>
        <w:spacing w:line="580" w:lineRule="exact"/>
        <w:ind w:firstLine="640" w:firstLineChars="200"/>
        <w:textAlignment w:val="auto"/>
        <w:rPr>
          <w:rFonts w:hint="eastAsia"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大力推广集约化、标准化、绿色化的共同配送设施设备，鼓励商贸流通企业建设“前置仓”等设施设备，提高“最后一公里”末端配送效率和服务质量。结合新型城镇化建设，布局建设一批集运输、仓储、加工、包装、分拨等功能为一体的公共配送中心，加强邮政、交通、电商、快递等资源整合，推进设施共享共用，提高城乡共同配送能力。支持农产品批发市场、农贸市场和农资连锁超市建设，提高农村物流专业化、网络化程度，补齐县乡村物流基础设施短板，提高商贸物流服务覆盖广度和深度。推动各类流通企业信息化应用改造，促进“互联网+商贸”流通模式创新。积极开展仓配、站配、店配等社区直配服务，提升智能快件箱、无人车、无人机等无接触式配送能力。推动开展夜间配送、限时配送、定时配送等新型配送服务，构建集约共享配送体系。</w:t>
      </w:r>
    </w:p>
    <w:p>
      <w:pPr>
        <w:pStyle w:val="2"/>
        <w:rPr>
          <w:rFonts w:hint="eastAsia"/>
          <w:lang w:val="en-US" w:eastAsia="zh-CN"/>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852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center"/>
              <w:textAlignment w:val="auto"/>
              <w:outlineLvl w:val="9"/>
              <w:rPr>
                <w:rFonts w:hint="eastAsia" w:ascii="黑体" w:hAnsi="黑体" w:eastAsia="楷体" w:cs="黑体"/>
                <w:color w:val="000000"/>
                <w:sz w:val="21"/>
                <w:szCs w:val="21"/>
                <w:lang w:val="en-US" w:eastAsia="zh-CN"/>
              </w:rPr>
            </w:pPr>
            <w:r>
              <w:rPr>
                <w:rFonts w:hint="eastAsia" w:ascii="楷体" w:hAnsi="楷体" w:eastAsia="楷体" w:cs="楷体"/>
                <w:b w:val="0"/>
                <w:bCs w:val="0"/>
                <w:color w:val="000000"/>
                <w:sz w:val="28"/>
                <w:szCs w:val="28"/>
              </w:rPr>
              <w:t>专栏</w:t>
            </w:r>
            <w:r>
              <w:rPr>
                <w:rFonts w:hint="eastAsia" w:ascii="楷体" w:hAnsi="楷体" w:eastAsia="楷体" w:cs="楷体"/>
                <w:b w:val="0"/>
                <w:bCs w:val="0"/>
                <w:color w:val="000000"/>
                <w:sz w:val="28"/>
                <w:szCs w:val="28"/>
                <w:lang w:val="en-US" w:eastAsia="zh-CN"/>
              </w:rPr>
              <w:t>6  商贸</w:t>
            </w:r>
            <w:r>
              <w:rPr>
                <w:rFonts w:hint="eastAsia" w:ascii="楷体" w:hAnsi="楷体" w:eastAsia="楷体" w:cs="楷体"/>
                <w:b w:val="0"/>
                <w:bCs w:val="0"/>
                <w:color w:val="000000"/>
                <w:sz w:val="28"/>
                <w:szCs w:val="28"/>
              </w:rPr>
              <w:t>流通体系</w:t>
            </w:r>
            <w:r>
              <w:rPr>
                <w:rFonts w:hint="eastAsia" w:ascii="楷体" w:hAnsi="楷体" w:eastAsia="楷体" w:cs="楷体"/>
                <w:b w:val="0"/>
                <w:bCs w:val="0"/>
                <w:color w:val="000000"/>
                <w:sz w:val="28"/>
                <w:szCs w:val="28"/>
                <w:lang w:eastAsia="zh-CN"/>
              </w:rPr>
              <w:t>重点项目</w:t>
            </w:r>
            <w:r>
              <w:rPr>
                <w:rFonts w:hint="eastAsia" w:ascii="楷体" w:hAnsi="楷体" w:eastAsia="楷体" w:cs="楷体"/>
                <w:b w:val="0"/>
                <w:bCs w:val="0"/>
                <w:color w:val="000000"/>
                <w:sz w:val="28"/>
                <w:szCs w:val="28"/>
              </w:rPr>
              <w:t>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852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outlineLvl w:val="9"/>
              <w:rPr>
                <w:rFonts w:hint="eastAsia" w:ascii="仿宋_GB2312" w:hAnsi="仿宋_GB2312" w:eastAsia="仿宋_GB2312" w:cs="仿宋_GB2312"/>
                <w:color w:val="000000"/>
                <w:sz w:val="21"/>
                <w:szCs w:val="21"/>
                <w:lang w:val="en-US" w:eastAsia="zh-CN"/>
              </w:rPr>
            </w:pPr>
            <w:r>
              <w:rPr>
                <w:rFonts w:hint="eastAsia" w:ascii="黑体" w:hAnsi="黑体" w:eastAsia="黑体" w:cs="黑体"/>
                <w:color w:val="000000"/>
                <w:sz w:val="21"/>
                <w:szCs w:val="21"/>
                <w:lang w:val="en-US" w:eastAsia="zh-CN"/>
              </w:rPr>
              <w:t>标准化菜市场。</w:t>
            </w:r>
            <w:r>
              <w:rPr>
                <w:rFonts w:hint="eastAsia" w:ascii="仿宋_GB2312" w:hAnsi="仿宋_GB2312" w:eastAsia="仿宋_GB2312" w:cs="仿宋_GB2312"/>
                <w:color w:val="000000"/>
                <w:sz w:val="21"/>
                <w:szCs w:val="21"/>
                <w:lang w:val="en-US" w:eastAsia="zh-CN"/>
              </w:rPr>
              <w:t>支持开展标准化菜市场新建或改造提升项目，重点支持菜市场内外环境、设施设备、场内布局、检验检测、冷藏保鲜、卫生质量、食品经营、市场管理、“大数据”应用、“线上线下”融合发展等。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outlineLvl w:val="9"/>
              <w:rPr>
                <w:rFonts w:hint="eastAsia" w:ascii="仿宋_GB2312" w:hAnsi="仿宋_GB2312" w:eastAsia="仿宋_GB2312" w:cs="仿宋_GB2312"/>
                <w:color w:val="000000"/>
                <w:sz w:val="21"/>
                <w:szCs w:val="21"/>
                <w:lang w:val="en-US" w:eastAsia="zh-CN"/>
              </w:rPr>
            </w:pPr>
            <w:r>
              <w:rPr>
                <w:rFonts w:hint="eastAsia" w:ascii="黑体" w:hAnsi="黑体" w:eastAsia="黑体" w:cs="黑体"/>
                <w:color w:val="000000"/>
                <w:sz w:val="21"/>
                <w:szCs w:val="21"/>
                <w:lang w:val="en-US" w:eastAsia="zh-CN"/>
              </w:rPr>
              <w:t xml:space="preserve">    品牌连锁便利店。</w:t>
            </w:r>
            <w:r>
              <w:rPr>
                <w:rFonts w:hint="eastAsia" w:ascii="仿宋_GB2312" w:hAnsi="仿宋_GB2312" w:eastAsia="仿宋_GB2312" w:cs="仿宋_GB2312"/>
                <w:color w:val="000000"/>
                <w:sz w:val="21"/>
                <w:szCs w:val="21"/>
                <w:lang w:val="en-US" w:eastAsia="zh-CN"/>
              </w:rPr>
              <w:t>支持品牌连锁企业在新建和老旧偏远社区、商业资源欠发达地区及城乡结合部等居民点新开设直营连锁便利店；支持品牌连锁便利店企业在高校、体育场馆、医院、公园、交通换乘等流动人口密集点开设品牌连锁便利店、无人便利店和智能零售柜；支持国内外知名品牌连锁便利店企业来陕开设便利店。</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outlineLvl w:val="9"/>
              <w:rPr>
                <w:rFonts w:hint="eastAsia" w:ascii="黑体" w:hAnsi="黑体" w:eastAsia="黑体" w:cs="黑体"/>
                <w:color w:val="000000"/>
                <w:sz w:val="21"/>
                <w:szCs w:val="21"/>
                <w:lang w:val="en-US" w:eastAsia="zh-CN"/>
              </w:rPr>
            </w:pPr>
            <w:r>
              <w:rPr>
                <w:rFonts w:hint="eastAsia" w:ascii="黑体" w:hAnsi="黑体" w:eastAsia="黑体" w:cs="黑体"/>
                <w:color w:val="000000"/>
                <w:sz w:val="21"/>
                <w:szCs w:val="21"/>
                <w:lang w:val="en-US" w:eastAsia="zh-CN"/>
              </w:rPr>
              <w:t>城市一刻钟便民生活圈。</w:t>
            </w:r>
            <w:r>
              <w:rPr>
                <w:rFonts w:hint="eastAsia" w:ascii="仿宋_GB2312" w:hAnsi="仿宋_GB2312" w:eastAsia="仿宋_GB2312" w:cs="仿宋_GB2312"/>
                <w:color w:val="000000"/>
                <w:sz w:val="21"/>
                <w:szCs w:val="21"/>
                <w:lang w:val="en-US" w:eastAsia="zh-CN"/>
              </w:rPr>
              <w:t>支持新建或改造提升集生鲜食品销售、餐饮、洗染等必备生活业态为一体，文旅服务、快递收发、便民缴费、居家养老、休闲娱乐等多业态融合，具备线上线下一体化平台运营功能的城市一刻钟便民生活圈项目建设。</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outlineLvl w:val="9"/>
              <w:rPr>
                <w:rFonts w:hint="eastAsia" w:ascii="仿宋_GB2312" w:hAnsi="仿宋_GB2312" w:eastAsia="仿宋_GB2312" w:cs="仿宋_GB2312"/>
                <w:color w:val="000000"/>
                <w:sz w:val="21"/>
                <w:szCs w:val="21"/>
                <w:lang w:val="en-US" w:eastAsia="zh-CN"/>
              </w:rPr>
            </w:pPr>
            <w:r>
              <w:rPr>
                <w:rFonts w:hint="eastAsia" w:ascii="黑体" w:hAnsi="黑体" w:eastAsia="黑体" w:cs="黑体"/>
                <w:color w:val="000000"/>
                <w:sz w:val="21"/>
                <w:szCs w:val="21"/>
                <w:lang w:val="en-US" w:eastAsia="zh-CN"/>
              </w:rPr>
              <w:t>农贸、农批市场。</w:t>
            </w:r>
            <w:r>
              <w:rPr>
                <w:rFonts w:hint="eastAsia" w:ascii="仿宋_GB2312" w:hAnsi="仿宋_GB2312" w:eastAsia="仿宋_GB2312" w:cs="仿宋_GB2312"/>
                <w:color w:val="000000"/>
                <w:sz w:val="21"/>
                <w:szCs w:val="21"/>
                <w:lang w:val="en-US" w:eastAsia="zh-CN"/>
              </w:rPr>
              <w:t>推动县城及重点乡镇农贸市场标准化建设，重点支持交易厅棚、检验检测、冷藏保鲜、卫生、安全和农产品供应链组织管理应用、“线上线下”融合发展、商品交易信息化、市场管理智慧化、运营监管数据化、产品信息可溯源等智能化市场的设施建设和提升改造；支持大型农产品批发市场冷链、质量安全可追溯、检验检测、环保、安全监控等建设和交易、仓储、加工、配送等经营设施的建设、改造以及现代供应链组织管理的应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outlineLvl w:val="9"/>
              <w:rPr>
                <w:rFonts w:hint="eastAsia" w:ascii="黑体" w:hAnsi="黑体" w:eastAsia="黑体" w:cs="黑体"/>
                <w:color w:val="000000"/>
                <w:sz w:val="21"/>
                <w:szCs w:val="21"/>
                <w:lang w:val="en-US" w:eastAsia="zh-CN"/>
              </w:rPr>
            </w:pPr>
            <w:r>
              <w:rPr>
                <w:rFonts w:hint="eastAsia" w:ascii="黑体" w:hAnsi="黑体" w:eastAsia="黑体" w:cs="黑体"/>
                <w:color w:val="000000"/>
                <w:sz w:val="21"/>
                <w:szCs w:val="21"/>
                <w:lang w:val="en-US" w:eastAsia="zh-CN"/>
              </w:rPr>
              <w:t>县域商业服务体系。</w:t>
            </w:r>
            <w:r>
              <w:rPr>
                <w:rFonts w:hint="eastAsia" w:ascii="仿宋_GB2312" w:hAnsi="仿宋_GB2312" w:eastAsia="仿宋_GB2312" w:cs="仿宋_GB2312"/>
                <w:color w:val="000000"/>
                <w:sz w:val="21"/>
                <w:szCs w:val="21"/>
                <w:lang w:val="en-US" w:eastAsia="zh-CN"/>
              </w:rPr>
              <w:t>支持大型流通企业在县城或重点镇新建或改造提升综合商贸服务中心和物流配送中心。支持邮政、快递、物流、商贸流通等企业开展市场化合作，实现统一仓储、分拣、运输、配送、揽件，建立完善农村物流共同配送服务规范和运营机制。基本实现县县有连锁商超、乡镇有商贸中心、村村通快递。</w:t>
            </w:r>
          </w:p>
        </w:tc>
      </w:tr>
    </w:tbl>
    <w:p>
      <w:pPr>
        <w:keepNext w:val="0"/>
        <w:keepLines w:val="0"/>
        <w:pageBreakBefore w:val="0"/>
        <w:numPr>
          <w:ilvl w:val="0"/>
          <w:numId w:val="0"/>
        </w:numPr>
        <w:kinsoku/>
        <w:overflowPunct/>
        <w:topLinePunct w:val="0"/>
        <w:autoSpaceDE/>
        <w:autoSpaceDN/>
        <w:bidi w:val="0"/>
        <w:adjustRightInd/>
        <w:snapToGrid/>
        <w:spacing w:line="580" w:lineRule="exact"/>
        <w:ind w:leftChars="0" w:firstLine="643" w:firstLineChars="200"/>
        <w:textAlignment w:val="auto"/>
        <w:outlineLvl w:val="1"/>
        <w:rPr>
          <w:rFonts w:hint="eastAsia" w:ascii="方正仿宋_GBK" w:hAnsi="方正仿宋_GBK" w:eastAsia="方正仿宋_GBK" w:cs="方正仿宋_GBK"/>
          <w:b/>
          <w:bCs/>
          <w:color w:val="000000"/>
          <w:kern w:val="2"/>
          <w:sz w:val="32"/>
          <w:szCs w:val="32"/>
          <w:lang w:val="en-US" w:eastAsia="zh-CN" w:bidi="ar-SA"/>
        </w:rPr>
      </w:pPr>
      <w:bookmarkStart w:id="23" w:name="_Toc13835"/>
      <w:r>
        <w:rPr>
          <w:rFonts w:hint="eastAsia" w:ascii="方正仿宋_GBK" w:hAnsi="方正仿宋_GBK" w:eastAsia="方正仿宋_GBK" w:cs="方正仿宋_GBK"/>
          <w:b/>
          <w:bCs/>
          <w:color w:val="000000"/>
          <w:kern w:val="2"/>
          <w:sz w:val="32"/>
          <w:szCs w:val="32"/>
          <w:lang w:val="en-US" w:eastAsia="zh-CN" w:bidi="ar-SA"/>
        </w:rPr>
        <w:t>（三）专业物流高质量发展</w:t>
      </w:r>
      <w:bookmarkEnd w:id="23"/>
      <w:r>
        <w:rPr>
          <w:rFonts w:hint="eastAsia" w:ascii="方正仿宋_GBK" w:hAnsi="方正仿宋_GBK" w:eastAsia="方正仿宋_GBK" w:cs="方正仿宋_GBK"/>
          <w:b/>
          <w:bCs/>
          <w:color w:val="000000"/>
          <w:kern w:val="2"/>
          <w:sz w:val="32"/>
          <w:szCs w:val="32"/>
          <w:lang w:val="en-US" w:eastAsia="zh-CN" w:bidi="ar-SA"/>
        </w:rPr>
        <w:t>工程</w:t>
      </w:r>
    </w:p>
    <w:p>
      <w:pPr>
        <w:pStyle w:val="2"/>
        <w:keepNext w:val="0"/>
        <w:keepLines w:val="0"/>
        <w:pageBreakBefore w:val="0"/>
        <w:widowControl w:val="0"/>
        <w:kinsoku/>
        <w:wordWrap/>
        <w:overflowPunct/>
        <w:topLinePunct w:val="0"/>
        <w:autoSpaceDE/>
        <w:autoSpaceDN/>
        <w:bidi w:val="0"/>
        <w:adjustRightInd/>
        <w:snapToGrid/>
        <w:spacing w:after="0" w:afterLines="0" w:line="580" w:lineRule="exact"/>
        <w:ind w:left="0" w:leftChars="0" w:firstLine="640" w:firstLineChars="200"/>
        <w:textAlignment w:val="auto"/>
        <w:outlineLvl w:val="9"/>
        <w:rPr>
          <w:rFonts w:hint="eastAsia" w:ascii="Times New Roman" w:hAnsi="Times New Roman" w:eastAsia="仿宋_GB2312" w:cs="Times New Roman"/>
          <w:b w:val="0"/>
          <w:bCs w:val="0"/>
          <w:color w:val="000000"/>
          <w:kern w:val="2"/>
          <w:sz w:val="32"/>
          <w:szCs w:val="32"/>
          <w:lang w:val="en-US" w:eastAsia="zh-CN" w:bidi="ar-SA"/>
        </w:rPr>
      </w:pPr>
      <w:r>
        <w:rPr>
          <w:rFonts w:hint="eastAsia" w:ascii="楷体" w:hAnsi="楷体" w:eastAsia="楷体" w:cs="楷体"/>
          <w:b w:val="0"/>
          <w:bCs w:val="0"/>
          <w:color w:val="000000"/>
          <w:kern w:val="2"/>
          <w:sz w:val="32"/>
          <w:szCs w:val="32"/>
          <w:lang w:val="en-US" w:eastAsia="zh-CN" w:bidi="ar-SA"/>
        </w:rPr>
        <w:t>推动快递物流转型升级。</w:t>
      </w:r>
      <w:r>
        <w:rPr>
          <w:rFonts w:hint="eastAsia" w:ascii="Times New Roman" w:hAnsi="Times New Roman" w:eastAsia="仿宋_GB2312" w:cs="Times New Roman"/>
          <w:b w:val="0"/>
          <w:bCs w:val="0"/>
          <w:color w:val="000000"/>
          <w:kern w:val="2"/>
          <w:sz w:val="32"/>
          <w:szCs w:val="32"/>
          <w:lang w:val="en-US" w:eastAsia="zh-CN" w:bidi="ar-SA"/>
        </w:rPr>
        <w:t>鼓励各类快递企业创新寄递服务模式，积极开展定制化、专属化、综合化寄递服务，提升高端服务供给能力，促进服务品牌化发展。加大供给侧创新力度，推动快运、冷链、即时递送、供应链管理等服务常态发展。深化交邮融合，鼓励客货邮资源共享，发展农村客运小件快运、农村货邮专线，引领构建“一点多能、一网多用”的农村运输服务网络。增强快递普惠化服务能力，构建以县级分拨中心、乡镇配送节点和村级公共服务站为基础的三级服务网络，支持骨干物流公司网点下沉实施，实施快递进村进厂“双进”工程。促进关中平原城市群、呼包鄂榆城市群和陕南地区实现快递服务协同化发展；支持西咸新区空港新城联合邮政快递企业建设西安邮政快递枢纽集群；加快宝鸡、榆林、汉中和渭南等地快递服务能力建设，推动西安都市圈快递服务一体化发展。</w:t>
      </w:r>
    </w:p>
    <w:tbl>
      <w:tblPr>
        <w:tblStyle w:val="11"/>
        <w:tblpPr w:leftFromText="180" w:rightFromText="180" w:vertAnchor="text" w:horzAnchor="page" w:tblpX="1983" w:tblpY="15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83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default" w:eastAsia="宋体"/>
                <w:sz w:val="24"/>
                <w:szCs w:val="24"/>
                <w:vertAlign w:val="baseline"/>
                <w:lang w:val="en-US" w:eastAsia="zh-CN"/>
              </w:rPr>
            </w:pPr>
            <w:r>
              <w:rPr>
                <w:rFonts w:hint="eastAsia" w:ascii="楷体" w:hAnsi="楷体" w:eastAsia="楷体" w:cs="楷体"/>
                <w:b w:val="0"/>
                <w:bCs w:val="0"/>
                <w:color w:val="000000"/>
                <w:sz w:val="28"/>
                <w:szCs w:val="28"/>
                <w:lang w:val="en-US" w:eastAsia="zh-CN"/>
              </w:rPr>
              <w:t>专栏7  快递业“双进”工程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3" w:hRule="atLeast"/>
        </w:trPr>
        <w:tc>
          <w:tcPr>
            <w:tcW w:w="832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outlineLvl w:val="9"/>
              <w:rPr>
                <w:rFonts w:hint="eastAsia" w:ascii="仿宋_GB2312" w:hAnsi="仿宋_GB2312" w:eastAsia="仿宋_GB2312" w:cs="仿宋_GB2312"/>
                <w:b w:val="0"/>
                <w:bCs w:val="0"/>
                <w:color w:val="000000"/>
                <w:sz w:val="21"/>
                <w:szCs w:val="21"/>
                <w:lang w:val="en-US" w:eastAsia="zh-CN"/>
              </w:rPr>
            </w:pPr>
            <w:r>
              <w:rPr>
                <w:rFonts w:hint="default" w:ascii="黑体" w:hAnsi="黑体" w:eastAsia="黑体" w:cs="黑体"/>
                <w:b w:val="0"/>
                <w:bCs w:val="0"/>
                <w:color w:val="000000"/>
                <w:sz w:val="21"/>
                <w:szCs w:val="21"/>
                <w:lang w:val="en" w:eastAsia="zh-CN"/>
              </w:rPr>
              <w:t xml:space="preserve">  </w:t>
            </w:r>
            <w:r>
              <w:rPr>
                <w:rFonts w:hint="eastAsia" w:ascii="黑体" w:hAnsi="黑体" w:eastAsia="黑体" w:cs="黑体"/>
                <w:b w:val="0"/>
                <w:bCs w:val="0"/>
                <w:color w:val="000000"/>
                <w:sz w:val="21"/>
                <w:szCs w:val="21"/>
                <w:lang w:val="en-US" w:eastAsia="zh-CN"/>
              </w:rPr>
              <w:t xml:space="preserve"> “快递进村”工程。</w:t>
            </w:r>
            <w:r>
              <w:rPr>
                <w:rFonts w:hint="eastAsia" w:ascii="仿宋_GB2312" w:hAnsi="仿宋_GB2312" w:eastAsia="仿宋_GB2312" w:cs="仿宋_GB2312"/>
                <w:b w:val="0"/>
                <w:bCs w:val="0"/>
                <w:color w:val="000000"/>
                <w:sz w:val="21"/>
                <w:szCs w:val="21"/>
                <w:lang w:val="en-US" w:eastAsia="zh-CN"/>
              </w:rPr>
              <w:t>加快农村快递服务网络建设，引导各类快递服务企业将快递服务网络与邮政普遍服务、交通运输、供销商贸、传统物流等资源融合发展，推动邮快合作、快快合作、交邮合作、快商合作等方式，提升农村网络深度。重点围绕全省农业</w:t>
            </w:r>
            <w:r>
              <w:rPr>
                <w:rFonts w:hint="eastAsia" w:ascii="仿宋_GB2312" w:hAnsi="仿宋_GB2312" w:eastAsia="仿宋_GB2312" w:cs="仿宋_GB2312"/>
                <w:color w:val="000000"/>
                <w:sz w:val="21"/>
                <w:szCs w:val="21"/>
                <w:lang w:val="en-US" w:eastAsia="zh-CN"/>
              </w:rPr>
              <w:t>“3+X”产业布局，</w:t>
            </w:r>
            <w:r>
              <w:rPr>
                <w:rFonts w:hint="eastAsia" w:ascii="仿宋_GB2312" w:hAnsi="仿宋_GB2312" w:eastAsia="仿宋_GB2312" w:cs="仿宋_GB2312"/>
                <w:b w:val="0"/>
                <w:bCs w:val="0"/>
                <w:color w:val="000000"/>
                <w:sz w:val="21"/>
                <w:szCs w:val="21"/>
                <w:lang w:val="en-US" w:eastAsia="zh-CN"/>
              </w:rPr>
              <w:t>在果蔬、茶叶、畜产品等特色农产品生产基地，加大村级快递网点、公共揽投站点快递配送点等末端设施建设。在物流枢纽城市近郊、经济基础较好的农村地区探索配置智能收投设施，在偏远地区引导开展无人机配送服务。</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jc w:val="left"/>
              <w:textAlignment w:val="auto"/>
              <w:outlineLvl w:val="9"/>
              <w:rPr>
                <w:rFonts w:hint="eastAsia" w:ascii="楷体" w:hAnsi="楷体" w:eastAsia="楷体" w:cs="楷体"/>
                <w:b w:val="0"/>
                <w:bCs w:val="0"/>
                <w:color w:val="000000"/>
                <w:sz w:val="28"/>
                <w:szCs w:val="28"/>
                <w:lang w:val="en-US" w:eastAsia="zh-CN"/>
              </w:rPr>
            </w:pPr>
            <w:r>
              <w:rPr>
                <w:rFonts w:hint="eastAsia" w:ascii="黑体" w:hAnsi="黑体" w:eastAsia="黑体" w:cs="黑体"/>
                <w:b w:val="0"/>
                <w:bCs w:val="0"/>
                <w:color w:val="000000"/>
                <w:sz w:val="21"/>
                <w:szCs w:val="21"/>
                <w:lang w:val="en-US" w:eastAsia="zh-CN"/>
              </w:rPr>
              <w:t>“快递进厂”工程。</w:t>
            </w:r>
            <w:r>
              <w:rPr>
                <w:rFonts w:hint="eastAsia" w:ascii="仿宋_GB2312" w:hAnsi="仿宋_GB2312" w:eastAsia="仿宋_GB2312" w:cs="仿宋_GB2312"/>
                <w:b w:val="0"/>
                <w:bCs w:val="0"/>
                <w:color w:val="000000"/>
                <w:sz w:val="21"/>
                <w:szCs w:val="21"/>
                <w:lang w:val="en-US" w:eastAsia="zh-CN"/>
              </w:rPr>
              <w:t>有效发挥邮政业的规模优势、网络优势、渠道优势、科技优势，增强先进制造业服务能力，聚焦能源化工、装备制造、新材料、生物医药、现代农业等支柱产业发展需求，着力培育10个快递与制造业深度融合典型项目，探索打造与制造业深度融合发展先行区。依托西安、宝鸡、榆林等国家和省级开发区，推动快递与制造业融合发展，提升物流集约服务能力。</w:t>
            </w:r>
          </w:p>
        </w:tc>
      </w:tr>
    </w:tbl>
    <w:p>
      <w:pPr>
        <w:pStyle w:val="2"/>
        <w:keepNext w:val="0"/>
        <w:keepLines w:val="0"/>
        <w:pageBreakBefore w:val="0"/>
        <w:widowControl w:val="0"/>
        <w:kinsoku/>
        <w:wordWrap/>
        <w:overflowPunct/>
        <w:topLinePunct w:val="0"/>
        <w:autoSpaceDE/>
        <w:autoSpaceDN/>
        <w:bidi w:val="0"/>
        <w:adjustRightInd/>
        <w:snapToGrid/>
        <w:spacing w:after="0" w:afterLines="0" w:line="580" w:lineRule="exact"/>
        <w:ind w:left="0" w:leftChars="0" w:firstLine="640" w:firstLineChars="200"/>
        <w:textAlignment w:val="auto"/>
        <w:outlineLvl w:val="9"/>
        <w:rPr>
          <w:rFonts w:hint="default" w:ascii="Times New Roman" w:hAnsi="Times New Roman" w:eastAsia="仿宋_GB2312" w:cs="Times New Roman"/>
          <w:b w:val="0"/>
          <w:bCs w:val="0"/>
          <w:color w:val="000000"/>
          <w:kern w:val="2"/>
          <w:sz w:val="32"/>
          <w:szCs w:val="32"/>
          <w:highlight w:val="yellow"/>
          <w:lang w:val="en-US" w:eastAsia="zh-CN" w:bidi="ar-SA"/>
        </w:rPr>
      </w:pPr>
      <w:r>
        <w:rPr>
          <w:rFonts w:hint="eastAsia" w:ascii="楷体" w:hAnsi="楷体" w:eastAsia="楷体" w:cs="楷体"/>
          <w:b w:val="0"/>
          <w:bCs w:val="0"/>
          <w:color w:val="000000"/>
          <w:kern w:val="2"/>
          <w:sz w:val="32"/>
          <w:szCs w:val="32"/>
          <w:lang w:val="en-US" w:eastAsia="zh-CN" w:bidi="ar-SA"/>
        </w:rPr>
        <w:t>完善大宗商品物流服务体系。</w:t>
      </w:r>
      <w:r>
        <w:rPr>
          <w:rFonts w:hint="eastAsia" w:ascii="Times New Roman" w:hAnsi="Times New Roman" w:eastAsia="仿宋_GB2312" w:cs="Times New Roman"/>
          <w:b w:val="0"/>
          <w:bCs w:val="0"/>
          <w:color w:val="000000"/>
          <w:kern w:val="2"/>
          <w:sz w:val="32"/>
          <w:szCs w:val="32"/>
          <w:lang w:val="en-US" w:eastAsia="zh-CN" w:bidi="ar-SA"/>
        </w:rPr>
        <w:t>依托产业集聚区、大宗资源性商品集散地、重要交通枢纽建设能化产品、工业品物流仓配节点、加工配送中心和大宗商品指定交割仓库，完善大宗商品仓储物流网络。统筹提高中长距离铁路货运通道能力，推动大宗商品中长距离“公转铁”运输结构调整，畅通煤炭、石油、有色金属、粮食等资源型大宗商品外运通道。加快大宗商品电子交易创新发展，促进全省能源资源产业结构优化升级和区域资源优化高效配置。谋划搭建“一带一路”综合能源跨境交易平台，推进“一带一路”能源转运中心、榆林大宗能化产品交易市场建设，支持榆林打造能化产品流通基地。依托镁、钼、钛等有色金属储量优势，探索在陕西自由贸易试验区建设国际大宗商品交易中心。</w:t>
      </w:r>
    </w:p>
    <w:p>
      <w:pPr>
        <w:pStyle w:val="34"/>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outlineLvl w:val="9"/>
        <w:rPr>
          <w:rFonts w:hint="eastAsia" w:ascii="Times New Roman" w:hAnsi="Times New Roman" w:eastAsia="仿宋_GB2312" w:cs="Times New Roman"/>
          <w:b w:val="0"/>
          <w:bCs w:val="0"/>
          <w:color w:val="000000"/>
          <w:kern w:val="2"/>
          <w:sz w:val="32"/>
          <w:szCs w:val="32"/>
          <w:lang w:val="en-US" w:eastAsia="zh-CN" w:bidi="ar-SA"/>
        </w:rPr>
      </w:pPr>
      <w:r>
        <w:rPr>
          <w:rFonts w:hint="eastAsia" w:ascii="楷体" w:hAnsi="楷体" w:eastAsia="楷体" w:cs="楷体"/>
          <w:b w:val="0"/>
          <w:bCs w:val="0"/>
          <w:color w:val="000000"/>
          <w:kern w:val="2"/>
          <w:sz w:val="32"/>
          <w:szCs w:val="32"/>
          <w:lang w:val="en-US" w:eastAsia="zh-CN" w:bidi="ar-SA"/>
        </w:rPr>
        <w:t>大力培育发展供应链金融。</w:t>
      </w:r>
      <w:r>
        <w:rPr>
          <w:rFonts w:hint="eastAsia" w:ascii="Times New Roman" w:hAnsi="Times New Roman" w:eastAsia="仿宋_GB2312" w:cs="Times New Roman"/>
          <w:b w:val="0"/>
          <w:bCs w:val="0"/>
          <w:color w:val="000000"/>
          <w:kern w:val="2"/>
          <w:sz w:val="32"/>
          <w:szCs w:val="32"/>
          <w:lang w:val="en-US" w:eastAsia="zh-CN" w:bidi="ar-SA"/>
        </w:rPr>
        <w:t>加强共享与合作，深化信息协同效应和科技赋能，推动供应链金融场景化和生态化，为产业链的市场竞争能力和延伸拓展能力提供支撑。支持银行等金融机构为产业链提供结算、融资和财务管理等系统化的综合解决方案，提高金融服务的整体性和协同性。支持核心企业、金融机构、第三方科技公司的大数据服务平台互联互通，明确各类平台接入标准和流程规则，完善供应链信息与票据信息的匹配，探索建立交易真实性甄别与监测预警机制。合理运用区块链、大数据、人工智能等新一代信息技术，持续加强供应链金融服务平台、信息系统等的安全保障、运行监控与应急处置能力，切实防范安全风险。</w:t>
      </w:r>
    </w:p>
    <w:p>
      <w:pPr>
        <w:keepNext w:val="0"/>
        <w:keepLines w:val="0"/>
        <w:pageBreakBefore w:val="0"/>
        <w:numPr>
          <w:ilvl w:val="0"/>
          <w:numId w:val="0"/>
        </w:numPr>
        <w:kinsoku/>
        <w:overflowPunct/>
        <w:topLinePunct w:val="0"/>
        <w:autoSpaceDE/>
        <w:autoSpaceDN/>
        <w:bidi w:val="0"/>
        <w:adjustRightInd/>
        <w:snapToGrid/>
        <w:spacing w:line="580" w:lineRule="exact"/>
        <w:ind w:leftChars="0" w:firstLine="643" w:firstLineChars="200"/>
        <w:textAlignment w:val="auto"/>
        <w:outlineLvl w:val="1"/>
        <w:rPr>
          <w:rFonts w:hint="eastAsia" w:ascii="方正仿宋_GBK" w:hAnsi="方正仿宋_GBK" w:eastAsia="方正仿宋_GBK" w:cs="方正仿宋_GBK"/>
          <w:b/>
          <w:bCs/>
          <w:color w:val="000000"/>
          <w:kern w:val="2"/>
          <w:sz w:val="32"/>
          <w:szCs w:val="32"/>
          <w:lang w:val="en-US" w:eastAsia="zh-CN" w:bidi="ar-SA"/>
        </w:rPr>
      </w:pPr>
      <w:bookmarkStart w:id="24" w:name="_Toc18622"/>
      <w:r>
        <w:rPr>
          <w:rFonts w:hint="eastAsia" w:ascii="方正仿宋_GBK" w:hAnsi="方正仿宋_GBK" w:eastAsia="方正仿宋_GBK" w:cs="方正仿宋_GBK"/>
          <w:b/>
          <w:bCs/>
          <w:color w:val="000000"/>
          <w:kern w:val="2"/>
          <w:sz w:val="32"/>
          <w:szCs w:val="32"/>
          <w:lang w:val="en-US" w:eastAsia="zh-CN" w:bidi="ar-SA"/>
        </w:rPr>
        <w:t>（四）现代供应链</w:t>
      </w:r>
      <w:bookmarkEnd w:id="24"/>
      <w:r>
        <w:rPr>
          <w:rFonts w:hint="eastAsia" w:ascii="方正仿宋_GBK" w:hAnsi="方正仿宋_GBK" w:eastAsia="方正仿宋_GBK" w:cs="方正仿宋_GBK"/>
          <w:b/>
          <w:bCs/>
          <w:color w:val="000000"/>
          <w:kern w:val="2"/>
          <w:sz w:val="32"/>
          <w:szCs w:val="32"/>
          <w:lang w:val="en-US" w:eastAsia="zh-CN" w:bidi="ar-SA"/>
        </w:rPr>
        <w:t>创新融合工程</w:t>
      </w:r>
    </w:p>
    <w:p>
      <w:pPr>
        <w:keepNext w:val="0"/>
        <w:keepLines w:val="0"/>
        <w:pageBreakBefore w:val="0"/>
        <w:numPr>
          <w:ilvl w:val="0"/>
          <w:numId w:val="0"/>
        </w:numPr>
        <w:kinsoku/>
        <w:overflowPunct/>
        <w:topLinePunct w:val="0"/>
        <w:autoSpaceDE/>
        <w:autoSpaceDN/>
        <w:bidi w:val="0"/>
        <w:adjustRightInd/>
        <w:snapToGrid/>
        <w:spacing w:line="580" w:lineRule="exact"/>
        <w:ind w:leftChars="0" w:firstLine="640" w:firstLineChars="200"/>
        <w:textAlignment w:val="auto"/>
        <w:outlineLvl w:val="9"/>
        <w:rPr>
          <w:rFonts w:hint="default"/>
          <w:lang w:val="en-US" w:eastAsia="zh-CN"/>
        </w:rPr>
      </w:pPr>
      <w:r>
        <w:rPr>
          <w:rFonts w:hint="eastAsia" w:ascii="楷体" w:hAnsi="楷体" w:eastAsia="楷体" w:cs="楷体"/>
          <w:b w:val="0"/>
          <w:bCs w:val="0"/>
          <w:color w:val="000000"/>
          <w:kern w:val="2"/>
          <w:sz w:val="32"/>
          <w:szCs w:val="32"/>
          <w:lang w:val="en-US" w:eastAsia="zh-CN" w:bidi="ar-SA"/>
        </w:rPr>
        <w:t>积极促进现代供应链发展。</w:t>
      </w:r>
      <w:r>
        <w:rPr>
          <w:rFonts w:hint="eastAsia" w:ascii="Times New Roman" w:hAnsi="Times New Roman" w:eastAsia="仿宋_GB2312" w:cs="Times New Roman"/>
          <w:b w:val="0"/>
          <w:bCs w:val="0"/>
          <w:color w:val="000000"/>
          <w:kern w:val="2"/>
          <w:sz w:val="32"/>
          <w:szCs w:val="32"/>
          <w:lang w:val="en-US" w:eastAsia="zh-CN" w:bidi="ar-SA"/>
        </w:rPr>
        <w:t>研究建立供应链中断风险监测、预警、应对工作机制，增强供应链弹性，加强产业链安全。引导现代供应链企业加大供应链数字化转型投入力度，推动供应链全流程业务上线上云上平台，提升供应链要素数据化和数据业务化水平，加强信息互联和数据共享，打造数字供应链和产业新生态圈。鼓励大中院校、科研院所、骨干企业开展供应链科技创新中心建设，加强现代供应链前沿技术、基础软件、先进模式等研究与推广。</w:t>
      </w:r>
    </w:p>
    <w:p>
      <w:pPr>
        <w:keepNext w:val="0"/>
        <w:keepLines w:val="0"/>
        <w:pageBreakBefore w:val="0"/>
        <w:numPr>
          <w:ilvl w:val="0"/>
          <w:numId w:val="0"/>
        </w:numPr>
        <w:kinsoku/>
        <w:overflowPunct/>
        <w:topLinePunct w:val="0"/>
        <w:autoSpaceDE/>
        <w:autoSpaceDN/>
        <w:bidi w:val="0"/>
        <w:adjustRightInd/>
        <w:snapToGrid/>
        <w:spacing w:line="580" w:lineRule="exact"/>
        <w:ind w:leftChars="0" w:firstLine="640" w:firstLineChars="200"/>
        <w:textAlignment w:val="auto"/>
        <w:outlineLvl w:val="9"/>
        <w:rPr>
          <w:rFonts w:hint="eastAsia" w:ascii="Times New Roman" w:hAnsi="Times New Roman" w:eastAsia="仿宋_GB2312" w:cs="Times New Roman"/>
          <w:b w:val="0"/>
          <w:bCs w:val="0"/>
          <w:color w:val="000000"/>
          <w:kern w:val="2"/>
          <w:sz w:val="32"/>
          <w:szCs w:val="32"/>
          <w:lang w:val="en-US" w:eastAsia="zh-CN" w:bidi="ar-SA"/>
        </w:rPr>
      </w:pPr>
      <w:r>
        <w:rPr>
          <w:rFonts w:hint="eastAsia" w:ascii="楷体" w:hAnsi="楷体" w:eastAsia="楷体" w:cs="楷体"/>
          <w:b w:val="0"/>
          <w:bCs w:val="0"/>
          <w:color w:val="000000"/>
          <w:kern w:val="2"/>
          <w:sz w:val="32"/>
          <w:szCs w:val="32"/>
          <w:lang w:val="en-US" w:eastAsia="zh-CN" w:bidi="ar-SA"/>
        </w:rPr>
        <w:t>推进现代供应链创新应用。</w:t>
      </w:r>
      <w:r>
        <w:rPr>
          <w:rFonts w:hint="eastAsia" w:ascii="Times New Roman" w:hAnsi="Times New Roman" w:eastAsia="仿宋_GB2312" w:cs="Times New Roman"/>
          <w:b w:val="0"/>
          <w:bCs w:val="0"/>
          <w:color w:val="000000"/>
          <w:kern w:val="2"/>
          <w:sz w:val="32"/>
          <w:szCs w:val="32"/>
          <w:lang w:val="en-US" w:eastAsia="zh-CN" w:bidi="ar-SA"/>
        </w:rPr>
        <w:t>推动供应链重大基础设施、服务平台建设和资源整合，培育壮大供应链企业，强化供应链在生产、消费组织中的纽带作用。促进现代物流与制造业融合发展，鼓励物流企业为制造企业提供供应链管理库存、线边物流、供应链一体化服务等个性化物流解决方案，大力发展以柔性化生产、资源高度共享为特征的现代供应链模式。推动物流企业与商贸企业共同打造一体化供应链服务平台，实现供需对接、集中采购、共同库存、支付结算、物流配送等功能集成，提高快速响应及资源共享能力。依托农产品电商、物流信息平台，推进产地与销地、市场线上线下融合发展，拓展安全检测、加工包装、统仓统配、溯源查询等功能，培育发展农产品供应链，完善基于农产品流大数据的产销对接机制，引导农产品规模种养殖。</w:t>
      </w:r>
    </w:p>
    <w:p>
      <w:pPr>
        <w:pStyle w:val="2"/>
        <w:keepNext w:val="0"/>
        <w:keepLines w:val="0"/>
        <w:pageBreakBefore w:val="0"/>
        <w:kinsoku/>
        <w:overflowPunct/>
        <w:topLinePunct w:val="0"/>
        <w:autoSpaceDE/>
        <w:autoSpaceDN/>
        <w:bidi w:val="0"/>
        <w:adjustRightInd/>
        <w:snapToGrid/>
        <w:spacing w:line="580" w:lineRule="exact"/>
        <w:ind w:left="0" w:leftChars="0" w:firstLine="640" w:firstLineChars="200"/>
        <w:textAlignment w:val="auto"/>
        <w:rPr>
          <w:rFonts w:hint="eastAsia" w:ascii="黑体" w:hAnsi="黑体" w:eastAsia="黑体" w:cs="黑体"/>
          <w:b w:val="0"/>
          <w:bCs w:val="0"/>
          <w:sz w:val="32"/>
          <w:szCs w:val="32"/>
          <w:lang w:val="en-US" w:eastAsia="zh-CN"/>
        </w:rPr>
      </w:pPr>
      <w:r>
        <w:rPr>
          <w:rFonts w:hint="eastAsia" w:ascii="楷体" w:hAnsi="楷体" w:eastAsia="楷体" w:cs="楷体"/>
          <w:b w:val="0"/>
          <w:bCs w:val="0"/>
          <w:color w:val="000000"/>
          <w:kern w:val="2"/>
          <w:sz w:val="32"/>
          <w:szCs w:val="32"/>
          <w:lang w:val="en-US" w:eastAsia="zh-CN" w:bidi="ar-SA"/>
        </w:rPr>
        <w:t>建设商贸物流供应链。</w:t>
      </w:r>
      <w:r>
        <w:rPr>
          <w:rFonts w:hint="eastAsia" w:ascii="Times New Roman" w:hAnsi="Times New Roman" w:eastAsia="仿宋_GB2312" w:cs="Times New Roman"/>
          <w:b w:val="0"/>
          <w:bCs w:val="0"/>
          <w:color w:val="000000"/>
          <w:kern w:val="2"/>
          <w:sz w:val="32"/>
          <w:szCs w:val="32"/>
          <w:lang w:val="en-US" w:eastAsia="zh-CN" w:bidi="ar-SA"/>
        </w:rPr>
        <w:t>支持商贸物流企业以实现供应链提质增效降本为目标，以统一标准体系、统一物流服务、统一采购管理、统一信息采集、统一系统平台为主要手段，对物流基础设施和设备进行数字化、智能化改造，通过推广现代物联网和互联网技术的应用，提升我省商贸物流业竞争力和服务水平。鼓励大型商贸企业在乡镇布点，推动农商旅文消费集聚。支持推动供应链上下游各环节设施设备衔接、数据交互顺畅、资源协同共享，促进资源要素跨区域流动和合理配置，提高商贸流通业国内国际双循环流通现代化、集约化水平。</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outlineLvl w:val="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六、保障措施</w:t>
      </w:r>
      <w:bookmarkEnd w:id="14"/>
      <w:bookmarkEnd w:id="20"/>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3" w:firstLineChars="200"/>
        <w:textAlignment w:val="auto"/>
        <w:outlineLvl w:val="1"/>
        <w:rPr>
          <w:rFonts w:hint="eastAsia" w:ascii="CESI仿宋-GB2312" w:hAnsi="CESI仿宋-GB2312" w:eastAsia="CESI仿宋-GB2312" w:cs="CESI仿宋-GB2312"/>
          <w:b/>
          <w:bCs/>
          <w:color w:val="000000"/>
          <w:kern w:val="2"/>
          <w:sz w:val="32"/>
          <w:szCs w:val="32"/>
          <w:lang w:val="en-US" w:eastAsia="zh-CN" w:bidi="ar-SA"/>
        </w:rPr>
      </w:pPr>
      <w:bookmarkStart w:id="25" w:name="_Toc11236"/>
      <w:bookmarkStart w:id="26" w:name="_Toc18911"/>
      <w:r>
        <w:rPr>
          <w:rFonts w:hint="eastAsia" w:ascii="CESI仿宋-GB2312" w:hAnsi="CESI仿宋-GB2312" w:eastAsia="CESI仿宋-GB2312" w:cs="CESI仿宋-GB2312"/>
          <w:b/>
          <w:bCs/>
          <w:color w:val="000000"/>
          <w:kern w:val="2"/>
          <w:sz w:val="32"/>
          <w:szCs w:val="32"/>
          <w:lang w:val="en-US" w:eastAsia="zh-CN" w:bidi="ar-SA"/>
        </w:rPr>
        <w:t>（一）</w:t>
      </w:r>
      <w:bookmarkEnd w:id="25"/>
      <w:r>
        <w:rPr>
          <w:rFonts w:hint="eastAsia" w:ascii="CESI仿宋-GB2312" w:hAnsi="CESI仿宋-GB2312" w:eastAsia="CESI仿宋-GB2312" w:cs="CESI仿宋-GB2312"/>
          <w:b/>
          <w:bCs/>
          <w:color w:val="000000"/>
          <w:kern w:val="2"/>
          <w:sz w:val="32"/>
          <w:szCs w:val="32"/>
          <w:lang w:val="en-US" w:eastAsia="zh-CN" w:bidi="ar-SA"/>
        </w:rPr>
        <w:t>加强组织协调</w:t>
      </w:r>
      <w:bookmarkEnd w:id="26"/>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0" w:firstLineChars="200"/>
        <w:textAlignment w:val="auto"/>
        <w:rPr>
          <w:rFonts w:hint="default" w:ascii="仿宋" w:hAnsi="仿宋" w:eastAsia="仿宋" w:cs="仿宋"/>
          <w:b/>
          <w:bCs/>
          <w:sz w:val="32"/>
          <w:szCs w:val="32"/>
          <w:lang w:val="en-US" w:eastAsia="zh-CN"/>
        </w:rPr>
      </w:pPr>
      <w:r>
        <w:rPr>
          <w:rFonts w:hint="eastAsia" w:ascii="Times New Roman" w:hAnsi="Times New Roman" w:eastAsia="仿宋_GB2312"/>
          <w:color w:val="000000"/>
          <w:kern w:val="2"/>
          <w:sz w:val="32"/>
          <w:szCs w:val="32"/>
          <w:lang w:eastAsia="zh-CN"/>
        </w:rPr>
        <w:t>深入贯彻落实党中央对现代物流体系建设的各项决策部署和政策方针，</w:t>
      </w:r>
      <w:r>
        <w:rPr>
          <w:rFonts w:hint="eastAsia" w:ascii="Times New Roman" w:hAnsi="Times New Roman" w:eastAsia="仿宋_GB2312"/>
          <w:color w:val="000000"/>
          <w:kern w:val="2"/>
          <w:sz w:val="32"/>
          <w:szCs w:val="32"/>
        </w:rPr>
        <w:t>进一步理顺物流管理</w:t>
      </w:r>
      <w:r>
        <w:rPr>
          <w:rFonts w:hint="eastAsia" w:ascii="Times New Roman" w:hAnsi="Times New Roman" w:eastAsia="仿宋_GB2312"/>
          <w:color w:val="000000"/>
          <w:kern w:val="2"/>
          <w:sz w:val="32"/>
          <w:szCs w:val="32"/>
          <w:lang w:eastAsia="zh-CN"/>
        </w:rPr>
        <w:t>体制机制</w:t>
      </w:r>
      <w:r>
        <w:rPr>
          <w:rFonts w:hint="eastAsia" w:ascii="Times New Roman" w:hAnsi="Times New Roman" w:eastAsia="仿宋_GB2312"/>
          <w:color w:val="000000"/>
          <w:kern w:val="2"/>
          <w:sz w:val="32"/>
          <w:szCs w:val="32"/>
        </w:rPr>
        <w:t>，充分发挥发改、交通、商务</w:t>
      </w:r>
      <w:r>
        <w:rPr>
          <w:rFonts w:hint="eastAsia" w:ascii="Times New Roman" w:hAnsi="Times New Roman" w:eastAsia="仿宋_GB2312"/>
          <w:color w:val="000000"/>
          <w:kern w:val="2"/>
          <w:sz w:val="32"/>
          <w:szCs w:val="32"/>
          <w:lang w:eastAsia="zh-CN"/>
        </w:rPr>
        <w:t>、</w:t>
      </w:r>
      <w:r>
        <w:rPr>
          <w:rFonts w:hint="eastAsia" w:ascii="Times New Roman" w:hAnsi="Times New Roman" w:eastAsia="仿宋_GB2312"/>
          <w:color w:val="000000"/>
          <w:kern w:val="2"/>
          <w:sz w:val="32"/>
          <w:szCs w:val="32"/>
          <w:lang w:val="en-US" w:eastAsia="zh-CN"/>
        </w:rPr>
        <w:t>工信、农业等部门</w:t>
      </w:r>
      <w:r>
        <w:rPr>
          <w:rFonts w:hint="eastAsia" w:ascii="Times New Roman" w:hAnsi="Times New Roman" w:eastAsia="仿宋_GB2312"/>
          <w:color w:val="000000"/>
          <w:kern w:val="2"/>
          <w:sz w:val="32"/>
          <w:szCs w:val="32"/>
        </w:rPr>
        <w:t>的职能作用，</w:t>
      </w:r>
      <w:r>
        <w:rPr>
          <w:rFonts w:hint="eastAsia" w:ascii="Times New Roman" w:hAnsi="Times New Roman" w:eastAsia="仿宋_GB2312"/>
          <w:color w:val="000000"/>
          <w:sz w:val="32"/>
          <w:szCs w:val="32"/>
          <w:lang w:eastAsia="zh-CN"/>
        </w:rPr>
        <w:t>增强统筹推进物流发展工作的协同性、系统性、整体性。</w:t>
      </w:r>
      <w:r>
        <w:rPr>
          <w:rFonts w:hint="eastAsia" w:ascii="Times New Roman" w:hAnsi="Times New Roman" w:eastAsia="仿宋_GB2312"/>
          <w:color w:val="000000"/>
          <w:kern w:val="2"/>
          <w:sz w:val="32"/>
          <w:szCs w:val="32"/>
        </w:rPr>
        <w:t>落实市（</w:t>
      </w:r>
      <w:r>
        <w:rPr>
          <w:rFonts w:hint="eastAsia" w:ascii="Times New Roman" w:hAnsi="Times New Roman" w:eastAsia="仿宋_GB2312"/>
          <w:color w:val="000000"/>
          <w:kern w:val="2"/>
          <w:sz w:val="32"/>
          <w:szCs w:val="32"/>
          <w:lang w:val="en-US" w:eastAsia="zh-CN"/>
        </w:rPr>
        <w:t>开发</w:t>
      </w:r>
      <w:r>
        <w:rPr>
          <w:rFonts w:hint="eastAsia" w:ascii="Times New Roman" w:hAnsi="Times New Roman" w:eastAsia="仿宋_GB2312"/>
          <w:color w:val="000000"/>
          <w:kern w:val="2"/>
          <w:sz w:val="32"/>
          <w:szCs w:val="32"/>
        </w:rPr>
        <w:t>区）为主体的</w:t>
      </w:r>
      <w:r>
        <w:rPr>
          <w:rFonts w:hint="eastAsia" w:ascii="Times New Roman" w:hAnsi="Times New Roman" w:eastAsia="仿宋_GB2312"/>
          <w:color w:val="000000"/>
          <w:kern w:val="2"/>
          <w:sz w:val="32"/>
          <w:szCs w:val="32"/>
          <w:lang w:val="en-US" w:eastAsia="zh-CN"/>
        </w:rPr>
        <w:t>发展</w:t>
      </w:r>
      <w:r>
        <w:rPr>
          <w:rFonts w:hint="eastAsia" w:ascii="Times New Roman" w:hAnsi="Times New Roman" w:eastAsia="仿宋_GB2312"/>
          <w:color w:val="000000"/>
          <w:kern w:val="2"/>
          <w:sz w:val="32"/>
          <w:szCs w:val="32"/>
        </w:rPr>
        <w:t>责任，建立健全政策实施、招商引资、物流统计与发布等工作机制和重大物流项目跟踪服务机制</w:t>
      </w:r>
      <w:r>
        <w:rPr>
          <w:rFonts w:ascii="Times New Roman" w:hAnsi="Times New Roman" w:eastAsia="仿宋_GB2312"/>
          <w:color w:val="000000"/>
          <w:kern w:val="2"/>
          <w:sz w:val="32"/>
          <w:szCs w:val="32"/>
        </w:rPr>
        <w:t>，形成信息沟通、政策研究与评估、重大问题协商的长效机制。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3" w:firstLineChars="200"/>
        <w:textAlignment w:val="auto"/>
        <w:outlineLvl w:val="1"/>
        <w:rPr>
          <w:rFonts w:hint="eastAsia" w:ascii="CESI仿宋-GB2312" w:hAnsi="CESI仿宋-GB2312" w:eastAsia="CESI仿宋-GB2312" w:cs="CESI仿宋-GB2312"/>
          <w:b/>
          <w:bCs/>
          <w:color w:val="000000"/>
          <w:kern w:val="2"/>
          <w:sz w:val="32"/>
          <w:szCs w:val="32"/>
          <w:lang w:val="en-US" w:eastAsia="zh-CN" w:bidi="ar-SA"/>
        </w:rPr>
      </w:pPr>
      <w:bookmarkStart w:id="27" w:name="_Toc10822"/>
      <w:bookmarkStart w:id="28" w:name="_Toc13256"/>
      <w:r>
        <w:rPr>
          <w:rFonts w:hint="eastAsia" w:ascii="CESI仿宋-GB2312" w:hAnsi="CESI仿宋-GB2312" w:eastAsia="CESI仿宋-GB2312" w:cs="CESI仿宋-GB2312"/>
          <w:b/>
          <w:bCs/>
          <w:color w:val="000000"/>
          <w:kern w:val="2"/>
          <w:sz w:val="32"/>
          <w:szCs w:val="32"/>
          <w:lang w:val="en-US" w:eastAsia="zh-CN" w:bidi="ar-SA"/>
        </w:rPr>
        <w:t>（二）强化项目支撑</w:t>
      </w:r>
      <w:bookmarkEnd w:id="27"/>
      <w:bookmarkEnd w:id="28"/>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加强省市联动、部门协同，</w:t>
      </w:r>
      <w:r>
        <w:rPr>
          <w:rFonts w:hint="eastAsia" w:ascii="Times New Roman" w:hAnsi="Times New Roman" w:eastAsia="仿宋_GB2312" w:cs="Times New Roman"/>
          <w:color w:val="000000"/>
          <w:sz w:val="32"/>
          <w:szCs w:val="32"/>
          <w:lang w:eastAsia="zh-CN"/>
        </w:rPr>
        <w:t>以关键领域、薄弱环节、重点工程为突破口，以财政引导资金、政府产业基金、地方政府专项债等为引领，撬动社会资本进入现代流通领域，</w:t>
      </w:r>
      <w:r>
        <w:rPr>
          <w:rFonts w:hint="eastAsia" w:ascii="Times New Roman" w:hAnsi="Times New Roman" w:eastAsia="仿宋_GB2312" w:cs="Times New Roman"/>
          <w:color w:val="000000"/>
          <w:sz w:val="32"/>
          <w:szCs w:val="32"/>
          <w:lang w:val="en-US" w:eastAsia="zh-CN"/>
        </w:rPr>
        <w:t>谋划引进、实施一批重大物流项目，</w:t>
      </w:r>
      <w:r>
        <w:rPr>
          <w:rFonts w:hint="eastAsia" w:ascii="Times New Roman" w:hAnsi="Times New Roman" w:eastAsia="仿宋_GB2312" w:cs="Times New Roman"/>
          <w:color w:val="000000"/>
          <w:sz w:val="32"/>
          <w:szCs w:val="32"/>
          <w:lang w:eastAsia="zh-CN"/>
        </w:rPr>
        <w:t>以项目建设推动规划落地实施。</w:t>
      </w:r>
      <w:r>
        <w:rPr>
          <w:rFonts w:hint="eastAsia" w:ascii="Times New Roman" w:hAnsi="Times New Roman" w:eastAsia="仿宋_GB2312" w:cs="Times New Roman"/>
          <w:color w:val="000000"/>
          <w:sz w:val="32"/>
          <w:szCs w:val="32"/>
          <w:lang w:val="en-US" w:eastAsia="zh-CN"/>
        </w:rPr>
        <w:t>对企业利用原有土地进行物流基础设施改造升级的，在办理规划许可、划拨用地转性等方面予以优先保障。建立省、市物流重大项目库，加强对入库项目服务保障和全程管理，切实发挥重大项目对产业规划实施的支撑作用。</w:t>
      </w:r>
      <w:bookmarkStart w:id="29" w:name="_Toc10043"/>
      <w:bookmarkStart w:id="30" w:name="_Toc1620"/>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3" w:firstLineChars="200"/>
        <w:textAlignment w:val="auto"/>
        <w:outlineLvl w:val="1"/>
        <w:rPr>
          <w:rFonts w:hint="eastAsia" w:ascii="CESI仿宋-GB2312" w:hAnsi="CESI仿宋-GB2312" w:eastAsia="CESI仿宋-GB2312" w:cs="CESI仿宋-GB2312"/>
          <w:b/>
          <w:bCs/>
          <w:color w:val="000000"/>
          <w:kern w:val="2"/>
          <w:sz w:val="32"/>
          <w:szCs w:val="32"/>
          <w:lang w:val="en-US" w:eastAsia="zh-CN" w:bidi="ar-SA"/>
        </w:rPr>
      </w:pPr>
      <w:r>
        <w:rPr>
          <w:rFonts w:hint="eastAsia" w:ascii="CESI仿宋-GB2312" w:hAnsi="CESI仿宋-GB2312" w:eastAsia="CESI仿宋-GB2312" w:cs="CESI仿宋-GB2312"/>
          <w:b/>
          <w:bCs/>
          <w:color w:val="000000"/>
          <w:kern w:val="2"/>
          <w:sz w:val="32"/>
          <w:szCs w:val="32"/>
          <w:lang w:val="en-US" w:eastAsia="zh-CN" w:bidi="ar-SA"/>
        </w:rPr>
        <w:t>（三）完善要素保障</w:t>
      </w:r>
      <w:bookmarkEnd w:id="29"/>
      <w:bookmarkEnd w:id="30"/>
    </w:p>
    <w:p>
      <w:pPr>
        <w:pStyle w:val="2"/>
        <w:keepNext w:val="0"/>
        <w:keepLines w:val="0"/>
        <w:pageBreakBefore w:val="0"/>
        <w:widowControl w:val="0"/>
        <w:numPr>
          <w:ilvl w:val="0"/>
          <w:numId w:val="0"/>
        </w:numPr>
        <w:kinsoku/>
        <w:wordWrap/>
        <w:overflowPunct/>
        <w:topLinePunct w:val="0"/>
        <w:autoSpaceDE/>
        <w:autoSpaceDN/>
        <w:bidi w:val="0"/>
        <w:adjustRightInd/>
        <w:snapToGrid/>
        <w:spacing w:after="0" w:afterLines="0" w:line="580" w:lineRule="exact"/>
        <w:ind w:firstLine="640" w:firstLineChars="200"/>
        <w:textAlignment w:val="auto"/>
        <w:rPr>
          <w:rFonts w:hint="eastAsia" w:eastAsia="仿宋_GB2312"/>
          <w:lang w:val="en-US" w:eastAsia="zh-CN"/>
        </w:rPr>
      </w:pPr>
      <w:r>
        <w:rPr>
          <w:rFonts w:hint="eastAsia" w:ascii="Times New Roman" w:hAnsi="Times New Roman" w:eastAsia="仿宋_GB2312"/>
          <w:color w:val="000000"/>
          <w:sz w:val="32"/>
          <w:szCs w:val="32"/>
          <w:lang w:eastAsia="zh-CN"/>
        </w:rPr>
        <w:t>完善物流设施用地规划，促进城市物流规划与国土空间规划的衔接，重点保障国家物流枢纽、骨干冷链物流基地等重大物流基础设施项目新增建设用地。鼓励市区政府盘活存量闲置土地资源用于物流设施建设。鼓励符合条件的金融机构或大型物流企业发起设立物流产业投资基金，支持省内重要节点物流设施建设。大力发展物流普惠金融，鼓励银行业金融机构对中小物流企业开展直接信贷业务。完善物流企业减免补偿机制、拓宽融资渠道，切实降低企业成本。</w:t>
      </w:r>
      <w:r>
        <w:rPr>
          <w:rFonts w:hint="eastAsia" w:ascii="Times New Roman" w:hAnsi="Times New Roman" w:eastAsia="仿宋_GB2312"/>
          <w:color w:val="auto"/>
          <w:sz w:val="32"/>
          <w:szCs w:val="32"/>
          <w:lang w:val="en-US" w:eastAsia="zh-CN"/>
        </w:rPr>
        <w:t>支持高等院校联合行业协会、物流企业、物流园区等开展产学研合作，联合培养符合现代物流发展需求的高层次专业化</w:t>
      </w:r>
      <w:r>
        <w:rPr>
          <w:rFonts w:hint="eastAsia" w:ascii="Times New Roman" w:hAnsi="Times New Roman" w:eastAsia="仿宋_GB2312"/>
          <w:color w:val="auto"/>
          <w:sz w:val="32"/>
          <w:szCs w:val="32"/>
        </w:rPr>
        <w:t>人才</w:t>
      </w:r>
      <w:r>
        <w:rPr>
          <w:rFonts w:hint="eastAsia" w:ascii="Times New Roman" w:hAnsi="Times New Roman" w:eastAsia="仿宋_GB2312"/>
          <w:color w:val="auto"/>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3" w:firstLineChars="200"/>
        <w:textAlignment w:val="auto"/>
        <w:outlineLvl w:val="1"/>
        <w:rPr>
          <w:rFonts w:hint="eastAsia" w:ascii="CESI仿宋-GB2312" w:hAnsi="CESI仿宋-GB2312" w:eastAsia="CESI仿宋-GB2312" w:cs="CESI仿宋-GB2312"/>
          <w:b/>
          <w:bCs/>
          <w:color w:val="000000"/>
          <w:kern w:val="2"/>
          <w:sz w:val="32"/>
          <w:szCs w:val="32"/>
          <w:lang w:val="en-US" w:eastAsia="zh-CN" w:bidi="ar-SA"/>
        </w:rPr>
      </w:pPr>
      <w:bookmarkStart w:id="31" w:name="_Toc11467"/>
      <w:bookmarkStart w:id="32" w:name="_Toc28349"/>
      <w:r>
        <w:rPr>
          <w:rFonts w:hint="eastAsia" w:ascii="CESI仿宋-GB2312" w:hAnsi="CESI仿宋-GB2312" w:eastAsia="CESI仿宋-GB2312" w:cs="CESI仿宋-GB2312"/>
          <w:b/>
          <w:bCs/>
          <w:color w:val="000000"/>
          <w:kern w:val="2"/>
          <w:sz w:val="32"/>
          <w:szCs w:val="32"/>
          <w:lang w:val="en-US" w:eastAsia="zh-CN" w:bidi="ar-SA"/>
        </w:rPr>
        <w:t>（四）健全标准体系</w:t>
      </w:r>
      <w:bookmarkEnd w:id="31"/>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outlineLvl w:val="9"/>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以服务“双循环”，高质量发展需求为导向，健全现代物流业标准体系，提升物流业标准化水平。支持行业协会、科研院所、高等院校和行业骨干企业研发制定符合我省物流业发展需求的行业标准。重点支持冷链物流、航空物流、保税物流、电商（快递）物流、数字供应链等领域的地方标准、行业标准和国家标准的研制推广。鼓励物流服务模式和技术创新，支持创新研究物流枢纽运行、空铁联运、公铁联运等综合交通枢纽建设指引及技术规范标准。</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Chars="0" w:firstLine="643" w:firstLineChars="200"/>
        <w:textAlignment w:val="auto"/>
        <w:outlineLvl w:val="1"/>
        <w:rPr>
          <w:rFonts w:hint="eastAsia" w:ascii="CESI仿宋-GB2312" w:hAnsi="CESI仿宋-GB2312" w:eastAsia="CESI仿宋-GB2312" w:cs="CESI仿宋-GB2312"/>
          <w:b/>
          <w:bCs/>
          <w:color w:val="000000"/>
          <w:kern w:val="2"/>
          <w:sz w:val="32"/>
          <w:szCs w:val="32"/>
          <w:lang w:val="en-US" w:eastAsia="zh-CN" w:bidi="ar-SA"/>
        </w:rPr>
      </w:pPr>
      <w:bookmarkStart w:id="33" w:name="_Toc12867"/>
      <w:r>
        <w:rPr>
          <w:rFonts w:hint="eastAsia" w:ascii="CESI仿宋-GB2312" w:hAnsi="CESI仿宋-GB2312" w:eastAsia="CESI仿宋-GB2312" w:cs="CESI仿宋-GB2312"/>
          <w:b/>
          <w:bCs/>
          <w:color w:val="000000"/>
          <w:kern w:val="2"/>
          <w:sz w:val="32"/>
          <w:szCs w:val="32"/>
          <w:lang w:val="en-US" w:eastAsia="zh-CN" w:bidi="ar-SA"/>
        </w:rPr>
        <w:t>（五）开展统计监测</w:t>
      </w:r>
      <w:bookmarkEnd w:id="32"/>
      <w:bookmarkEnd w:id="33"/>
    </w:p>
    <w:p>
      <w:pPr>
        <w:pStyle w:val="34"/>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40" w:firstLineChars="200"/>
        <w:textAlignment w:val="auto"/>
        <w:rPr>
          <w:rFonts w:hint="eastAsia" w:ascii="Times New Roman" w:hAnsi="Times New Roman" w:eastAsia="仿宋_GB2312"/>
          <w:color w:val="000000"/>
          <w:sz w:val="32"/>
          <w:szCs w:val="32"/>
          <w:lang w:val="en-US" w:eastAsia="zh-CN"/>
        </w:rPr>
      </w:pPr>
      <w:r>
        <w:rPr>
          <w:rFonts w:ascii="Times New Roman" w:hAnsi="Times New Roman" w:eastAsia="仿宋_GB2312"/>
          <w:color w:val="000000"/>
          <w:sz w:val="32"/>
          <w:szCs w:val="32"/>
        </w:rPr>
        <w:t>健全完善物流领域制度规范，营造公平有序、公开透明的</w:t>
      </w:r>
      <w:r>
        <w:rPr>
          <w:rFonts w:hint="eastAsia" w:ascii="Times New Roman" w:hAnsi="Times New Roman" w:eastAsia="仿宋_GB2312"/>
          <w:color w:val="000000"/>
          <w:sz w:val="32"/>
          <w:szCs w:val="32"/>
        </w:rPr>
        <w:t>营商</w:t>
      </w:r>
      <w:r>
        <w:rPr>
          <w:rFonts w:ascii="Times New Roman" w:hAnsi="Times New Roman" w:eastAsia="仿宋_GB2312"/>
          <w:color w:val="000000"/>
          <w:sz w:val="32"/>
          <w:szCs w:val="32"/>
        </w:rPr>
        <w:t>环境</w:t>
      </w:r>
      <w:r>
        <w:rPr>
          <w:rFonts w:hint="eastAsia" w:ascii="Times New Roman" w:hAnsi="Times New Roman" w:eastAsia="仿宋_GB2312"/>
          <w:color w:val="000000"/>
          <w:sz w:val="32"/>
          <w:szCs w:val="32"/>
          <w:lang w:eastAsia="zh-CN"/>
        </w:rPr>
        <w:t>。</w:t>
      </w:r>
      <w:r>
        <w:rPr>
          <w:rFonts w:ascii="Times New Roman" w:hAnsi="Times New Roman" w:eastAsia="仿宋_GB2312"/>
          <w:color w:val="000000"/>
          <w:sz w:val="32"/>
          <w:szCs w:val="32"/>
        </w:rPr>
        <w:t>利用物联网、互联网和大数据等技术完善物流市场事中事后监管，提高物流预警预测、运行监测、追踪追溯和公共服务能力。构建组织体系完善、调查方法科学、技术手段先进的现代物流统计和运行监测体系。</w:t>
      </w:r>
      <w:r>
        <w:rPr>
          <w:rFonts w:hint="eastAsia" w:ascii="Times New Roman" w:hAnsi="Times New Roman" w:eastAsia="仿宋_GB2312"/>
          <w:color w:val="000000"/>
          <w:sz w:val="32"/>
          <w:szCs w:val="32"/>
        </w:rPr>
        <w:t>对</w:t>
      </w:r>
      <w:r>
        <w:rPr>
          <w:rFonts w:hint="eastAsia" w:ascii="Times New Roman" w:hAnsi="Times New Roman" w:eastAsia="仿宋_GB2312"/>
          <w:color w:val="000000"/>
          <w:sz w:val="32"/>
          <w:szCs w:val="32"/>
          <w:lang w:val="en-US" w:eastAsia="zh-CN"/>
        </w:rPr>
        <w:t>列入国家和省级支持发展的</w:t>
      </w:r>
      <w:r>
        <w:rPr>
          <w:rFonts w:hint="eastAsia" w:ascii="Times New Roman" w:hAnsi="Times New Roman" w:eastAsia="仿宋_GB2312"/>
          <w:color w:val="000000"/>
          <w:sz w:val="32"/>
          <w:szCs w:val="32"/>
        </w:rPr>
        <w:t>重点</w:t>
      </w:r>
      <w:r>
        <w:rPr>
          <w:rFonts w:hint="eastAsia" w:ascii="Times New Roman" w:hAnsi="Times New Roman" w:eastAsia="仿宋_GB2312"/>
          <w:color w:val="000000"/>
          <w:sz w:val="32"/>
          <w:szCs w:val="32"/>
          <w:lang w:val="en-US" w:eastAsia="zh-CN"/>
        </w:rPr>
        <w:t>项目，</w:t>
      </w:r>
      <w:r>
        <w:rPr>
          <w:rFonts w:hint="eastAsia" w:ascii="Times New Roman" w:hAnsi="Times New Roman" w:eastAsia="仿宋_GB2312"/>
          <w:color w:val="000000"/>
          <w:sz w:val="32"/>
          <w:szCs w:val="32"/>
        </w:rPr>
        <w:t>定期进行专项督导服务</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适时开展实施效果第三方评估考核</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确保工作任务落实。</w:t>
      </w:r>
    </w:p>
    <w:sectPr>
      <w:footerReference r:id="rId5" w:type="default"/>
      <w:pgSz w:w="11906" w:h="16838"/>
      <w:pgMar w:top="1440" w:right="1800" w:bottom="1440" w:left="1800" w:header="851" w:footer="964" w:gutter="0"/>
      <w:pgBorders>
        <w:top w:val="none" w:sz="0" w:space="0"/>
        <w:left w:val="none" w:sz="0" w:space="0"/>
        <w:bottom w:val="none" w:sz="0" w:space="0"/>
        <w:right w:val="none" w:sz="0" w:space="0"/>
      </w:pgBorders>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ESI仿宋-GB2312">
    <w:altName w:val="宋体"/>
    <w:panose1 w:val="02000500000000000000"/>
    <w:charset w:val="86"/>
    <w:family w:val="auto"/>
    <w:pitch w:val="default"/>
    <w:sig w:usb0="800002AF" w:usb1="084F6CF8" w:usb2="00000010" w:usb3="00000000" w:csb0="0004000F" w:csb1="00000000"/>
  </w:font>
  <w:font w:name="方正仿宋_GBK">
    <w:altName w:val="宋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sz w:val="24"/>
                              <w:szCs w:val="24"/>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DOKJki3gEAAL4DAAAOAAAAAAAA&#10;AAEAIAAAAB4BAABkcnMvZTJvRG9jLnhtbFBLBQYAAAAABgAGAFkBAABuBQAAAAA=&#10;">
              <v:fill on="f" focussize="0,0"/>
              <v:stroke on="f"/>
              <v:imagedata o:title=""/>
              <o:lock v:ext="edit" aspectratio="f"/>
              <v:textbox inset="0mm,0mm,0mm,0mm" style="mso-fit-shape-to-text:t;">
                <w:txbxContent>
                  <w:p>
                    <w:pPr>
                      <w:pStyle w:val="6"/>
                      <w:rPr>
                        <w:rFonts w:hint="eastAsia" w:eastAsia="宋体"/>
                        <w:sz w:val="24"/>
                        <w:szCs w:val="24"/>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wps:txbx>
                    <wps:bodyPr vert="horz" wrap="none" lIns="0" tIns="0" rIns="0" bIns="0" anchor="t" anchorCtr="0" upright="0">
                      <a:spAutoFit/>
                    </wps:bodyPr>
                  </wps:wsp>
                </a:graphicData>
              </a:graphic>
            </wp:anchor>
          </w:drawing>
        </mc:Choice>
        <mc:Fallback>
          <w:pict>
            <v:shape id="文本框 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QSiza3gEAAL4DAAAOAAAAAAAA&#10;AAEAIAAAAB4BAABkcnMvZTJvRG9jLnhtbFBLBQYAAAAABgAGAFkBAABuBQAAAAA=&#10;">
              <v:fill on="f" focussize="0,0"/>
              <v:stroke on="f"/>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6</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tabs>
        <w:tab w:val="left" w:pos="6286"/>
        <w:tab w:val="clear" w:pos="4153"/>
      </w:tabs>
      <w:jc w:val="both"/>
      <w:rPr>
        <w:rFonts w:hint="default" w:eastAsia="宋体"/>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485F0E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uiPriority w:val="0"/>
  </w:style>
  <w:style w:type="table" w:default="1" w:styleId="11">
    <w:name w:val="Normal Table"/>
    <w:semiHidden/>
    <w:uiPriority w:val="0"/>
    <w:tblPr>
      <w:tblCellMar>
        <w:top w:w="0" w:type="dxa"/>
        <w:left w:w="108" w:type="dxa"/>
        <w:bottom w:w="0" w:type="dxa"/>
        <w:right w:w="108" w:type="dxa"/>
      </w:tblCellMar>
    </w:tblPr>
  </w:style>
  <w:style w:type="paragraph" w:styleId="2">
    <w:name w:val="Body Text First Indent"/>
    <w:basedOn w:val="3"/>
    <w:uiPriority w:val="0"/>
    <w:pPr>
      <w:spacing w:after="120" w:afterLines="0"/>
      <w:ind w:firstLine="420" w:firstLineChars="100"/>
      <w:jc w:val="both"/>
    </w:pPr>
    <w:rPr>
      <w:rFonts w:eastAsia="宋体"/>
      <w:sz w:val="21"/>
    </w:rPr>
  </w:style>
  <w:style w:type="paragraph" w:styleId="3">
    <w:name w:val="Body Text"/>
    <w:basedOn w:val="1"/>
    <w:uiPriority w:val="0"/>
    <w:pPr>
      <w:jc w:val="center"/>
    </w:pPr>
    <w:rPr>
      <w:rFonts w:eastAsia="仿宋_GB2312"/>
      <w:sz w:val="36"/>
    </w:rPr>
  </w:style>
  <w:style w:type="paragraph" w:styleId="4">
    <w:name w:val="annotation text"/>
    <w:basedOn w:val="1"/>
    <w:uiPriority w:val="0"/>
    <w:pPr>
      <w:jc w:val="left"/>
    </w:pPr>
  </w:style>
  <w:style w:type="paragraph" w:styleId="5">
    <w:name w:val="Block Text"/>
    <w:basedOn w:val="1"/>
    <w:uiPriority w:val="0"/>
    <w:pPr>
      <w:ind w:left="0" w:leftChars="0" w:right="0" w:rightChars="0"/>
    </w:pPr>
    <w:rPr>
      <w:rFonts w:ascii="仿宋" w:hAnsi="仿宋" w:eastAsia="仿宋"/>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toc 2"/>
    <w:basedOn w:val="1"/>
    <w:next w:val="1"/>
    <w:uiPriority w:val="0"/>
    <w:pPr>
      <w:ind w:left="420" w:leftChars="200"/>
    </w:pPr>
  </w:style>
  <w:style w:type="paragraph" w:styleId="10">
    <w:name w:val="Normal (Web)"/>
    <w:basedOn w:val="1"/>
    <w:uiPriority w:val="0"/>
    <w:pPr>
      <w:jc w:val="left"/>
    </w:pPr>
    <w:rPr>
      <w:rFonts w:ascii="Calibri" w:hAnsi="Calibri" w:eastAsia="宋体"/>
      <w:kern w:val="0"/>
      <w:sz w:val="24"/>
    </w:rPr>
  </w:style>
  <w:style w:type="character" w:styleId="13">
    <w:name w:val="Strong"/>
    <w:basedOn w:val="12"/>
    <w:uiPriority w:val="0"/>
    <w:rPr>
      <w:b/>
    </w:rPr>
  </w:style>
  <w:style w:type="character" w:styleId="14">
    <w:name w:val="FollowedHyperlink"/>
    <w:basedOn w:val="12"/>
    <w:uiPriority w:val="0"/>
    <w:rPr>
      <w:color w:val="333333"/>
      <w:u w:val="none"/>
    </w:rPr>
  </w:style>
  <w:style w:type="character" w:styleId="15">
    <w:name w:val="Emphasis"/>
    <w:basedOn w:val="12"/>
    <w:uiPriority w:val="0"/>
  </w:style>
  <w:style w:type="character" w:styleId="16">
    <w:name w:val="HTML Definition"/>
    <w:basedOn w:val="12"/>
    <w:uiPriority w:val="0"/>
  </w:style>
  <w:style w:type="character" w:styleId="17">
    <w:name w:val="HTML Acronym"/>
    <w:basedOn w:val="12"/>
    <w:uiPriority w:val="0"/>
  </w:style>
  <w:style w:type="character" w:styleId="18">
    <w:name w:val="HTML Variable"/>
    <w:basedOn w:val="12"/>
    <w:uiPriority w:val="0"/>
  </w:style>
  <w:style w:type="character" w:styleId="19">
    <w:name w:val="Hyperlink"/>
    <w:basedOn w:val="12"/>
    <w:uiPriority w:val="0"/>
    <w:rPr>
      <w:color w:val="333333"/>
      <w:u w:val="none"/>
    </w:rPr>
  </w:style>
  <w:style w:type="character" w:styleId="20">
    <w:name w:val="HTML Code"/>
    <w:basedOn w:val="12"/>
    <w:uiPriority w:val="0"/>
    <w:rPr>
      <w:rFonts w:hint="default" w:ascii="Consolas" w:hAnsi="Consolas" w:eastAsia="Consolas" w:cs="Consolas"/>
      <w:color w:val="E83E8C"/>
      <w:sz w:val="21"/>
      <w:szCs w:val="21"/>
    </w:rPr>
  </w:style>
  <w:style w:type="character" w:styleId="21">
    <w:name w:val="HTML Cite"/>
    <w:basedOn w:val="12"/>
    <w:uiPriority w:val="0"/>
  </w:style>
  <w:style w:type="character" w:styleId="22">
    <w:name w:val="HTML Keyboard"/>
    <w:basedOn w:val="12"/>
    <w:uiPriority w:val="0"/>
    <w:rPr>
      <w:rFonts w:ascii="Consolas" w:hAnsi="Consolas" w:eastAsia="Consolas" w:cs="Consolas"/>
      <w:color w:val="FFFFFF"/>
      <w:sz w:val="21"/>
      <w:szCs w:val="21"/>
      <w:shd w:val="clear" w:color="auto" w:fill="212529"/>
    </w:rPr>
  </w:style>
  <w:style w:type="character" w:styleId="23">
    <w:name w:val="HTML Sample"/>
    <w:basedOn w:val="12"/>
    <w:uiPriority w:val="0"/>
    <w:rPr>
      <w:rFonts w:hint="default" w:ascii="Consolas" w:hAnsi="Consolas" w:eastAsia="Consolas" w:cs="Consolas"/>
      <w:sz w:val="21"/>
      <w:szCs w:val="21"/>
    </w:rPr>
  </w:style>
  <w:style w:type="character" w:customStyle="1" w:styleId="24">
    <w:name w:val="right2"/>
    <w:basedOn w:val="12"/>
    <w:uiPriority w:val="0"/>
  </w:style>
  <w:style w:type="character" w:customStyle="1" w:styleId="25">
    <w:name w:val="page-link10"/>
    <w:basedOn w:val="12"/>
    <w:uiPriority w:val="0"/>
  </w:style>
  <w:style w:type="character" w:customStyle="1" w:styleId="26">
    <w:name w:val="font61"/>
    <w:basedOn w:val="12"/>
    <w:uiPriority w:val="0"/>
    <w:rPr>
      <w:rFonts w:hint="eastAsia" w:ascii="方正小标宋简体" w:hAnsi="方正小标宋简体" w:eastAsia="方正小标宋简体" w:cs="方正小标宋简体"/>
      <w:color w:val="000000"/>
      <w:sz w:val="24"/>
      <w:szCs w:val="24"/>
      <w:u w:val="none"/>
    </w:rPr>
  </w:style>
  <w:style w:type="character" w:customStyle="1" w:styleId="27">
    <w:name w:val="hover"/>
    <w:basedOn w:val="12"/>
    <w:uiPriority w:val="0"/>
  </w:style>
  <w:style w:type="character" w:customStyle="1" w:styleId="28">
    <w:name w:val="addthis_follow_label"/>
    <w:basedOn w:val="12"/>
    <w:uiPriority w:val="0"/>
    <w:rPr>
      <w:vanish/>
    </w:rPr>
  </w:style>
  <w:style w:type="character" w:customStyle="1" w:styleId="29">
    <w:name w:val="nth-child(3)"/>
    <w:basedOn w:val="12"/>
    <w:uiPriority w:val="0"/>
  </w:style>
  <w:style w:type="character" w:customStyle="1" w:styleId="30">
    <w:name w:val="font51"/>
    <w:basedOn w:val="12"/>
    <w:uiPriority w:val="0"/>
    <w:rPr>
      <w:rFonts w:ascii="仿宋_GB2312" w:eastAsia="仿宋_GB2312" w:cs="仿宋_GB2312"/>
      <w:color w:val="000000"/>
      <w:sz w:val="28"/>
      <w:szCs w:val="28"/>
      <w:u w:val="none"/>
    </w:rPr>
  </w:style>
  <w:style w:type="character" w:customStyle="1" w:styleId="31">
    <w:name w:val="hover1"/>
    <w:basedOn w:val="12"/>
    <w:uiPriority w:val="0"/>
  </w:style>
  <w:style w:type="character" w:customStyle="1" w:styleId="32">
    <w:name w:val="ellipsis"/>
    <w:basedOn w:val="12"/>
    <w:uiPriority w:val="0"/>
    <w:rPr>
      <w:color w:val="999999"/>
    </w:rPr>
  </w:style>
  <w:style w:type="paragraph" w:customStyle="1" w:styleId="33">
    <w:name w:val="正文缩进1"/>
    <w:basedOn w:val="1"/>
    <w:uiPriority w:val="0"/>
    <w:pPr>
      <w:ind w:firstLine="200" w:firstLineChars="200"/>
    </w:pPr>
    <w:rPr>
      <w:rFonts w:eastAsia="楷体_GB2312"/>
    </w:rPr>
  </w:style>
  <w:style w:type="paragraph" w:customStyle="1" w:styleId="34">
    <w:name w:val="样式 文字 + 首行缩进:  2 字符3"/>
    <w:basedOn w:val="1"/>
    <w:uiPriority w:val="0"/>
    <w:pPr>
      <w:spacing w:line="360" w:lineRule="auto"/>
      <w:jc w:val="left"/>
    </w:pPr>
    <w:rPr>
      <w:sz w:val="28"/>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15238</Words>
  <Characters>15498</Characters>
  <Lines>0</Lines>
  <Paragraphs>0</Paragraphs>
  <TotalTime>19.3333333333333</TotalTime>
  <ScaleCrop>false</ScaleCrop>
  <LinksUpToDate>false</LinksUpToDate>
  <CharactersWithSpaces>15770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2021-01-20T04:16:33Z</dcterms:created>
  <dc:creator>lenovo</dc:creator>
  <cp:lastModifiedBy>许文宇</cp:lastModifiedBy>
  <cp:lastPrinted>2021-10-30T00:52:49Z</cp:lastPrinted>
  <dcterms:modified xsi:type="dcterms:W3CDTF">2021-11-09T09:52:27Z</dcterms:modified>
  <dc:title>陕西省“十四五”</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8EB0264FD61B470781D77BB2C6173EBA</vt:lpwstr>
  </property>
</Properties>
</file>