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方正小标宋简体" w:hAnsi="方正小标宋简体" w:eastAsia="方正小标宋简体" w:cs="方正小标宋简体"/>
          <w:sz w:val="44"/>
          <w:szCs w:val="44"/>
          <w:lang w:eastAsia="zh-CN"/>
        </w:rPr>
      </w:pP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陕西省营商环境创新示范区</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创建活动工作方案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营商环境创新示范区创建活动是贯彻落实省委、省政府优化营商环境决策部署的重要抓手。为</w:t>
      </w:r>
      <w:r>
        <w:rPr>
          <w:rFonts w:hint="eastAsia" w:ascii="仿宋_GB2312" w:eastAsia="仿宋_GB2312"/>
          <w:color w:val="auto"/>
          <w:sz w:val="32"/>
          <w:szCs w:val="32"/>
        </w:rPr>
        <w:t>充分发挥先进地区示范引领作用，激发</w:t>
      </w:r>
      <w:r>
        <w:rPr>
          <w:rFonts w:hint="eastAsia" w:ascii="仿宋_GB2312" w:eastAsia="仿宋_GB2312"/>
          <w:color w:val="auto"/>
          <w:sz w:val="32"/>
          <w:szCs w:val="32"/>
          <w:lang w:eastAsia="zh-CN"/>
        </w:rPr>
        <w:t>各市县（区、市）优化营商环境工作</w:t>
      </w:r>
      <w:r>
        <w:rPr>
          <w:rFonts w:hint="eastAsia" w:ascii="仿宋_GB2312" w:eastAsia="仿宋_GB2312"/>
          <w:color w:val="auto"/>
          <w:sz w:val="32"/>
          <w:szCs w:val="32"/>
        </w:rPr>
        <w:t>的积极性、主动性和创造</w:t>
      </w:r>
      <w:r>
        <w:rPr>
          <w:rFonts w:hint="eastAsia" w:ascii="仿宋_GB2312" w:eastAsia="仿宋_GB2312"/>
          <w:color w:val="auto"/>
          <w:sz w:val="32"/>
          <w:szCs w:val="32"/>
          <w:lang w:eastAsia="zh-CN"/>
        </w:rPr>
        <w:t>性</w:t>
      </w:r>
      <w:r>
        <w:rPr>
          <w:rFonts w:hint="eastAsia" w:ascii="仿宋_GB2312" w:eastAsia="仿宋_GB2312"/>
          <w:color w:val="auto"/>
          <w:sz w:val="32"/>
          <w:szCs w:val="32"/>
        </w:rPr>
        <w:t>，</w:t>
      </w:r>
      <w:r>
        <w:rPr>
          <w:rFonts w:hint="eastAsia" w:ascii="仿宋_GB2312" w:eastAsia="仿宋_GB2312"/>
          <w:color w:val="auto"/>
          <w:sz w:val="32"/>
          <w:szCs w:val="32"/>
          <w:lang w:eastAsia="zh-CN"/>
        </w:rPr>
        <w:t>总结推广好的做法，复制推广借鉴国家和全省推出的典型经验做法，</w:t>
      </w:r>
      <w:r>
        <w:rPr>
          <w:rFonts w:hint="eastAsia" w:ascii="仿宋_GB2312" w:hAnsi="仿宋_GB2312" w:eastAsia="仿宋_GB2312" w:cs="仿宋_GB2312"/>
          <w:sz w:val="32"/>
          <w:szCs w:val="32"/>
          <w:lang w:val="en-US" w:eastAsia="zh-CN"/>
        </w:rPr>
        <w:t>营造勤于学习、勇于改革、善于创新的良好氛围，按照省委《关于凝心聚力埋头苦干奋力谱写陕西新时代追赶超越新篇章的意见》“建设一批营商环境创新示范区”的工作要求，根据《陕西省评比达标表彰工作协调小组办公室关于进一步规范创建示范活动管理工作的通知》精神，省发展改革委决定在全省开展营商环境创新示范区创建活动，特制定本工作方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一、总体要求</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rPr>
        <w:t>以习近平新时代中国特色社会主义思想为指导，</w:t>
      </w:r>
      <w:r>
        <w:rPr>
          <w:rFonts w:hint="eastAsia" w:ascii="仿宋_GB2312" w:eastAsia="仿宋_GB2312"/>
          <w:color w:val="auto"/>
          <w:sz w:val="32"/>
          <w:szCs w:val="32"/>
          <w:lang w:eastAsia="zh-CN"/>
        </w:rPr>
        <w:t>贯彻落实</w:t>
      </w:r>
      <w:r>
        <w:rPr>
          <w:rFonts w:hint="eastAsia" w:ascii="仿宋_GB2312" w:eastAsia="仿宋_GB2312"/>
          <w:color w:val="auto"/>
          <w:sz w:val="32"/>
          <w:szCs w:val="32"/>
        </w:rPr>
        <w:t>党中央、国务院和省委、省政府</w:t>
      </w:r>
      <w:r>
        <w:rPr>
          <w:rFonts w:hint="eastAsia" w:ascii="仿宋_GB2312" w:eastAsia="仿宋_GB2312"/>
          <w:color w:val="auto"/>
          <w:sz w:val="32"/>
          <w:szCs w:val="32"/>
          <w:lang w:eastAsia="zh-CN"/>
        </w:rPr>
        <w:t>优化营商环境</w:t>
      </w:r>
      <w:r>
        <w:rPr>
          <w:rFonts w:hint="eastAsia" w:ascii="仿宋_GB2312" w:eastAsia="仿宋_GB2312"/>
          <w:color w:val="auto"/>
          <w:sz w:val="32"/>
          <w:szCs w:val="32"/>
        </w:rPr>
        <w:t>决策部署，</w:t>
      </w:r>
      <w:r>
        <w:rPr>
          <w:rFonts w:hint="eastAsia" w:ascii="仿宋_GB2312" w:eastAsia="仿宋_GB2312"/>
          <w:color w:val="auto"/>
          <w:sz w:val="32"/>
          <w:szCs w:val="32"/>
          <w:lang w:eastAsia="zh-CN"/>
        </w:rPr>
        <w:t>解放思想、改革创新，以打造市场化法治化国际化营商环境为目标，以创新引领、示范带动为主题，围绕营商环境重点领域加大改革创新力度，加强典型经验复制推广借鉴，发挥标杆引领示范作用，推动企业群众办事时间持续压减、满意度持续提升、体验感持续向好，打造一批具有陕西特色的营商环境创新示范区，引领全省营商环境持续优化，为全省经济社会高质量发展提供坚实保障。</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目标任务</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40" w:firstLineChars="200"/>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eastAsia="zh-CN"/>
        </w:rPr>
        <w:t>通过典型示范，促进各地政府更加重视优化营商环境工作，部门间协调配合更加有力，工作机制和组织建设不断加强，“人人都是营商环境”的良好氛围加快形成；推动《陕西省优化营商环境条例》《优化营商环境三年行动计划》深入实施，覆盖企业全生命周期的服务体系加快建立；促进营商环境重点领域改革持续深化，国家和全省推出的典型经验做法得到有效推广，部分领域改革成为全省、全国标杆，创新创业创造活力不断释放，营商环境成为各地新的竞争力</w:t>
      </w:r>
      <w:r>
        <w:rPr>
          <w:rFonts w:hint="eastAsia" w:ascii="仿宋_GB2312" w:eastAsia="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40" w:firstLineChars="200"/>
        <w:textAlignment w:val="auto"/>
        <w:outlineLvl w:val="9"/>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三、创建程序</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default" w:ascii="仿宋_GB2312" w:eastAsia="仿宋_GB2312"/>
          <w:color w:val="FF0000"/>
          <w:sz w:val="32"/>
          <w:szCs w:val="32"/>
          <w:lang w:val="en-US" w:eastAsia="zh-CN"/>
        </w:rPr>
      </w:pPr>
      <w:r>
        <w:rPr>
          <w:rFonts w:hint="eastAsia" w:ascii="仿宋_GB2312" w:eastAsia="仿宋_GB2312"/>
          <w:color w:val="auto"/>
          <w:sz w:val="32"/>
          <w:szCs w:val="32"/>
          <w:lang w:eastAsia="zh-CN"/>
        </w:rPr>
        <w:t>全省营商环境创新示范区创建主体为各县（区、市），省级以上开发区（含自贸区）。西安市可推荐</w:t>
      </w:r>
      <w:r>
        <w:rPr>
          <w:rFonts w:hint="eastAsia" w:ascii="仿宋_GB2312" w:eastAsia="仿宋_GB2312"/>
          <w:color w:val="auto"/>
          <w:sz w:val="32"/>
          <w:szCs w:val="32"/>
          <w:lang w:val="en-US" w:eastAsia="zh-CN"/>
        </w:rPr>
        <w:t>8家（含西咸新区），杨凌示范区、韩城市可推荐1家，其他设区市可推荐4家。省发展改革委</w:t>
      </w:r>
      <w:r>
        <w:rPr>
          <w:rFonts w:hint="eastAsia" w:ascii="仿宋_GB2312" w:eastAsia="仿宋_GB2312"/>
          <w:color w:val="auto"/>
          <w:sz w:val="32"/>
          <w:szCs w:val="32"/>
          <w:lang w:eastAsia="zh-CN"/>
        </w:rPr>
        <w:t>对入选的县（区、市）、开发区进行授牌，并在全省营商环境评价中予以适当加分。各县（区、市）、开发区可在其政务服务中心、市民大厅、税务大厅等企业群众经常办事的场所进行挂牌。</w:t>
      </w:r>
    </w:p>
    <w:p>
      <w:pPr>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_GB2312" w:eastAsia="仿宋_GB2312"/>
          <w:color w:val="auto"/>
          <w:sz w:val="32"/>
          <w:szCs w:val="32"/>
        </w:rPr>
      </w:pPr>
      <w:r>
        <w:rPr>
          <w:rFonts w:hint="eastAsia" w:ascii="楷体" w:hAnsi="楷体" w:eastAsia="楷体"/>
          <w:color w:val="auto"/>
          <w:sz w:val="32"/>
          <w:szCs w:val="32"/>
          <w:lang w:eastAsia="zh-CN"/>
        </w:rPr>
        <w:t>县区</w:t>
      </w:r>
      <w:r>
        <w:rPr>
          <w:rFonts w:hint="eastAsia" w:ascii="楷体" w:hAnsi="楷体" w:eastAsia="楷体"/>
          <w:color w:val="auto"/>
          <w:sz w:val="32"/>
          <w:szCs w:val="32"/>
        </w:rPr>
        <w:t>申报。</w:t>
      </w:r>
      <w:r>
        <w:rPr>
          <w:rFonts w:hint="eastAsia" w:ascii="仿宋_GB2312" w:eastAsia="仿宋_GB2312"/>
          <w:color w:val="auto"/>
          <w:sz w:val="32"/>
          <w:szCs w:val="32"/>
        </w:rPr>
        <w:t>各县</w:t>
      </w:r>
      <w:r>
        <w:rPr>
          <w:rFonts w:hint="eastAsia" w:ascii="仿宋_GB2312" w:eastAsia="仿宋_GB2312"/>
          <w:color w:val="auto"/>
          <w:sz w:val="32"/>
          <w:szCs w:val="32"/>
          <w:lang w:eastAsia="zh-CN"/>
        </w:rPr>
        <w:t>（</w:t>
      </w:r>
      <w:r>
        <w:rPr>
          <w:rFonts w:hint="eastAsia" w:ascii="仿宋_GB2312" w:hAnsi="仿宋" w:eastAsia="仿宋_GB2312"/>
          <w:color w:val="auto"/>
          <w:sz w:val="32"/>
          <w:szCs w:val="32"/>
        </w:rPr>
        <w:t>区</w:t>
      </w:r>
      <w:r>
        <w:rPr>
          <w:rFonts w:hint="eastAsia" w:ascii="仿宋_GB2312" w:hAnsi="仿宋" w:eastAsia="仿宋_GB2312"/>
          <w:color w:val="auto"/>
          <w:sz w:val="32"/>
          <w:szCs w:val="32"/>
          <w:lang w:eastAsia="zh-CN"/>
        </w:rPr>
        <w:t>、市</w:t>
      </w:r>
      <w:r>
        <w:rPr>
          <w:rFonts w:hint="eastAsia" w:ascii="仿宋_GB2312" w:eastAsia="仿宋_GB2312"/>
          <w:color w:val="auto"/>
          <w:sz w:val="32"/>
          <w:szCs w:val="32"/>
          <w:lang w:eastAsia="zh-CN"/>
        </w:rPr>
        <w:t>）</w:t>
      </w:r>
      <w:r>
        <w:rPr>
          <w:rFonts w:hint="eastAsia" w:ascii="仿宋_GB2312" w:eastAsia="仿宋_GB2312"/>
          <w:color w:val="auto"/>
          <w:sz w:val="32"/>
          <w:szCs w:val="32"/>
        </w:rPr>
        <w:t>、开发区于</w:t>
      </w:r>
      <w:r>
        <w:rPr>
          <w:rFonts w:hint="eastAsia" w:ascii="仿宋_GB2312" w:eastAsia="仿宋_GB2312"/>
          <w:color w:val="auto"/>
          <w:sz w:val="32"/>
          <w:szCs w:val="32"/>
          <w:lang w:eastAsia="zh-CN"/>
        </w:rPr>
        <w:t>开展活动当年</w:t>
      </w:r>
      <w:r>
        <w:rPr>
          <w:rFonts w:hint="eastAsia" w:ascii="仿宋_GB2312" w:eastAsia="仿宋_GB2312"/>
          <w:color w:val="auto"/>
          <w:sz w:val="32"/>
          <w:szCs w:val="32"/>
          <w:lang w:val="en-US" w:eastAsia="zh-CN"/>
        </w:rPr>
        <w:t>7</w:t>
      </w:r>
      <w:r>
        <w:rPr>
          <w:rFonts w:hint="eastAsia" w:ascii="仿宋_GB2312" w:eastAsia="仿宋_GB2312"/>
          <w:color w:val="auto"/>
          <w:sz w:val="32"/>
          <w:szCs w:val="32"/>
        </w:rPr>
        <w:t>月底前向本市</w:t>
      </w:r>
      <w:r>
        <w:rPr>
          <w:rFonts w:hint="eastAsia" w:ascii="仿宋_GB2312" w:eastAsia="仿宋_GB2312"/>
          <w:color w:val="auto"/>
          <w:sz w:val="32"/>
          <w:szCs w:val="32"/>
          <w:lang w:eastAsia="zh-CN"/>
        </w:rPr>
        <w:t>区营商办自愿</w:t>
      </w:r>
      <w:r>
        <w:rPr>
          <w:rFonts w:hint="eastAsia" w:ascii="仿宋_GB2312" w:eastAsia="仿宋_GB2312"/>
          <w:color w:val="auto"/>
          <w:sz w:val="32"/>
          <w:szCs w:val="32"/>
        </w:rPr>
        <w:t>申报，填写《陕西省</w:t>
      </w:r>
      <w:r>
        <w:rPr>
          <w:rFonts w:hint="eastAsia" w:ascii="仿宋_GB2312" w:eastAsia="仿宋_GB2312"/>
          <w:color w:val="auto"/>
          <w:sz w:val="32"/>
          <w:szCs w:val="32"/>
          <w:lang w:eastAsia="zh-CN"/>
        </w:rPr>
        <w:t>营商环境创新示范区</w:t>
      </w:r>
      <w:r>
        <w:rPr>
          <w:rFonts w:hint="eastAsia" w:ascii="仿宋_GB2312" w:eastAsia="仿宋_GB2312"/>
          <w:color w:val="auto"/>
          <w:sz w:val="32"/>
          <w:szCs w:val="32"/>
        </w:rPr>
        <w:t>申报表》</w:t>
      </w:r>
      <w:r>
        <w:rPr>
          <w:rFonts w:hint="eastAsia" w:ascii="仿宋_GB2312" w:eastAsia="仿宋_GB2312"/>
          <w:color w:val="auto"/>
          <w:sz w:val="32"/>
          <w:szCs w:val="32"/>
          <w:lang w:eastAsia="zh-CN"/>
        </w:rPr>
        <w:t>（见附件</w:t>
      </w: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w:t>
      </w:r>
      <w:r>
        <w:rPr>
          <w:rFonts w:hint="eastAsia" w:ascii="仿宋_GB2312" w:eastAsia="仿宋_GB2312"/>
          <w:color w:val="auto"/>
          <w:sz w:val="32"/>
          <w:szCs w:val="32"/>
        </w:rPr>
        <w:t>，并提交</w:t>
      </w:r>
      <w:r>
        <w:rPr>
          <w:rFonts w:hint="eastAsia" w:ascii="仿宋_GB2312" w:eastAsia="仿宋_GB2312"/>
          <w:color w:val="auto"/>
          <w:sz w:val="32"/>
          <w:szCs w:val="32"/>
          <w:lang w:eastAsia="zh-CN"/>
        </w:rPr>
        <w:t>营商环境创新示范区创建工作方案（见附件</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w:t>
      </w:r>
      <w:r>
        <w:rPr>
          <w:rFonts w:hint="eastAsia" w:ascii="仿宋_GB2312" w:eastAsia="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40" w:firstLineChars="200"/>
        <w:textAlignment w:val="auto"/>
        <w:outlineLvl w:val="9"/>
        <w:rPr>
          <w:rFonts w:ascii="仿宋_GB2312" w:eastAsia="仿宋_GB2312"/>
          <w:color w:val="auto"/>
          <w:sz w:val="32"/>
          <w:szCs w:val="32"/>
        </w:rPr>
      </w:pPr>
      <w:r>
        <w:rPr>
          <w:rFonts w:hint="eastAsia" w:ascii="楷体_GB2312" w:hAnsi="楷体_GB2312" w:eastAsia="楷体_GB2312" w:cs="楷体_GB2312"/>
          <w:color w:val="auto"/>
          <w:sz w:val="32"/>
          <w:szCs w:val="32"/>
          <w:lang w:eastAsia="zh-CN"/>
        </w:rPr>
        <w:t>（二）市级推荐。</w:t>
      </w:r>
      <w:r>
        <w:rPr>
          <w:rFonts w:hint="eastAsia" w:ascii="仿宋_GB2312" w:eastAsia="仿宋_GB2312"/>
          <w:color w:val="auto"/>
          <w:sz w:val="32"/>
          <w:szCs w:val="32"/>
        </w:rPr>
        <w:t>各市</w:t>
      </w:r>
      <w:r>
        <w:rPr>
          <w:rFonts w:hint="eastAsia" w:ascii="仿宋_GB2312" w:eastAsia="仿宋_GB2312"/>
          <w:color w:val="auto"/>
          <w:sz w:val="32"/>
          <w:szCs w:val="32"/>
          <w:lang w:eastAsia="zh-CN"/>
        </w:rPr>
        <w:t>区营商办</w:t>
      </w:r>
      <w:r>
        <w:rPr>
          <w:rFonts w:hint="eastAsia" w:ascii="仿宋_GB2312" w:eastAsia="仿宋_GB2312"/>
          <w:color w:val="auto"/>
          <w:sz w:val="32"/>
          <w:szCs w:val="32"/>
        </w:rPr>
        <w:t>按照</w:t>
      </w:r>
      <w:r>
        <w:rPr>
          <w:rFonts w:hint="eastAsia" w:ascii="仿宋_GB2312" w:hAnsi="黑体" w:eastAsia="仿宋_GB2312"/>
          <w:color w:val="auto"/>
          <w:sz w:val="32"/>
          <w:szCs w:val="32"/>
        </w:rPr>
        <w:t>《</w:t>
      </w:r>
      <w:r>
        <w:rPr>
          <w:rFonts w:hint="eastAsia" w:ascii="仿宋_GB2312" w:hAnsi="黑体" w:eastAsia="仿宋_GB2312"/>
          <w:color w:val="auto"/>
          <w:sz w:val="32"/>
          <w:szCs w:val="32"/>
          <w:lang w:eastAsia="zh-CN"/>
        </w:rPr>
        <w:t>创建指标体系</w:t>
      </w:r>
      <w:r>
        <w:rPr>
          <w:rFonts w:hint="eastAsia" w:ascii="仿宋_GB2312" w:hAnsi="黑体" w:eastAsia="仿宋_GB2312"/>
          <w:color w:val="auto"/>
          <w:sz w:val="32"/>
          <w:szCs w:val="32"/>
        </w:rPr>
        <w:t>》</w:t>
      </w:r>
      <w:r>
        <w:rPr>
          <w:rFonts w:hint="eastAsia" w:ascii="仿宋_GB2312" w:hAnsi="黑体" w:eastAsia="仿宋_GB2312"/>
          <w:color w:val="auto"/>
          <w:sz w:val="32"/>
          <w:szCs w:val="32"/>
          <w:lang w:eastAsia="zh-CN"/>
        </w:rPr>
        <w:t>（见附件</w:t>
      </w:r>
      <w:r>
        <w:rPr>
          <w:rFonts w:hint="eastAsia" w:ascii="仿宋_GB2312" w:hAnsi="黑体" w:eastAsia="仿宋_GB2312"/>
          <w:color w:val="auto"/>
          <w:sz w:val="32"/>
          <w:szCs w:val="32"/>
          <w:lang w:val="en-US" w:eastAsia="zh-CN"/>
        </w:rPr>
        <w:t>3</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对</w:t>
      </w:r>
      <w:r>
        <w:rPr>
          <w:rFonts w:hint="eastAsia" w:ascii="仿宋_GB2312" w:eastAsia="仿宋_GB2312"/>
          <w:color w:val="auto"/>
          <w:sz w:val="32"/>
          <w:szCs w:val="32"/>
        </w:rPr>
        <w:t>各县</w:t>
      </w:r>
      <w:r>
        <w:rPr>
          <w:rFonts w:hint="eastAsia" w:ascii="仿宋_GB2312" w:hAnsi="仿宋" w:eastAsia="仿宋_GB2312"/>
          <w:color w:val="auto"/>
          <w:sz w:val="32"/>
          <w:szCs w:val="32"/>
        </w:rPr>
        <w:t>（区</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市）</w:t>
      </w:r>
      <w:r>
        <w:rPr>
          <w:rFonts w:hint="eastAsia" w:ascii="仿宋_GB2312" w:eastAsia="仿宋_GB2312"/>
          <w:color w:val="auto"/>
          <w:sz w:val="32"/>
          <w:szCs w:val="32"/>
        </w:rPr>
        <w:t>、开发区的申报材料进行初评，</w:t>
      </w:r>
      <w:r>
        <w:rPr>
          <w:rFonts w:hint="eastAsia" w:ascii="仿宋_GB2312" w:eastAsia="仿宋_GB2312"/>
          <w:color w:val="auto"/>
          <w:sz w:val="32"/>
          <w:szCs w:val="32"/>
          <w:lang w:eastAsia="zh-CN"/>
        </w:rPr>
        <w:t>并经市区人民政府同意，</w:t>
      </w:r>
      <w:r>
        <w:rPr>
          <w:rFonts w:hint="eastAsia" w:ascii="仿宋_GB2312" w:eastAsia="仿宋_GB2312"/>
          <w:color w:val="auto"/>
          <w:sz w:val="32"/>
          <w:szCs w:val="32"/>
        </w:rPr>
        <w:t>于</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月底前将</w:t>
      </w:r>
      <w:r>
        <w:rPr>
          <w:rFonts w:hint="eastAsia" w:ascii="仿宋_GB2312" w:eastAsia="仿宋_GB2312"/>
          <w:color w:val="auto"/>
          <w:sz w:val="32"/>
          <w:szCs w:val="32"/>
          <w:lang w:eastAsia="zh-CN"/>
        </w:rPr>
        <w:t>本市区</w:t>
      </w:r>
      <w:r>
        <w:rPr>
          <w:rFonts w:hint="eastAsia" w:ascii="仿宋_GB2312" w:eastAsia="仿宋_GB2312"/>
          <w:color w:val="auto"/>
          <w:sz w:val="32"/>
          <w:szCs w:val="32"/>
        </w:rPr>
        <w:t>推荐名单</w:t>
      </w:r>
      <w:r>
        <w:rPr>
          <w:rFonts w:hint="eastAsia" w:ascii="仿宋_GB2312" w:eastAsia="仿宋_GB2312"/>
          <w:color w:val="auto"/>
          <w:sz w:val="32"/>
          <w:szCs w:val="32"/>
          <w:lang w:eastAsia="zh-CN"/>
        </w:rPr>
        <w:t>、推荐县（区、市）《申报表》和营商环境示范区创建工作方案</w:t>
      </w:r>
      <w:r>
        <w:rPr>
          <w:rFonts w:hint="eastAsia" w:ascii="仿宋_GB2312" w:eastAsia="仿宋_GB2312"/>
          <w:color w:val="auto"/>
          <w:sz w:val="32"/>
          <w:szCs w:val="32"/>
        </w:rPr>
        <w:t>报送</w:t>
      </w:r>
      <w:r>
        <w:rPr>
          <w:rFonts w:hint="eastAsia" w:ascii="仿宋_GB2312" w:eastAsia="仿宋_GB2312"/>
          <w:color w:val="auto"/>
          <w:sz w:val="32"/>
          <w:szCs w:val="32"/>
          <w:lang w:eastAsia="zh-CN"/>
        </w:rPr>
        <w:t>省发展改革委（</w:t>
      </w:r>
      <w:r>
        <w:rPr>
          <w:rFonts w:hint="eastAsia" w:ascii="仿宋_GB2312" w:eastAsia="仿宋_GB2312"/>
          <w:color w:val="auto"/>
          <w:sz w:val="32"/>
          <w:szCs w:val="32"/>
        </w:rPr>
        <w:t>省</w:t>
      </w:r>
      <w:r>
        <w:rPr>
          <w:rFonts w:hint="eastAsia" w:ascii="仿宋_GB2312" w:eastAsia="仿宋_GB2312"/>
          <w:color w:val="auto"/>
          <w:sz w:val="32"/>
          <w:szCs w:val="32"/>
          <w:lang w:eastAsia="zh-CN"/>
        </w:rPr>
        <w:t>营商办）。</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_GB2312" w:eastAsia="仿宋_GB2312"/>
          <w:color w:val="auto"/>
          <w:sz w:val="32"/>
          <w:szCs w:val="32"/>
          <w:lang w:eastAsia="zh-CN"/>
        </w:rPr>
      </w:pPr>
      <w:r>
        <w:rPr>
          <w:rFonts w:hint="eastAsia" w:ascii="楷体" w:hAnsi="楷体" w:eastAsia="楷体"/>
          <w:color w:val="auto"/>
          <w:sz w:val="32"/>
          <w:szCs w:val="32"/>
        </w:rPr>
        <w:t>（</w:t>
      </w:r>
      <w:r>
        <w:rPr>
          <w:rFonts w:hint="eastAsia" w:ascii="楷体" w:hAnsi="楷体" w:eastAsia="楷体"/>
          <w:color w:val="auto"/>
          <w:sz w:val="32"/>
          <w:szCs w:val="32"/>
          <w:lang w:eastAsia="zh-CN"/>
        </w:rPr>
        <w:t>三</w:t>
      </w:r>
      <w:r>
        <w:rPr>
          <w:rFonts w:hint="eastAsia" w:ascii="楷体" w:hAnsi="楷体" w:eastAsia="楷体"/>
          <w:color w:val="auto"/>
          <w:sz w:val="32"/>
          <w:szCs w:val="32"/>
        </w:rPr>
        <w:t>）</w:t>
      </w:r>
      <w:r>
        <w:rPr>
          <w:rFonts w:hint="eastAsia" w:ascii="楷体" w:hAnsi="楷体" w:eastAsia="楷体"/>
          <w:color w:val="auto"/>
          <w:sz w:val="32"/>
          <w:szCs w:val="32"/>
          <w:lang w:eastAsia="zh-CN"/>
        </w:rPr>
        <w:t>评审公示</w:t>
      </w:r>
      <w:r>
        <w:rPr>
          <w:rFonts w:hint="eastAsia" w:ascii="楷体" w:hAnsi="楷体" w:eastAsia="楷体"/>
          <w:color w:val="auto"/>
          <w:sz w:val="32"/>
          <w:szCs w:val="32"/>
        </w:rPr>
        <w:t>。</w:t>
      </w:r>
      <w:r>
        <w:rPr>
          <w:rFonts w:hint="eastAsia" w:ascii="仿宋_GB2312" w:eastAsia="仿宋_GB2312"/>
          <w:color w:val="auto"/>
          <w:sz w:val="32"/>
          <w:szCs w:val="32"/>
        </w:rPr>
        <w:t>省发展改革委根据各市</w:t>
      </w:r>
      <w:r>
        <w:rPr>
          <w:rFonts w:hint="eastAsia" w:ascii="仿宋_GB2312" w:eastAsia="仿宋_GB2312"/>
          <w:color w:val="auto"/>
          <w:sz w:val="32"/>
          <w:szCs w:val="32"/>
          <w:lang w:eastAsia="zh-CN"/>
        </w:rPr>
        <w:t>区推荐的申报材料</w:t>
      </w:r>
      <w:r>
        <w:rPr>
          <w:rFonts w:hint="eastAsia" w:ascii="仿宋_GB2312" w:eastAsia="仿宋_GB2312"/>
          <w:color w:val="auto"/>
          <w:sz w:val="32"/>
          <w:szCs w:val="32"/>
        </w:rPr>
        <w:t>，会同省级有关部门</w:t>
      </w:r>
      <w:r>
        <w:rPr>
          <w:rFonts w:hint="eastAsia" w:ascii="仿宋_GB2312" w:eastAsia="仿宋_GB2312"/>
          <w:color w:val="auto"/>
          <w:sz w:val="32"/>
          <w:szCs w:val="32"/>
          <w:lang w:eastAsia="zh-CN"/>
        </w:rPr>
        <w:t>、有关专家，组建评审委员会，</w:t>
      </w:r>
      <w:r>
        <w:rPr>
          <w:rFonts w:hint="eastAsia" w:ascii="仿宋_GB2312" w:eastAsia="仿宋_GB2312"/>
          <w:color w:val="auto"/>
          <w:sz w:val="32"/>
          <w:szCs w:val="32"/>
        </w:rPr>
        <w:t>严格按照</w:t>
      </w:r>
      <w:r>
        <w:rPr>
          <w:rFonts w:hint="eastAsia" w:ascii="仿宋_GB2312" w:hAnsi="黑体" w:eastAsia="仿宋_GB2312"/>
          <w:color w:val="auto"/>
          <w:sz w:val="32"/>
          <w:szCs w:val="32"/>
        </w:rPr>
        <w:t>《</w:t>
      </w:r>
      <w:r>
        <w:rPr>
          <w:rFonts w:hint="eastAsia" w:ascii="仿宋_GB2312" w:hAnsi="黑体" w:eastAsia="仿宋_GB2312"/>
          <w:color w:val="auto"/>
          <w:sz w:val="32"/>
          <w:szCs w:val="32"/>
          <w:lang w:eastAsia="zh-CN"/>
        </w:rPr>
        <w:t>考评指标体系</w:t>
      </w:r>
      <w:r>
        <w:rPr>
          <w:rFonts w:hint="eastAsia" w:ascii="仿宋_GB2312" w:hAnsi="黑体" w:eastAsia="仿宋_GB2312"/>
          <w:color w:val="auto"/>
          <w:sz w:val="32"/>
          <w:szCs w:val="32"/>
        </w:rPr>
        <w:t>》</w:t>
      </w:r>
      <w:r>
        <w:rPr>
          <w:rFonts w:hint="eastAsia" w:ascii="仿宋_GB2312" w:hAnsi="黑体" w:eastAsia="仿宋_GB2312"/>
          <w:color w:val="auto"/>
          <w:sz w:val="32"/>
          <w:szCs w:val="32"/>
          <w:lang w:eastAsia="zh-CN"/>
        </w:rPr>
        <w:t>进行审查，必要时采取明察暗访等多种方式进行现场核验，通过竞争性选拔，</w:t>
      </w:r>
      <w:r>
        <w:rPr>
          <w:rFonts w:hint="eastAsia" w:ascii="仿宋_GB2312" w:eastAsia="仿宋_GB2312"/>
          <w:color w:val="auto"/>
          <w:sz w:val="32"/>
          <w:szCs w:val="32"/>
          <w:lang w:eastAsia="zh-CN"/>
        </w:rPr>
        <w:t>形成拟入选创建名单</w:t>
      </w:r>
      <w:r>
        <w:rPr>
          <w:rFonts w:hint="eastAsia" w:ascii="仿宋_GB2312" w:eastAsia="仿宋_GB2312"/>
          <w:color w:val="auto"/>
          <w:sz w:val="32"/>
          <w:szCs w:val="32"/>
        </w:rPr>
        <w:t>，</w:t>
      </w:r>
      <w:r>
        <w:rPr>
          <w:rFonts w:hint="eastAsia" w:ascii="仿宋_GB2312" w:eastAsia="仿宋_GB2312"/>
          <w:color w:val="auto"/>
          <w:sz w:val="32"/>
          <w:szCs w:val="32"/>
          <w:lang w:eastAsia="zh-CN"/>
        </w:rPr>
        <w:t>向社会进行公示，根据公示情况确定入选名单，并予以公布。</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_GB2312" w:eastAsia="仿宋_GB2312"/>
          <w:color w:val="auto"/>
          <w:sz w:val="32"/>
          <w:szCs w:val="32"/>
          <w:lang w:eastAsia="zh-CN"/>
        </w:rPr>
      </w:pPr>
      <w:r>
        <w:rPr>
          <w:rFonts w:hint="eastAsia" w:ascii="楷体" w:hAnsi="楷体" w:eastAsia="楷体"/>
          <w:color w:val="auto"/>
          <w:sz w:val="32"/>
          <w:szCs w:val="32"/>
        </w:rPr>
        <w:t>（</w:t>
      </w:r>
      <w:r>
        <w:rPr>
          <w:rFonts w:hint="eastAsia" w:ascii="楷体" w:hAnsi="楷体" w:eastAsia="楷体"/>
          <w:color w:val="auto"/>
          <w:sz w:val="32"/>
          <w:szCs w:val="32"/>
          <w:lang w:eastAsia="zh-CN"/>
        </w:rPr>
        <w:t>四</w:t>
      </w:r>
      <w:r>
        <w:rPr>
          <w:rFonts w:hint="eastAsia" w:ascii="楷体" w:hAnsi="楷体" w:eastAsia="楷体"/>
          <w:color w:val="auto"/>
          <w:sz w:val="32"/>
          <w:szCs w:val="32"/>
        </w:rPr>
        <w:t>）</w:t>
      </w:r>
      <w:r>
        <w:rPr>
          <w:rFonts w:hint="eastAsia" w:ascii="楷体" w:hAnsi="楷体" w:eastAsia="楷体"/>
          <w:color w:val="auto"/>
          <w:sz w:val="32"/>
          <w:szCs w:val="32"/>
          <w:lang w:eastAsia="zh-CN"/>
        </w:rPr>
        <w:t>动态管理</w:t>
      </w:r>
      <w:r>
        <w:rPr>
          <w:rFonts w:hint="eastAsia" w:ascii="楷体" w:hAnsi="楷体" w:eastAsia="楷体"/>
          <w:color w:val="auto"/>
          <w:sz w:val="32"/>
          <w:szCs w:val="32"/>
        </w:rPr>
        <w:t>。</w:t>
      </w:r>
      <w:r>
        <w:rPr>
          <w:rFonts w:hint="eastAsia" w:ascii="仿宋_GB2312" w:hAnsi="仿宋_GB2312" w:eastAsia="仿宋_GB2312" w:cs="仿宋_GB2312"/>
          <w:color w:val="auto"/>
          <w:sz w:val="32"/>
          <w:szCs w:val="32"/>
          <w:lang w:eastAsia="zh-CN"/>
        </w:rPr>
        <w:t>全省营商环境创新示范区</w:t>
      </w:r>
      <w:r>
        <w:rPr>
          <w:rFonts w:hint="eastAsia" w:ascii="仿宋_GB2312" w:eastAsia="仿宋_GB2312"/>
          <w:color w:val="auto"/>
          <w:sz w:val="32"/>
          <w:szCs w:val="32"/>
          <w:lang w:eastAsia="zh-CN"/>
        </w:rPr>
        <w:t>创建有效期为</w:t>
      </w:r>
      <w:r>
        <w:rPr>
          <w:rFonts w:hint="eastAsia" w:ascii="仿宋_GB2312" w:eastAsia="仿宋_GB2312"/>
          <w:color w:val="auto"/>
          <w:sz w:val="32"/>
          <w:szCs w:val="32"/>
          <w:lang w:val="en-US" w:eastAsia="zh-CN"/>
        </w:rPr>
        <w:t>2年，已被命名为全省营商环境创新示范区的，满2年后如继续创建，应重新申报。</w:t>
      </w:r>
      <w:r>
        <w:rPr>
          <w:rFonts w:hint="eastAsia" w:ascii="仿宋_GB2312" w:eastAsia="仿宋_GB2312"/>
          <w:color w:val="auto"/>
          <w:sz w:val="32"/>
          <w:szCs w:val="32"/>
        </w:rPr>
        <w:t>省发展改革委</w:t>
      </w:r>
      <w:r>
        <w:rPr>
          <w:rFonts w:hint="eastAsia" w:ascii="仿宋_GB2312" w:eastAsia="仿宋_GB2312"/>
          <w:color w:val="auto"/>
          <w:sz w:val="32"/>
          <w:szCs w:val="32"/>
          <w:lang w:eastAsia="zh-CN"/>
        </w:rPr>
        <w:t>对营商环境创新示范区实行动态管理，适时</w:t>
      </w:r>
      <w:r>
        <w:rPr>
          <w:rFonts w:hint="eastAsia" w:ascii="仿宋_GB2312" w:eastAsia="仿宋_GB2312"/>
          <w:color w:val="auto"/>
          <w:sz w:val="32"/>
          <w:szCs w:val="32"/>
        </w:rPr>
        <w:t>组织开展</w:t>
      </w:r>
      <w:r>
        <w:rPr>
          <w:rFonts w:hint="eastAsia" w:ascii="仿宋_GB2312" w:eastAsia="仿宋_GB2312"/>
          <w:color w:val="auto"/>
          <w:sz w:val="32"/>
          <w:szCs w:val="32"/>
          <w:lang w:eastAsia="zh-CN"/>
        </w:rPr>
        <w:t>中期评估</w:t>
      </w:r>
      <w:r>
        <w:rPr>
          <w:rFonts w:hint="eastAsia" w:ascii="仿宋_GB2312" w:eastAsia="仿宋_GB2312"/>
          <w:color w:val="auto"/>
          <w:sz w:val="32"/>
          <w:szCs w:val="32"/>
        </w:rPr>
        <w:t>，对不符合标准的提出整改意见，对未按期整改到位</w:t>
      </w:r>
      <w:r>
        <w:rPr>
          <w:rFonts w:hint="eastAsia" w:ascii="仿宋_GB2312" w:eastAsia="仿宋_GB2312"/>
          <w:color w:val="auto"/>
          <w:sz w:val="32"/>
          <w:szCs w:val="32"/>
          <w:lang w:eastAsia="zh-CN"/>
        </w:rPr>
        <w:t>的</w:t>
      </w:r>
      <w:r>
        <w:rPr>
          <w:rFonts w:hint="eastAsia" w:ascii="仿宋_GB2312" w:eastAsia="仿宋_GB2312"/>
          <w:color w:val="auto"/>
          <w:sz w:val="32"/>
          <w:szCs w:val="32"/>
        </w:rPr>
        <w:t>将撤销其</w:t>
      </w:r>
      <w:r>
        <w:rPr>
          <w:rFonts w:hint="eastAsia" w:ascii="仿宋_GB2312" w:eastAsia="仿宋_GB2312"/>
          <w:color w:val="auto"/>
          <w:sz w:val="32"/>
          <w:szCs w:val="32"/>
          <w:lang w:eastAsia="zh-CN"/>
        </w:rPr>
        <w:t>营商环境创新示范区</w:t>
      </w:r>
      <w:r>
        <w:rPr>
          <w:rFonts w:hint="eastAsia" w:ascii="仿宋_GB2312" w:eastAsia="仿宋_GB2312"/>
          <w:color w:val="auto"/>
          <w:sz w:val="32"/>
          <w:szCs w:val="32"/>
        </w:rPr>
        <w:t>称号</w:t>
      </w:r>
      <w:r>
        <w:rPr>
          <w:rFonts w:hint="eastAsia" w:ascii="仿宋_GB2312" w:eastAsia="仿宋_GB2312"/>
          <w:color w:val="auto"/>
          <w:sz w:val="32"/>
          <w:szCs w:val="32"/>
          <w:lang w:eastAsia="zh-CN"/>
        </w:rPr>
        <w:t>；对发生严重损害营商环境行为、引起较大舆情的创新示范区，随时</w:t>
      </w:r>
      <w:r>
        <w:rPr>
          <w:rFonts w:hint="eastAsia" w:ascii="仿宋_GB2312" w:eastAsia="仿宋_GB2312"/>
          <w:color w:val="auto"/>
          <w:sz w:val="32"/>
          <w:szCs w:val="32"/>
        </w:rPr>
        <w:t>撤销其</w:t>
      </w:r>
      <w:r>
        <w:rPr>
          <w:rFonts w:hint="eastAsia" w:ascii="仿宋_GB2312" w:eastAsia="仿宋_GB2312"/>
          <w:color w:val="auto"/>
          <w:sz w:val="32"/>
          <w:szCs w:val="32"/>
          <w:lang w:eastAsia="zh-CN"/>
        </w:rPr>
        <w:t>营商环境创新示范区</w:t>
      </w:r>
      <w:r>
        <w:rPr>
          <w:rFonts w:hint="eastAsia" w:ascii="仿宋_GB2312" w:eastAsia="仿宋_GB2312"/>
          <w:color w:val="auto"/>
          <w:sz w:val="32"/>
          <w:szCs w:val="32"/>
        </w:rPr>
        <w:t>称号</w:t>
      </w:r>
      <w:r>
        <w:rPr>
          <w:rFonts w:hint="eastAsia" w:ascii="仿宋_GB2312"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四、工作措施</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_GB2312" w:eastAsia="仿宋_GB2312"/>
          <w:color w:val="auto"/>
          <w:sz w:val="32"/>
          <w:szCs w:val="32"/>
          <w:lang w:eastAsia="zh-CN"/>
        </w:rPr>
      </w:pPr>
      <w:r>
        <w:rPr>
          <w:rFonts w:hint="eastAsia" w:ascii="楷体_GB2312" w:hAnsi="楷体_GB2312" w:eastAsia="楷体_GB2312" w:cs="楷体_GB2312"/>
          <w:color w:val="auto"/>
          <w:sz w:val="32"/>
          <w:szCs w:val="32"/>
          <w:lang w:eastAsia="zh-CN"/>
        </w:rPr>
        <w:t>（一）统一思想，提高认识。</w:t>
      </w:r>
      <w:r>
        <w:rPr>
          <w:rFonts w:hint="eastAsia" w:ascii="仿宋_GB2312" w:eastAsia="仿宋_GB2312"/>
          <w:color w:val="auto"/>
          <w:sz w:val="32"/>
          <w:szCs w:val="32"/>
          <w:lang w:eastAsia="zh-CN"/>
        </w:rPr>
        <w:t>各市区要充分认识营商环境创新示范区创建活动的重要意义，将创建活动作为推动优化营商环境工作落实的有效抓手，切实增强责任感和使命感，努力将创建工作提升到一个新的水平。</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_GB2312" w:eastAsia="仿宋_GB2312"/>
          <w:color w:val="auto"/>
          <w:sz w:val="32"/>
          <w:szCs w:val="32"/>
          <w:lang w:eastAsia="zh-CN"/>
        </w:rPr>
      </w:pPr>
      <w:r>
        <w:rPr>
          <w:rFonts w:hint="eastAsia" w:ascii="楷体_GB2312" w:hAnsi="楷体_GB2312" w:eastAsia="楷体_GB2312" w:cs="楷体_GB2312"/>
          <w:color w:val="auto"/>
          <w:sz w:val="32"/>
          <w:szCs w:val="32"/>
          <w:lang w:eastAsia="zh-CN"/>
        </w:rPr>
        <w:t>（二）加强领导，形成合力。</w:t>
      </w:r>
      <w:r>
        <w:rPr>
          <w:rFonts w:hint="eastAsia" w:ascii="仿宋_GB2312" w:eastAsia="仿宋_GB2312"/>
          <w:color w:val="auto"/>
          <w:sz w:val="32"/>
          <w:szCs w:val="32"/>
          <w:lang w:eastAsia="zh-CN"/>
        </w:rPr>
        <w:t>省发展改革委要切实履行主体责任，深入参与和指导监督，帮助和引导创建对象解决创建过程中的问题和难题。各市区组织开展创建活动，应坚持“优者上、劣者汰”原则，严格把关，公平公正推选。</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_GB2312" w:eastAsia="仿宋_GB2312"/>
          <w:color w:val="auto"/>
          <w:sz w:val="32"/>
          <w:szCs w:val="32"/>
          <w:lang w:eastAsia="zh-CN"/>
        </w:rPr>
      </w:pPr>
      <w:r>
        <w:rPr>
          <w:rFonts w:hint="eastAsia" w:ascii="楷体_GB2312" w:hAnsi="楷体_GB2312" w:eastAsia="楷体_GB2312" w:cs="楷体_GB2312"/>
          <w:color w:val="auto"/>
          <w:sz w:val="32"/>
          <w:szCs w:val="32"/>
          <w:lang w:eastAsia="zh-CN"/>
        </w:rPr>
        <w:t>（三）广泛宣传，示范引领。</w:t>
      </w:r>
      <w:r>
        <w:rPr>
          <w:rFonts w:hint="eastAsia" w:ascii="仿宋_GB2312" w:eastAsia="仿宋_GB2312"/>
          <w:color w:val="auto"/>
          <w:sz w:val="32"/>
          <w:szCs w:val="32"/>
          <w:lang w:eastAsia="zh-CN"/>
        </w:rPr>
        <w:t>要加大营商环境创新示范区创建活动的宣传力度，充分利用报纸、视频、网络、新媒体等方式，多渠道宣传创建活动的好做法、好经验、好典型，充分发挥创建示范引领作用。</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_GB2312" w:eastAsia="仿宋_GB2312"/>
          <w:color w:val="auto"/>
          <w:sz w:val="32"/>
          <w:szCs w:val="32"/>
          <w:lang w:eastAsia="zh-CN"/>
        </w:rPr>
      </w:pPr>
      <w:r>
        <w:rPr>
          <w:rFonts w:hint="eastAsia" w:ascii="楷体_GB2312" w:hAnsi="楷体_GB2312" w:eastAsia="楷体_GB2312" w:cs="楷体_GB2312"/>
          <w:color w:val="auto"/>
          <w:sz w:val="32"/>
          <w:szCs w:val="32"/>
          <w:lang w:eastAsia="zh-CN"/>
        </w:rPr>
        <w:t>（四）加强监测，改革创新。</w:t>
      </w:r>
      <w:r>
        <w:rPr>
          <w:rFonts w:hint="eastAsia" w:ascii="仿宋_GB2312" w:eastAsia="仿宋_GB2312"/>
          <w:color w:val="auto"/>
          <w:sz w:val="32"/>
          <w:szCs w:val="32"/>
          <w:lang w:eastAsia="zh-CN"/>
        </w:rPr>
        <w:t>各市区营商办要加强对辖区内营商环境创新示范区创建工作的指导，全面加强辖区内营商环境创新示范区日常监测，发现不符合创建条件的情形或有群众举报反映的，按程序进行调查核实并向省营商办报告。各县（区、市）、开发区要以创建活动为契机，勇于加强营商环境改革创新，积极推进探索示范，为全省营商环境优化提升作出贡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jc w:val="both"/>
        <w:textAlignment w:val="auto"/>
        <w:rPr>
          <w:rFonts w:hint="default" w:ascii="仿宋_GB2312" w:hAnsi="仿宋_GB2312" w:eastAsia="仿宋_GB2312" w:cs="仿宋_GB2312"/>
          <w:sz w:val="32"/>
          <w:szCs w:val="32"/>
          <w:lang w:val="en-US" w:eastAsia="zh-CN"/>
        </w:rPr>
      </w:pPr>
    </w:p>
    <w:p>
      <w:pPr>
        <w:pStyle w:val="2"/>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640" w:leftChars="0"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rPr>
        <w:t>陕西省</w:t>
      </w:r>
      <w:r>
        <w:rPr>
          <w:rFonts w:hint="eastAsia" w:ascii="仿宋_GB2312" w:eastAsia="仿宋_GB2312"/>
          <w:color w:val="auto"/>
          <w:sz w:val="32"/>
          <w:szCs w:val="32"/>
          <w:lang w:eastAsia="zh-CN"/>
        </w:rPr>
        <w:t>营商环境创新示范区</w:t>
      </w:r>
      <w:r>
        <w:rPr>
          <w:rFonts w:hint="eastAsia" w:ascii="仿宋_GB2312" w:eastAsia="仿宋_GB2312"/>
          <w:color w:val="auto"/>
          <w:sz w:val="32"/>
          <w:szCs w:val="32"/>
        </w:rPr>
        <w:t>申报表</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640" w:leftChars="0"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xx县（区、市）</w:t>
      </w:r>
      <w:r>
        <w:rPr>
          <w:rFonts w:hint="eastAsia" w:ascii="仿宋_GB2312" w:eastAsia="仿宋_GB2312"/>
          <w:color w:val="auto"/>
          <w:sz w:val="32"/>
          <w:szCs w:val="32"/>
          <w:lang w:eastAsia="zh-CN"/>
        </w:rPr>
        <w:t>营商环境创新示范区工作方案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280" w:firstLineChars="4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3.陕西省营商环境创新示范区创建指标体系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280" w:firstLineChars="400"/>
        <w:jc w:val="both"/>
        <w:textAlignment w:val="auto"/>
        <w:rPr>
          <w:rFonts w:hint="eastAsia" w:ascii="仿宋_GB2312" w:eastAsia="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280" w:firstLineChars="400"/>
        <w:jc w:val="both"/>
        <w:textAlignment w:val="auto"/>
        <w:rPr>
          <w:rFonts w:hint="eastAsia" w:ascii="仿宋_GB2312" w:eastAsia="仿宋_GB2312"/>
          <w:color w:val="auto"/>
          <w:sz w:val="32"/>
          <w:szCs w:val="32"/>
          <w:lang w:val="en-US" w:eastAsia="zh-CN"/>
        </w:rPr>
      </w:pPr>
    </w:p>
    <w:p>
      <w:pPr>
        <w:pStyle w:val="2"/>
        <w:rPr>
          <w:rFonts w:hint="eastAsia" w:ascii="仿宋_GB2312" w:eastAsia="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附件1</w:t>
      </w:r>
    </w:p>
    <w:p>
      <w:pPr>
        <w:spacing w:line="600" w:lineRule="exact"/>
        <w:jc w:val="center"/>
        <w:rPr>
          <w:rFonts w:hint="eastAsia" w:ascii="新宋体" w:hAnsi="新宋体" w:eastAsia="新宋体" w:cs="新宋体"/>
          <w:b/>
          <w:bCs/>
          <w:color w:val="000000"/>
          <w:kern w:val="0"/>
          <w:sz w:val="44"/>
          <w:szCs w:val="40"/>
        </w:rPr>
      </w:pPr>
    </w:p>
    <w:p>
      <w:pPr>
        <w:spacing w:line="600" w:lineRule="exact"/>
        <w:jc w:val="center"/>
        <w:rPr>
          <w:rFonts w:hint="eastAsia" w:ascii="新宋体" w:hAnsi="新宋体" w:eastAsia="新宋体" w:cs="新宋体"/>
          <w:b/>
          <w:bCs/>
          <w:color w:val="000000"/>
          <w:kern w:val="0"/>
          <w:sz w:val="44"/>
          <w:szCs w:val="40"/>
        </w:rPr>
      </w:pPr>
    </w:p>
    <w:p>
      <w:pPr>
        <w:spacing w:line="600" w:lineRule="exact"/>
        <w:jc w:val="center"/>
        <w:rPr>
          <w:rFonts w:hint="eastAsia" w:ascii="新宋体" w:hAnsi="新宋体" w:eastAsia="新宋体" w:cs="新宋体"/>
          <w:b/>
          <w:bCs/>
          <w:color w:val="000000"/>
          <w:kern w:val="0"/>
          <w:sz w:val="44"/>
          <w:szCs w:val="40"/>
        </w:rPr>
      </w:pPr>
    </w:p>
    <w:p>
      <w:pPr>
        <w:spacing w:line="600" w:lineRule="exact"/>
        <w:jc w:val="center"/>
        <w:rPr>
          <w:rFonts w:hint="eastAsia" w:ascii="新宋体" w:hAnsi="新宋体" w:eastAsia="新宋体" w:cs="新宋体"/>
          <w:b/>
          <w:bCs/>
          <w:color w:val="000000"/>
          <w:kern w:val="0"/>
          <w:sz w:val="44"/>
          <w:szCs w:val="40"/>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color w:val="000000"/>
          <w:kern w:val="0"/>
          <w:sz w:val="44"/>
          <w:szCs w:val="40"/>
          <w:lang w:eastAsia="zh-CN"/>
        </w:rPr>
      </w:pPr>
      <w:r>
        <w:rPr>
          <w:rFonts w:hint="eastAsia" w:ascii="方正小标宋简体" w:hAnsi="方正小标宋简体" w:eastAsia="方正小标宋简体" w:cs="方正小标宋简体"/>
          <w:b w:val="0"/>
          <w:bCs w:val="0"/>
          <w:color w:val="000000"/>
          <w:kern w:val="0"/>
          <w:sz w:val="44"/>
          <w:szCs w:val="40"/>
          <w:lang w:eastAsia="zh-CN"/>
        </w:rPr>
        <w:t>陕西省营商环境创新示范区</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color w:val="000000"/>
          <w:kern w:val="0"/>
          <w:sz w:val="36"/>
          <w:szCs w:val="32"/>
        </w:rPr>
      </w:pPr>
      <w:r>
        <w:rPr>
          <w:rFonts w:hint="eastAsia" w:ascii="方正小标宋简体" w:hAnsi="方正小标宋简体" w:eastAsia="方正小标宋简体" w:cs="方正小标宋简体"/>
          <w:b w:val="0"/>
          <w:bCs w:val="0"/>
          <w:color w:val="000000"/>
          <w:kern w:val="0"/>
          <w:sz w:val="44"/>
          <w:szCs w:val="40"/>
        </w:rPr>
        <w:t>创建申报表</w:t>
      </w:r>
    </w:p>
    <w:p>
      <w:pPr>
        <w:spacing w:line="600" w:lineRule="exact"/>
        <w:ind w:firstLine="721" w:firstLineChars="200"/>
        <w:rPr>
          <w:rFonts w:ascii="华文中宋" w:hAnsi="华文中宋" w:eastAsia="华文中宋" w:cs="仿宋"/>
          <w:b/>
          <w:bCs/>
          <w:color w:val="000000"/>
          <w:kern w:val="0"/>
          <w:sz w:val="36"/>
          <w:szCs w:val="32"/>
        </w:rPr>
      </w:pPr>
    </w:p>
    <w:p>
      <w:pPr>
        <w:spacing w:line="600" w:lineRule="exact"/>
        <w:ind w:firstLine="721" w:firstLineChars="200"/>
        <w:rPr>
          <w:rFonts w:ascii="华文中宋" w:hAnsi="华文中宋" w:eastAsia="华文中宋" w:cs="仿宋"/>
          <w:b/>
          <w:bCs/>
          <w:color w:val="000000"/>
          <w:kern w:val="0"/>
          <w:sz w:val="36"/>
          <w:szCs w:val="32"/>
        </w:rPr>
      </w:pPr>
    </w:p>
    <w:p>
      <w:pPr>
        <w:spacing w:line="600" w:lineRule="exact"/>
        <w:ind w:firstLine="721" w:firstLineChars="200"/>
        <w:rPr>
          <w:rFonts w:ascii="华文中宋" w:hAnsi="华文中宋" w:eastAsia="华文中宋" w:cs="仿宋"/>
          <w:b/>
          <w:bCs/>
          <w:color w:val="000000"/>
          <w:kern w:val="0"/>
          <w:sz w:val="36"/>
          <w:szCs w:val="32"/>
        </w:rPr>
      </w:pPr>
    </w:p>
    <w:p>
      <w:pPr>
        <w:adjustRightInd w:val="0"/>
        <w:snapToGrid w:val="0"/>
        <w:spacing w:line="600" w:lineRule="exact"/>
        <w:ind w:firstLine="640" w:firstLineChars="200"/>
        <w:rPr>
          <w:rFonts w:ascii="仿宋" w:hAnsi="仿宋" w:eastAsia="仿宋" w:cs="仿宋"/>
          <w:color w:val="000000"/>
          <w:kern w:val="0"/>
          <w:sz w:val="32"/>
          <w:szCs w:val="32"/>
        </w:rPr>
      </w:pPr>
    </w:p>
    <w:p>
      <w:pPr>
        <w:adjustRightInd w:val="0"/>
        <w:snapToGrid w:val="0"/>
        <w:spacing w:line="600" w:lineRule="exact"/>
        <w:ind w:firstLine="640" w:firstLineChars="200"/>
        <w:rPr>
          <w:rFonts w:ascii="仿宋" w:hAnsi="仿宋" w:eastAsia="仿宋" w:cs="仿宋"/>
          <w:color w:val="000000"/>
          <w:kern w:val="0"/>
          <w:sz w:val="32"/>
          <w:szCs w:val="32"/>
        </w:rPr>
      </w:pPr>
    </w:p>
    <w:p>
      <w:pPr>
        <w:adjustRightInd w:val="0"/>
        <w:snapToGrid w:val="0"/>
        <w:spacing w:line="600" w:lineRule="exact"/>
        <w:ind w:firstLine="640" w:firstLineChars="200"/>
        <w:rPr>
          <w:rFonts w:ascii="仿宋" w:hAnsi="仿宋" w:eastAsia="仿宋" w:cs="仿宋"/>
          <w:color w:val="000000"/>
          <w:kern w:val="0"/>
          <w:sz w:val="32"/>
          <w:szCs w:val="32"/>
        </w:rPr>
      </w:pPr>
    </w:p>
    <w:p>
      <w:pPr>
        <w:adjustRightInd w:val="0"/>
        <w:snapToGrid w:val="0"/>
        <w:spacing w:line="600" w:lineRule="exact"/>
        <w:ind w:firstLine="640" w:firstLineChars="200"/>
        <w:rPr>
          <w:rFonts w:ascii="仿宋" w:hAnsi="仿宋" w:eastAsia="仿宋" w:cs="仿宋"/>
          <w:color w:val="000000"/>
          <w:kern w:val="0"/>
          <w:sz w:val="32"/>
          <w:szCs w:val="32"/>
        </w:rPr>
      </w:pPr>
    </w:p>
    <w:p>
      <w:pPr>
        <w:adjustRightInd w:val="0"/>
        <w:snapToGrid w:val="0"/>
        <w:spacing w:line="600" w:lineRule="exact"/>
        <w:ind w:firstLine="640" w:firstLineChars="200"/>
        <w:rPr>
          <w:rFonts w:ascii="仿宋" w:hAnsi="仿宋" w:eastAsia="仿宋" w:cs="仿宋"/>
          <w:color w:val="000000"/>
          <w:kern w:val="0"/>
          <w:sz w:val="32"/>
          <w:szCs w:val="32"/>
        </w:rPr>
      </w:pPr>
    </w:p>
    <w:p>
      <w:pPr>
        <w:adjustRightInd w:val="0"/>
        <w:snapToGrid w:val="0"/>
        <w:spacing w:line="600" w:lineRule="exact"/>
        <w:ind w:firstLine="640" w:firstLineChars="200"/>
        <w:rPr>
          <w:rFonts w:hint="eastAsia" w:ascii="仿宋_GB2312" w:hAnsi="仿宋_GB2312" w:eastAsia="仿宋_GB2312" w:cs="仿宋_GB2312"/>
          <w:color w:val="000000"/>
          <w:kern w:val="0"/>
          <w:sz w:val="32"/>
          <w:szCs w:val="32"/>
          <w:u w:val="single"/>
        </w:rPr>
      </w:pPr>
      <w:r>
        <w:rPr>
          <w:rFonts w:hint="eastAsia" w:ascii="仿宋_GB2312" w:hAnsi="仿宋_GB2312" w:eastAsia="仿宋_GB2312" w:cs="仿宋_GB2312"/>
          <w:color w:val="000000"/>
          <w:kern w:val="0"/>
          <w:sz w:val="32"/>
          <w:szCs w:val="32"/>
        </w:rPr>
        <w:t>创建申报单位：</w:t>
      </w:r>
      <w:r>
        <w:rPr>
          <w:rFonts w:hint="eastAsia" w:ascii="仿宋_GB2312" w:hAnsi="仿宋_GB2312" w:eastAsia="仿宋_GB2312" w:cs="仿宋_GB2312"/>
          <w:color w:val="000000"/>
          <w:kern w:val="0"/>
          <w:sz w:val="32"/>
          <w:szCs w:val="32"/>
          <w:u w:val="single"/>
        </w:rPr>
        <w:t>XX县</w:t>
      </w:r>
      <w:r>
        <w:rPr>
          <w:rFonts w:hint="eastAsia" w:ascii="仿宋_GB2312" w:hAnsi="仿宋_GB2312" w:eastAsia="仿宋_GB2312" w:cs="仿宋_GB2312"/>
          <w:color w:val="000000"/>
          <w:kern w:val="0"/>
          <w:sz w:val="32"/>
          <w:szCs w:val="32"/>
          <w:u w:val="single"/>
          <w:lang w:eastAsia="zh-CN"/>
        </w:rPr>
        <w:t>（区、市）</w:t>
      </w:r>
      <w:r>
        <w:rPr>
          <w:rFonts w:hint="eastAsia" w:ascii="仿宋_GB2312" w:hAnsi="仿宋_GB2312" w:eastAsia="仿宋_GB2312" w:cs="仿宋_GB2312"/>
          <w:color w:val="000000"/>
          <w:kern w:val="0"/>
          <w:sz w:val="32"/>
          <w:szCs w:val="32"/>
          <w:u w:val="single"/>
        </w:rPr>
        <w:t>人民政府（签章）</w:t>
      </w:r>
    </w:p>
    <w:p>
      <w:pPr>
        <w:adjustRightInd w:val="0"/>
        <w:snapToGrid w:val="0"/>
        <w:spacing w:line="600" w:lineRule="exact"/>
        <w:ind w:firstLine="640" w:firstLineChars="200"/>
        <w:jc w:val="right"/>
        <w:rPr>
          <w:rFonts w:ascii="仿宋" w:hAnsi="仿宋" w:eastAsia="仿宋" w:cs="仿宋"/>
          <w:color w:val="000000"/>
          <w:kern w:val="0"/>
          <w:sz w:val="32"/>
          <w:szCs w:val="32"/>
        </w:rPr>
      </w:pPr>
    </w:p>
    <w:p>
      <w:pPr>
        <w:adjustRightInd w:val="0"/>
        <w:snapToGrid w:val="0"/>
        <w:spacing w:line="600" w:lineRule="exact"/>
        <w:ind w:firstLine="640" w:firstLineChars="200"/>
        <w:jc w:val="right"/>
        <w:rPr>
          <w:rFonts w:ascii="仿宋" w:hAnsi="仿宋" w:eastAsia="仿宋" w:cs="仿宋"/>
          <w:color w:val="000000"/>
          <w:kern w:val="0"/>
          <w:sz w:val="32"/>
          <w:szCs w:val="32"/>
        </w:rPr>
      </w:pPr>
    </w:p>
    <w:p>
      <w:pPr>
        <w:adjustRightInd w:val="0"/>
        <w:snapToGrid w:val="0"/>
        <w:spacing w:line="600" w:lineRule="exact"/>
        <w:ind w:firstLine="640" w:firstLineChars="20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
        </w:rPr>
        <w:t>2022</w:t>
      </w:r>
      <w:r>
        <w:rPr>
          <w:rFonts w:hint="eastAsia" w:ascii="仿宋_GB2312" w:hAnsi="仿宋_GB2312" w:eastAsia="仿宋_GB2312" w:cs="仿宋_GB2312"/>
          <w:color w:val="000000"/>
          <w:kern w:val="0"/>
          <w:sz w:val="32"/>
          <w:szCs w:val="32"/>
        </w:rPr>
        <w:t>年   月   日</w:t>
      </w:r>
    </w:p>
    <w:p>
      <w:pPr>
        <w:adjustRightInd w:val="0"/>
        <w:snapToGrid w:val="0"/>
        <w:spacing w:line="6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6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83" w:hRule="atLeast"/>
        </w:trPr>
        <w:tc>
          <w:tcPr>
            <w:tcW w:w="8513" w:type="dxa"/>
            <w:gridSpan w:val="2"/>
            <w:noWrap w:val="0"/>
            <w:vAlign w:val="top"/>
          </w:tcPr>
          <w:p>
            <w:pPr>
              <w:spacing w:line="600" w:lineRule="exact"/>
              <w:jc w:val="center"/>
              <w:rPr>
                <w:rFonts w:ascii="仿宋" w:hAnsi="仿宋" w:eastAsia="仿宋" w:cs="仿宋"/>
                <w:b/>
                <w:bCs/>
                <w:color w:val="000000"/>
                <w:kern w:val="0"/>
                <w:sz w:val="32"/>
                <w:szCs w:val="32"/>
              </w:rPr>
            </w:pPr>
            <w:r>
              <w:rPr>
                <w:rFonts w:ascii="仿宋" w:hAnsi="仿宋" w:eastAsia="仿宋" w:cs="仿宋"/>
                <w:b/>
                <w:bCs/>
                <w:color w:val="000000"/>
                <w:kern w:val="0"/>
                <w:sz w:val="32"/>
                <w:szCs w:val="32"/>
              </w:rPr>
              <w:t>主</w:t>
            </w:r>
            <w:r>
              <w:rPr>
                <w:rFonts w:hint="eastAsia" w:ascii="仿宋" w:hAnsi="仿宋" w:eastAsia="仿宋" w:cs="仿宋"/>
                <w:b/>
                <w:bCs/>
                <w:color w:val="000000"/>
                <w:kern w:val="0"/>
                <w:sz w:val="32"/>
                <w:szCs w:val="32"/>
              </w:rPr>
              <w:t>要工作成绩</w:t>
            </w:r>
          </w:p>
          <w:p>
            <w:pPr>
              <w:spacing w:line="600" w:lineRule="exact"/>
              <w:rPr>
                <w:rFonts w:ascii="仿宋" w:hAnsi="仿宋" w:eastAsia="仿宋" w:cs="仿宋"/>
                <w:color w:val="000000"/>
                <w:kern w:val="0"/>
                <w:sz w:val="32"/>
                <w:szCs w:val="32"/>
              </w:rPr>
            </w:pPr>
            <w:r>
              <w:rPr>
                <w:rFonts w:hint="eastAsia" w:ascii="仿宋" w:hAnsi="仿宋" w:eastAsia="仿宋" w:cs="仿宋"/>
                <w:color w:val="000000"/>
                <w:kern w:val="0"/>
                <w:sz w:val="32"/>
                <w:szCs w:val="32"/>
              </w:rPr>
              <w:t>（依据创建</w:t>
            </w:r>
            <w:r>
              <w:rPr>
                <w:rFonts w:hint="eastAsia" w:ascii="仿宋" w:hAnsi="仿宋" w:eastAsia="仿宋" w:cs="仿宋"/>
                <w:color w:val="000000"/>
                <w:kern w:val="0"/>
                <w:sz w:val="32"/>
                <w:szCs w:val="32"/>
                <w:lang w:eastAsia="zh-CN"/>
              </w:rPr>
              <w:t>指标体系</w:t>
            </w:r>
            <w:r>
              <w:rPr>
                <w:rFonts w:hint="eastAsia" w:ascii="仿宋" w:hAnsi="仿宋" w:eastAsia="仿宋" w:cs="仿宋"/>
                <w:color w:val="000000"/>
                <w:kern w:val="0"/>
                <w:sz w:val="32"/>
                <w:szCs w:val="32"/>
              </w:rPr>
              <w:t>逐条说明</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相关文件、记录、图文资料</w:t>
            </w:r>
            <w:r>
              <w:rPr>
                <w:rFonts w:ascii="仿宋" w:hAnsi="仿宋" w:eastAsia="仿宋" w:cs="仿宋"/>
                <w:color w:val="000000"/>
                <w:kern w:val="0"/>
                <w:sz w:val="32"/>
                <w:szCs w:val="32"/>
              </w:rPr>
              <w:t>等</w:t>
            </w:r>
            <w:r>
              <w:rPr>
                <w:rFonts w:hint="eastAsia" w:ascii="仿宋" w:hAnsi="仿宋" w:eastAsia="仿宋" w:cs="仿宋"/>
                <w:color w:val="000000"/>
                <w:kern w:val="0"/>
                <w:sz w:val="32"/>
                <w:szCs w:val="32"/>
                <w:lang w:eastAsia="zh-CN"/>
              </w:rPr>
              <w:t>作为附件附后</w:t>
            </w:r>
            <w:r>
              <w:rPr>
                <w:rFonts w:hint="eastAsia" w:ascii="仿宋" w:hAnsi="仿宋" w:eastAsia="仿宋" w:cs="仿宋"/>
                <w:color w:val="000000"/>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4" w:hRule="atLeast"/>
        </w:trPr>
        <w:tc>
          <w:tcPr>
            <w:tcW w:w="1540" w:type="dxa"/>
            <w:noWrap w:val="0"/>
            <w:vAlign w:val="center"/>
          </w:tcPr>
          <w:p>
            <w:pPr>
              <w:spacing w:line="600" w:lineRule="exact"/>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kern w:val="0"/>
                <w:sz w:val="32"/>
                <w:szCs w:val="32"/>
                <w:lang w:eastAsia="zh-CN"/>
              </w:rPr>
              <w:t>推荐单位意见</w:t>
            </w:r>
          </w:p>
        </w:tc>
        <w:tc>
          <w:tcPr>
            <w:tcW w:w="6973" w:type="dxa"/>
            <w:noWrap w:val="0"/>
            <w:vAlign w:val="top"/>
          </w:tcPr>
          <w:p>
            <w:pPr>
              <w:spacing w:line="600" w:lineRule="exact"/>
            </w:pPr>
          </w:p>
          <w:p>
            <w:pPr>
              <w:spacing w:line="600" w:lineRule="exact"/>
              <w:ind w:right="840"/>
            </w:pPr>
          </w:p>
          <w:p>
            <w:pPr>
              <w:spacing w:line="600" w:lineRule="exact"/>
              <w:ind w:right="840" w:firstLine="3990" w:firstLineChars="1900"/>
            </w:pPr>
            <w:r>
              <w:rPr>
                <w:rFonts w:hint="eastAsia"/>
              </w:rPr>
              <w:t>（盖章）</w:t>
            </w:r>
          </w:p>
          <w:p>
            <w:pPr>
              <w:spacing w:line="600" w:lineRule="exact"/>
            </w:pPr>
            <w:r>
              <w:t xml:space="preserve">                                   </w:t>
            </w:r>
            <w:r>
              <w:rPr>
                <w:rFonts w:hint="eastAsia"/>
              </w:rPr>
              <w:t xml:space="preserve">年 </w:t>
            </w:r>
            <w:r>
              <w:t xml:space="preserve">   </w:t>
            </w:r>
            <w:r>
              <w:rPr>
                <w:rFonts w:hint="eastAsia"/>
              </w:rPr>
              <w:t xml:space="preserve">月 </w:t>
            </w:r>
            <w: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trPr>
        <w:tc>
          <w:tcPr>
            <w:tcW w:w="1540" w:type="dxa"/>
            <w:noWrap w:val="0"/>
            <w:vAlign w:val="center"/>
          </w:tcPr>
          <w:p>
            <w:pPr>
              <w:spacing w:line="600" w:lineRule="exact"/>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kern w:val="0"/>
                <w:sz w:val="32"/>
                <w:szCs w:val="32"/>
              </w:rPr>
              <w:t>市</w:t>
            </w:r>
            <w:r>
              <w:rPr>
                <w:rFonts w:hint="eastAsia" w:ascii="仿宋_GB2312" w:hAnsi="仿宋_GB2312" w:eastAsia="仿宋_GB2312" w:cs="仿宋_GB2312"/>
                <w:color w:val="000000"/>
                <w:kern w:val="0"/>
                <w:sz w:val="32"/>
                <w:szCs w:val="32"/>
                <w:lang w:eastAsia="zh-CN"/>
              </w:rPr>
              <w:t>区营商办意见</w:t>
            </w:r>
          </w:p>
        </w:tc>
        <w:tc>
          <w:tcPr>
            <w:tcW w:w="6973" w:type="dxa"/>
            <w:noWrap w:val="0"/>
            <w:vAlign w:val="top"/>
          </w:tcPr>
          <w:p>
            <w:pPr>
              <w:spacing w:line="600" w:lineRule="exact"/>
            </w:pPr>
          </w:p>
          <w:p>
            <w:pPr>
              <w:spacing w:line="600" w:lineRule="exact"/>
              <w:ind w:right="840"/>
            </w:pPr>
          </w:p>
          <w:p>
            <w:pPr>
              <w:spacing w:line="600" w:lineRule="exact"/>
              <w:ind w:right="840" w:firstLine="3990" w:firstLineChars="1900"/>
            </w:pPr>
            <w:r>
              <w:rPr>
                <w:rFonts w:hint="eastAsia"/>
              </w:rPr>
              <w:t>（盖章）</w:t>
            </w:r>
          </w:p>
          <w:p>
            <w:pPr>
              <w:spacing w:line="600" w:lineRule="exact"/>
            </w:pPr>
            <w:r>
              <w:t xml:space="preserve">                                   </w:t>
            </w:r>
            <w:r>
              <w:rPr>
                <w:rFonts w:hint="eastAsia"/>
              </w:rPr>
              <w:t xml:space="preserve">年 </w:t>
            </w:r>
            <w:r>
              <w:t xml:space="preserve">   </w:t>
            </w:r>
            <w:r>
              <w:rPr>
                <w:rFonts w:hint="eastAsia"/>
              </w:rPr>
              <w:t xml:space="preserve">月 </w:t>
            </w:r>
            <w: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4" w:hRule="atLeast"/>
        </w:trPr>
        <w:tc>
          <w:tcPr>
            <w:tcW w:w="1540" w:type="dxa"/>
            <w:noWrap w:val="0"/>
            <w:vAlign w:val="center"/>
          </w:tcPr>
          <w:p>
            <w:pPr>
              <w:spacing w:line="600" w:lineRule="exact"/>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kern w:val="0"/>
                <w:sz w:val="32"/>
                <w:szCs w:val="32"/>
                <w:lang w:eastAsia="zh-CN"/>
              </w:rPr>
              <w:t>市区人民政府意见</w:t>
            </w:r>
          </w:p>
        </w:tc>
        <w:tc>
          <w:tcPr>
            <w:tcW w:w="6973" w:type="dxa"/>
            <w:noWrap w:val="0"/>
            <w:vAlign w:val="top"/>
          </w:tcPr>
          <w:p>
            <w:pPr>
              <w:spacing w:line="600" w:lineRule="exact"/>
            </w:pPr>
          </w:p>
          <w:p>
            <w:pPr>
              <w:spacing w:line="600" w:lineRule="exact"/>
              <w:ind w:right="840"/>
            </w:pPr>
          </w:p>
          <w:p>
            <w:pPr>
              <w:spacing w:line="600" w:lineRule="exact"/>
              <w:ind w:right="840" w:firstLine="3990" w:firstLineChars="1900"/>
            </w:pPr>
            <w:r>
              <w:rPr>
                <w:rFonts w:hint="eastAsia"/>
              </w:rPr>
              <w:t>（盖章）</w:t>
            </w:r>
          </w:p>
          <w:p>
            <w:pPr>
              <w:spacing w:line="600" w:lineRule="exact"/>
            </w:pPr>
            <w:r>
              <w:t xml:space="preserve">                                   </w:t>
            </w:r>
            <w:r>
              <w:rPr>
                <w:rFonts w:hint="eastAsia"/>
              </w:rPr>
              <w:t xml:space="preserve">年 </w:t>
            </w:r>
            <w:r>
              <w:t xml:space="preserve">   </w:t>
            </w:r>
            <w:r>
              <w:rPr>
                <w:rFonts w:hint="eastAsia"/>
              </w:rPr>
              <w:t xml:space="preserve">月 </w:t>
            </w:r>
            <w: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trPr>
        <w:tc>
          <w:tcPr>
            <w:tcW w:w="1540" w:type="dxa"/>
            <w:noWrap w:val="0"/>
            <w:vAlign w:val="center"/>
          </w:tcPr>
          <w:p>
            <w:pPr>
              <w:spacing w:line="600" w:lineRule="exact"/>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kern w:val="0"/>
                <w:sz w:val="32"/>
                <w:szCs w:val="32"/>
                <w:lang w:eastAsia="zh-CN"/>
              </w:rPr>
              <w:t>主办单位意见</w:t>
            </w:r>
          </w:p>
        </w:tc>
        <w:tc>
          <w:tcPr>
            <w:tcW w:w="6973" w:type="dxa"/>
            <w:noWrap w:val="0"/>
            <w:vAlign w:val="top"/>
          </w:tcPr>
          <w:p>
            <w:pPr>
              <w:spacing w:line="600" w:lineRule="exact"/>
            </w:pPr>
          </w:p>
          <w:p>
            <w:pPr>
              <w:spacing w:line="600" w:lineRule="exact"/>
            </w:pPr>
          </w:p>
          <w:p>
            <w:pPr>
              <w:spacing w:line="600" w:lineRule="exact"/>
              <w:ind w:right="840" w:firstLine="3990" w:firstLineChars="1900"/>
            </w:pPr>
            <w:r>
              <w:rPr>
                <w:rFonts w:hint="eastAsia"/>
              </w:rPr>
              <w:t>（盖章）</w:t>
            </w:r>
          </w:p>
          <w:p>
            <w:pPr>
              <w:spacing w:line="600" w:lineRule="exact"/>
            </w:pPr>
            <w:r>
              <w:t xml:space="preserve">                                   </w:t>
            </w:r>
            <w:r>
              <w:rPr>
                <w:rFonts w:hint="eastAsia"/>
              </w:rPr>
              <w:t xml:space="preserve">年 </w:t>
            </w:r>
            <w:r>
              <w:t xml:space="preserve">   </w:t>
            </w:r>
            <w:r>
              <w:rPr>
                <w:rFonts w:hint="eastAsia"/>
              </w:rPr>
              <w:t xml:space="preserve">月 </w:t>
            </w:r>
            <w:r>
              <w:t xml:space="preserve">   </w:t>
            </w:r>
            <w:r>
              <w:rPr>
                <w:rFonts w:hint="eastAsia"/>
              </w:rPr>
              <w:t>日</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eastAsia="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eastAsia="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eastAsia="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eastAsia="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eastAsia="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eastAsia="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xx县（区、市）</w:t>
      </w:r>
      <w:r>
        <w:rPr>
          <w:rFonts w:hint="eastAsia" w:ascii="方正小标宋简体" w:hAnsi="方正小标宋简体" w:eastAsia="方正小标宋简体" w:cs="方正小标宋简体"/>
          <w:color w:val="auto"/>
          <w:sz w:val="44"/>
          <w:szCs w:val="44"/>
          <w:lang w:eastAsia="zh-CN"/>
        </w:rPr>
        <w:t>营商环境创新示范区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工作方案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firstLine="640" w:firstLineChars="200"/>
        <w:contextualSpacing/>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w:t>
      </w:r>
      <w:r>
        <w:rPr>
          <w:rFonts w:hint="eastAsia" w:ascii="Times New Roman" w:hAnsi="Times New Roman" w:eastAsia="仿宋_GB2312" w:cs="Times New Roman"/>
          <w:color w:val="auto"/>
          <w:sz w:val="32"/>
          <w:szCs w:val="32"/>
          <w:lang w:eastAsia="zh-CN"/>
        </w:rPr>
        <w:t>加快打造市场化法治化国际化营商环境，</w:t>
      </w:r>
      <w:r>
        <w:rPr>
          <w:rFonts w:hint="default" w:ascii="Times New Roman" w:hAnsi="Times New Roman" w:eastAsia="仿宋_GB2312" w:cs="Times New Roman"/>
          <w:color w:val="auto"/>
          <w:sz w:val="32"/>
          <w:szCs w:val="32"/>
        </w:rPr>
        <w:t>更好发挥</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在全省营商环境</w:t>
      </w:r>
      <w:r>
        <w:rPr>
          <w:rFonts w:hint="default" w:ascii="Times New Roman" w:hAnsi="Times New Roman" w:eastAsia="仿宋_GB2312" w:cs="Times New Roman"/>
          <w:color w:val="auto"/>
          <w:sz w:val="32"/>
          <w:szCs w:val="32"/>
          <w:lang w:eastAsia="zh-CN"/>
        </w:rPr>
        <w:t>建设</w:t>
      </w:r>
      <w:r>
        <w:rPr>
          <w:rFonts w:hint="default" w:ascii="Times New Roman" w:hAnsi="Times New Roman" w:eastAsia="仿宋_GB2312" w:cs="Times New Roman"/>
          <w:color w:val="auto"/>
          <w:sz w:val="32"/>
          <w:szCs w:val="32"/>
        </w:rPr>
        <w:t>中的先行先试</w:t>
      </w:r>
      <w:r>
        <w:rPr>
          <w:rFonts w:hint="default" w:ascii="Times New Roman" w:hAnsi="Times New Roman" w:eastAsia="仿宋_GB2312" w:cs="Times New Roman"/>
          <w:color w:val="auto"/>
          <w:sz w:val="32"/>
          <w:szCs w:val="32"/>
          <w:lang w:eastAsia="zh-CN"/>
        </w:rPr>
        <w:t>及示范引领</w:t>
      </w:r>
      <w:r>
        <w:rPr>
          <w:rFonts w:hint="default" w:ascii="Times New Roman" w:hAnsi="Times New Roman" w:eastAsia="仿宋_GB2312" w:cs="Times New Roman"/>
          <w:color w:val="auto"/>
          <w:sz w:val="32"/>
          <w:szCs w:val="32"/>
        </w:rPr>
        <w:t>作用，根据</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陕西</w:t>
      </w:r>
      <w:r>
        <w:rPr>
          <w:rFonts w:hint="default" w:ascii="Times New Roman" w:hAnsi="Times New Roman" w:eastAsia="仿宋_GB2312" w:cs="Times New Roman"/>
          <w:color w:val="auto"/>
          <w:sz w:val="32"/>
          <w:szCs w:val="32"/>
          <w:lang w:eastAsia="zh-CN"/>
        </w:rPr>
        <w:t>省营商环境创新示范</w:t>
      </w:r>
      <w:r>
        <w:rPr>
          <w:rFonts w:hint="eastAsia" w:ascii="Times New Roman" w:hAnsi="Times New Roman" w:eastAsia="仿宋_GB2312" w:cs="Times New Roman"/>
          <w:color w:val="auto"/>
          <w:sz w:val="32"/>
          <w:szCs w:val="32"/>
          <w:lang w:eastAsia="zh-CN"/>
        </w:rPr>
        <w:t>区创建工作方案</w:t>
      </w:r>
      <w:r>
        <w:rPr>
          <w:rFonts w:hint="default" w:ascii="Times New Roman" w:hAnsi="Times New Roman" w:eastAsia="仿宋_GB2312" w:cs="Times New Roman"/>
          <w:color w:val="auto"/>
          <w:sz w:val="32"/>
          <w:szCs w:val="32"/>
          <w:lang w:eastAsia="zh-CN"/>
        </w:rPr>
        <w:t>》，结合</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实际</w:t>
      </w:r>
      <w:r>
        <w:rPr>
          <w:rFonts w:hint="default" w:ascii="Times New Roman" w:hAnsi="Times New Roman" w:eastAsia="仿宋_GB2312" w:cs="Times New Roman"/>
          <w:color w:val="auto"/>
          <w:sz w:val="32"/>
          <w:szCs w:val="32"/>
        </w:rPr>
        <w:t>，制定本方案。</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firstLine="640" w:firstLineChars="200"/>
        <w:contextualSpacing/>
        <w:jc w:val="both"/>
        <w:textAlignment w:val="auto"/>
        <w:outlineLvl w:val="9"/>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rPr>
        <w:t>一、</w:t>
      </w:r>
      <w:r>
        <w:rPr>
          <w:rFonts w:hint="default" w:ascii="Times New Roman" w:hAnsi="Times New Roman" w:eastAsia="黑体" w:cs="Times New Roman"/>
          <w:color w:val="auto"/>
          <w:sz w:val="32"/>
          <w:szCs w:val="32"/>
          <w:lang w:eastAsia="zh-CN"/>
        </w:rPr>
        <w:t>指导思想</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深入贯彻习近平总书记</w:t>
      </w:r>
      <w:r>
        <w:rPr>
          <w:rFonts w:hint="eastAsia" w:ascii="Times New Roman" w:hAnsi="Times New Roman" w:eastAsia="仿宋_GB2312" w:cs="Times New Roman"/>
          <w:color w:val="auto"/>
          <w:sz w:val="32"/>
          <w:szCs w:val="32"/>
          <w:lang w:eastAsia="zh-CN"/>
        </w:rPr>
        <w:t>来陕考察重要讲话精神</w:t>
      </w:r>
      <w:r>
        <w:rPr>
          <w:rFonts w:hint="default" w:ascii="Times New Roman" w:hAnsi="Times New Roman" w:eastAsia="仿宋_GB2312" w:cs="Times New Roman"/>
          <w:color w:val="auto"/>
          <w:sz w:val="32"/>
          <w:szCs w:val="32"/>
        </w:rPr>
        <w:t>，全面落实</w:t>
      </w:r>
      <w:r>
        <w:rPr>
          <w:rFonts w:hint="default" w:ascii="Times New Roman" w:hAnsi="Times New Roman" w:eastAsia="仿宋_GB2312" w:cs="Times New Roman"/>
          <w:color w:val="auto"/>
          <w:sz w:val="32"/>
          <w:szCs w:val="32"/>
          <w:lang w:eastAsia="zh-CN"/>
        </w:rPr>
        <w:t>国务院</w:t>
      </w:r>
      <w:r>
        <w:rPr>
          <w:rFonts w:hint="default" w:ascii="Times New Roman" w:hAnsi="Times New Roman" w:eastAsia="仿宋_GB2312" w:cs="Times New Roman"/>
          <w:color w:val="auto"/>
          <w:sz w:val="32"/>
          <w:szCs w:val="32"/>
        </w:rPr>
        <w:t>《优化营商环境条例》</w:t>
      </w:r>
      <w:r>
        <w:rPr>
          <w:rFonts w:hint="default" w:ascii="Times New Roman" w:hAnsi="Times New Roman" w:eastAsia="仿宋_GB2312" w:cs="Times New Roman"/>
          <w:color w:val="auto"/>
          <w:sz w:val="32"/>
          <w:szCs w:val="32"/>
          <w:lang w:eastAsia="zh-CN"/>
        </w:rPr>
        <w:t>和《</w:t>
      </w:r>
      <w:r>
        <w:rPr>
          <w:rFonts w:hint="eastAsia" w:ascii="Times New Roman" w:hAnsi="Times New Roman" w:eastAsia="仿宋_GB2312" w:cs="Times New Roman"/>
          <w:color w:val="auto"/>
          <w:sz w:val="32"/>
          <w:szCs w:val="32"/>
          <w:lang w:eastAsia="zh-CN"/>
        </w:rPr>
        <w:t>陕西</w:t>
      </w:r>
      <w:r>
        <w:rPr>
          <w:rFonts w:hint="default" w:ascii="Times New Roman" w:hAnsi="Times New Roman" w:eastAsia="仿宋_GB2312" w:cs="Times New Roman"/>
          <w:color w:val="auto"/>
          <w:sz w:val="32"/>
          <w:szCs w:val="32"/>
          <w:lang w:eastAsia="zh-CN"/>
        </w:rPr>
        <w:t>省优化营商环境条例》</w:t>
      </w:r>
      <w:r>
        <w:rPr>
          <w:rFonts w:hint="default" w:ascii="Times New Roman" w:hAnsi="Times New Roman" w:eastAsia="仿宋_GB2312" w:cs="Times New Roman"/>
          <w:color w:val="auto"/>
          <w:sz w:val="32"/>
          <w:szCs w:val="32"/>
        </w:rPr>
        <w:t>，</w:t>
      </w:r>
      <w:r>
        <w:rPr>
          <w:rFonts w:hint="eastAsia" w:ascii="仿宋_GB2312" w:eastAsia="仿宋_GB2312"/>
          <w:color w:val="auto"/>
          <w:sz w:val="32"/>
          <w:szCs w:val="32"/>
          <w:lang w:eastAsia="zh-CN"/>
        </w:rPr>
        <w:t>以打造市场化法治化国际化营商环境为目标，以创新引领、示范带动为主题，围绕营商环境重点领域加大改革创新力度，加强典型经验复制推广，发挥标杆引领示范作用，推动企业群众办事时间持续压减、满意度持续提升、体验感持续向好，打造具有陕西特色的营商环境创新示范区，引领全省营商环境持续优化。</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firstLine="640" w:firstLineChars="200"/>
        <w:contextualSpacing/>
        <w:jc w:val="both"/>
        <w:textAlignment w:val="auto"/>
        <w:outlineLvl w:val="9"/>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二、工作目标</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40" w:firstLineChars="200"/>
        <w:textAlignment w:val="auto"/>
        <w:outlineLvl w:val="9"/>
        <w:rPr>
          <w:rFonts w:hint="eastAsia" w:ascii="仿宋_GB2312" w:eastAsia="仿宋_GB2312"/>
          <w:color w:val="auto"/>
          <w:sz w:val="32"/>
          <w:szCs w:val="32"/>
          <w:lang w:val="en-US" w:eastAsia="zh-CN"/>
        </w:rPr>
      </w:pPr>
      <w:r>
        <w:rPr>
          <w:rFonts w:hint="default" w:ascii="Times New Roman" w:hAnsi="Times New Roman" w:eastAsia="仿宋_GB2312" w:cs="Times New Roman"/>
          <w:color w:val="auto"/>
          <w:sz w:val="32"/>
          <w:szCs w:val="32"/>
          <w:lang w:eastAsia="zh-CN"/>
        </w:rPr>
        <w:t>将优化营商环境工作作为“一把手”工程，建立健全营商环境高位推动机制、考核奖惩机制，</w:t>
      </w:r>
      <w:r>
        <w:rPr>
          <w:rFonts w:hint="eastAsia" w:ascii="仿宋_GB2312" w:eastAsia="仿宋_GB2312"/>
          <w:color w:val="auto"/>
          <w:sz w:val="32"/>
          <w:szCs w:val="32"/>
          <w:lang w:eastAsia="zh-CN"/>
        </w:rPr>
        <w:t>“人人都是营商环境”的良好氛围加快形成。推动《陕西省优化营商环境条例》《优化营商环境三年行动计划》深入实施，覆盖企业全生命周期的服务体系加快建立，开办和注销企业、办理建筑许可、获得电力、获得用水用气、不动产登记（可结合本县（区、市）实际进行明确）等营商环境重点领域改革持续深化，国家和全省推出的典型经验做法得到有效推广，部分领域改革成为全省、全国标杆，创新创业创造活力不断释放，营商环境成为新的竞争力</w:t>
      </w:r>
      <w:r>
        <w:rPr>
          <w:rFonts w:hint="eastAsia" w:ascii="仿宋_GB2312" w:eastAsia="仿宋_GB2312"/>
          <w:color w:val="auto"/>
          <w:sz w:val="32"/>
          <w:szCs w:val="32"/>
          <w:lang w:val="en-US"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before="0" w:after="0" w:line="600" w:lineRule="exact"/>
        <w:ind w:left="0" w:leftChars="0" w:right="0" w:firstLine="640" w:firstLineChars="200"/>
        <w:contextualSpacing/>
        <w:jc w:val="both"/>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主要任务</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right="0" w:rightChars="0" w:firstLine="640" w:firstLineChars="200"/>
        <w:contextualSpacing/>
        <w:jc w:val="both"/>
        <w:textAlignment w:val="auto"/>
        <w:outlineLvl w:val="9"/>
        <w:rPr>
          <w:rFonts w:hint="eastAsia" w:ascii="Times New Roman" w:hAnsi="Times New Roman" w:eastAsia="楷体" w:cs="Times New Roman"/>
          <w:color w:val="auto"/>
          <w:sz w:val="32"/>
          <w:szCs w:val="32"/>
          <w:lang w:eastAsia="zh-CN"/>
        </w:rPr>
      </w:pPr>
      <w:r>
        <w:rPr>
          <w:rFonts w:hint="eastAsia" w:ascii="Times New Roman" w:hAnsi="Times New Roman" w:eastAsia="楷体" w:cs="Times New Roman"/>
          <w:color w:val="auto"/>
          <w:sz w:val="32"/>
          <w:szCs w:val="32"/>
          <w:lang w:eastAsia="zh-CN"/>
        </w:rPr>
        <w:t>（</w:t>
      </w:r>
      <w:r>
        <w:rPr>
          <w:rFonts w:hint="default" w:ascii="Times New Roman" w:hAnsi="Times New Roman" w:eastAsia="楷体" w:cs="Times New Roman"/>
          <w:color w:val="auto"/>
          <w:sz w:val="32"/>
          <w:szCs w:val="32"/>
        </w:rPr>
        <w:t>一</w:t>
      </w:r>
      <w:r>
        <w:rPr>
          <w:rFonts w:hint="eastAsia" w:ascii="Times New Roman" w:hAnsi="Times New Roman" w:eastAsia="楷体" w:cs="Times New Roman"/>
          <w:color w:val="auto"/>
          <w:sz w:val="32"/>
          <w:szCs w:val="32"/>
          <w:lang w:eastAsia="zh-CN"/>
        </w:rPr>
        <w:t>）加强市场主体保护</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firstLine="640" w:firstLineChars="200"/>
        <w:contextualSpacing/>
        <w:jc w:val="both"/>
        <w:textAlignment w:val="auto"/>
        <w:outlineLvl w:val="9"/>
        <w:rPr>
          <w:rFonts w:hint="eastAsia" w:ascii="Times New Roman" w:hAnsi="Times New Roman" w:eastAsia="楷体" w:cs="Times New Roman"/>
          <w:color w:val="auto"/>
          <w:sz w:val="32"/>
          <w:szCs w:val="32"/>
          <w:lang w:eastAsia="zh-CN"/>
        </w:rPr>
      </w:pPr>
      <w:r>
        <w:rPr>
          <w:rFonts w:hint="eastAsia" w:ascii="Times New Roman" w:hAnsi="Times New Roman" w:eastAsia="楷体" w:cs="Times New Roman"/>
          <w:color w:val="auto"/>
          <w:sz w:val="32"/>
          <w:szCs w:val="32"/>
          <w:lang w:eastAsia="zh-CN"/>
        </w:rPr>
        <w:t>（</w:t>
      </w:r>
      <w:r>
        <w:rPr>
          <w:rFonts w:hint="default" w:ascii="Times New Roman" w:hAnsi="Times New Roman" w:eastAsia="楷体" w:cs="Times New Roman"/>
          <w:color w:val="auto"/>
          <w:sz w:val="32"/>
          <w:szCs w:val="32"/>
        </w:rPr>
        <w:t>二</w:t>
      </w:r>
      <w:r>
        <w:rPr>
          <w:rFonts w:hint="eastAsia" w:ascii="Times New Roman" w:hAnsi="Times New Roman" w:eastAsia="楷体" w:cs="Times New Roman"/>
          <w:color w:val="auto"/>
          <w:sz w:val="32"/>
          <w:szCs w:val="32"/>
          <w:lang w:eastAsia="zh-CN"/>
        </w:rPr>
        <w:t>）优化市场竞争环境</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firstLine="640" w:firstLineChars="200"/>
        <w:contextualSpacing/>
        <w:jc w:val="both"/>
        <w:textAlignment w:val="auto"/>
        <w:outlineLvl w:val="9"/>
        <w:rPr>
          <w:rFonts w:hint="eastAsia" w:ascii="Times New Roman" w:hAnsi="Times New Roman" w:eastAsia="楷体" w:cs="Times New Roman"/>
          <w:color w:val="auto"/>
          <w:sz w:val="32"/>
          <w:szCs w:val="32"/>
          <w:lang w:eastAsia="zh-CN"/>
        </w:rPr>
      </w:pPr>
      <w:r>
        <w:rPr>
          <w:rFonts w:hint="eastAsia" w:ascii="Times New Roman" w:hAnsi="Times New Roman" w:eastAsia="楷体" w:cs="Times New Roman"/>
          <w:color w:val="auto"/>
          <w:sz w:val="32"/>
          <w:szCs w:val="32"/>
          <w:lang w:eastAsia="zh-CN"/>
        </w:rPr>
        <w:t>（</w:t>
      </w:r>
      <w:r>
        <w:rPr>
          <w:rFonts w:hint="default" w:ascii="Times New Roman" w:hAnsi="Times New Roman" w:eastAsia="楷体" w:cs="Times New Roman"/>
          <w:color w:val="auto"/>
          <w:sz w:val="32"/>
          <w:szCs w:val="32"/>
        </w:rPr>
        <w:t>三</w:t>
      </w:r>
      <w:r>
        <w:rPr>
          <w:rFonts w:hint="eastAsia" w:ascii="Times New Roman" w:hAnsi="Times New Roman" w:eastAsia="楷体" w:cs="Times New Roman"/>
          <w:color w:val="auto"/>
          <w:sz w:val="32"/>
          <w:szCs w:val="32"/>
          <w:lang w:eastAsia="zh-CN"/>
        </w:rPr>
        <w:t>）提升</w:t>
      </w:r>
      <w:r>
        <w:rPr>
          <w:rFonts w:hint="default" w:ascii="Times New Roman" w:hAnsi="Times New Roman" w:eastAsia="楷体" w:cs="Times New Roman"/>
          <w:color w:val="auto"/>
          <w:sz w:val="32"/>
          <w:szCs w:val="32"/>
        </w:rPr>
        <w:t>政务服务</w:t>
      </w:r>
      <w:r>
        <w:rPr>
          <w:rFonts w:hint="eastAsia" w:ascii="Times New Roman" w:hAnsi="Times New Roman" w:eastAsia="楷体" w:cs="Times New Roman"/>
          <w:color w:val="auto"/>
          <w:sz w:val="32"/>
          <w:szCs w:val="32"/>
          <w:lang w:eastAsia="zh-CN"/>
        </w:rPr>
        <w:t>水平</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firstLine="640" w:firstLineChars="200"/>
        <w:contextualSpacing/>
        <w:jc w:val="both"/>
        <w:textAlignment w:val="auto"/>
        <w:outlineLvl w:val="9"/>
        <w:rPr>
          <w:rFonts w:hint="eastAsia" w:ascii="Times New Roman" w:hAnsi="Times New Roman" w:eastAsia="楷体" w:cs="Times New Roman"/>
          <w:color w:val="auto"/>
          <w:sz w:val="32"/>
          <w:szCs w:val="32"/>
          <w:lang w:eastAsia="zh-CN"/>
        </w:rPr>
      </w:pPr>
      <w:r>
        <w:rPr>
          <w:rFonts w:hint="eastAsia" w:ascii="Times New Roman" w:hAnsi="Times New Roman" w:eastAsia="楷体" w:cs="Times New Roman"/>
          <w:color w:val="auto"/>
          <w:sz w:val="32"/>
          <w:szCs w:val="32"/>
          <w:lang w:eastAsia="zh-CN"/>
        </w:rPr>
        <w:t>（</w:t>
      </w:r>
      <w:r>
        <w:rPr>
          <w:rFonts w:hint="default" w:ascii="Times New Roman" w:hAnsi="Times New Roman" w:eastAsia="楷体" w:cs="Times New Roman"/>
          <w:color w:val="auto"/>
          <w:sz w:val="32"/>
          <w:szCs w:val="32"/>
        </w:rPr>
        <w:t>四</w:t>
      </w:r>
      <w:r>
        <w:rPr>
          <w:rFonts w:hint="eastAsia" w:ascii="Times New Roman" w:hAnsi="Times New Roman" w:eastAsia="楷体" w:cs="Times New Roman"/>
          <w:color w:val="auto"/>
          <w:sz w:val="32"/>
          <w:szCs w:val="32"/>
          <w:lang w:eastAsia="zh-CN"/>
        </w:rPr>
        <w:t>）创新市场监管执法</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firstLine="640" w:firstLineChars="200"/>
        <w:contextualSpacing/>
        <w:jc w:val="both"/>
        <w:textAlignment w:val="auto"/>
        <w:outlineLvl w:val="9"/>
        <w:rPr>
          <w:rFonts w:hint="eastAsia" w:ascii="Times New Roman" w:hAnsi="Times New Roman" w:eastAsia="楷体" w:cs="Times New Roman"/>
          <w:color w:val="auto"/>
          <w:sz w:val="32"/>
          <w:szCs w:val="32"/>
          <w:lang w:eastAsia="zh-CN"/>
        </w:rPr>
      </w:pPr>
      <w:r>
        <w:rPr>
          <w:rFonts w:hint="eastAsia" w:ascii="Times New Roman" w:hAnsi="Times New Roman" w:eastAsia="楷体" w:cs="Times New Roman"/>
          <w:color w:val="auto"/>
          <w:sz w:val="32"/>
          <w:szCs w:val="32"/>
          <w:lang w:eastAsia="zh-CN"/>
        </w:rPr>
        <w:t>（五）复制推广先进做法</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firstLine="640" w:firstLineChars="200"/>
        <w:contextualSpacing/>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lang w:eastAsia="zh-CN"/>
        </w:rPr>
        <w:t>四</w:t>
      </w:r>
      <w:r>
        <w:rPr>
          <w:rFonts w:hint="default" w:ascii="Times New Roman" w:hAnsi="Times New Roman" w:eastAsia="黑体" w:cs="Times New Roman"/>
          <w:color w:val="auto"/>
          <w:sz w:val="32"/>
          <w:szCs w:val="32"/>
        </w:rPr>
        <w:t>、</w:t>
      </w:r>
      <w:r>
        <w:rPr>
          <w:rFonts w:hint="default" w:ascii="Times New Roman" w:hAnsi="Times New Roman" w:eastAsia="黑体" w:cs="Times New Roman"/>
          <w:color w:val="auto"/>
          <w:sz w:val="32"/>
          <w:szCs w:val="32"/>
          <w:lang w:eastAsia="zh-CN"/>
        </w:rPr>
        <w:t>保障措施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方正黑体_GBK" w:hAnsi="方正黑体_GBK" w:eastAsia="方正黑体_GBK" w:cs="方正黑体_GBK"/>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方正黑体_GBK" w:hAnsi="方正黑体_GBK" w:eastAsia="方正黑体_GBK" w:cs="方正黑体_GBK"/>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方正黑体_GBK" w:hAnsi="方正黑体_GBK" w:eastAsia="方正黑体_GBK" w:cs="方正黑体_GBK"/>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方正黑体_GBK" w:hAnsi="方正黑体_GBK" w:eastAsia="方正黑体_GBK" w:cs="方正黑体_GBK"/>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方正黑体_GBK" w:hAnsi="方正黑体_GBK" w:eastAsia="方正黑体_GBK" w:cs="方正黑体_GBK"/>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方正黑体_GBK" w:hAnsi="方正黑体_GBK" w:eastAsia="方正黑体_GBK" w:cs="方正黑体_GBK"/>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方正黑体_GBK" w:hAnsi="方正黑体_GBK" w:eastAsia="方正黑体_GBK" w:cs="方正黑体_GBK"/>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方正黑体_GBK" w:hAnsi="方正黑体_GBK" w:eastAsia="方正黑体_GBK" w:cs="方正黑体_GBK"/>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方正黑体_GBK" w:hAnsi="方正黑体_GBK" w:eastAsia="方正黑体_GBK" w:cs="方正黑体_GBK"/>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附件3</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32"/>
          <w:szCs w:val="32"/>
          <w:lang w:val="en-US" w:eastAsia="zh-CN"/>
        </w:rPr>
      </w:pPr>
      <w:r>
        <w:rPr>
          <w:rFonts w:hint="eastAsia" w:ascii="方正小标宋简体" w:hAnsi="方正小标宋简体" w:eastAsia="方正小标宋简体" w:cs="方正小标宋简体"/>
          <w:color w:val="auto"/>
          <w:sz w:val="32"/>
          <w:szCs w:val="32"/>
          <w:lang w:val="en-US" w:eastAsia="zh-CN"/>
        </w:rPr>
        <w:t>陕西省营商环境创新示范区创建指标体系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（2022年版）</w:t>
      </w:r>
    </w:p>
    <w:tbl>
      <w:tblPr>
        <w:tblStyle w:val="5"/>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567"/>
        <w:gridCol w:w="6672"/>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14" w:hRule="atLeast"/>
          <w:jc w:val="center"/>
        </w:trPr>
        <w:tc>
          <w:tcPr>
            <w:tcW w:w="1567" w:type="dxa"/>
            <w:tcBorders>
              <w:tl2br w:val="nil"/>
              <w:tr2bl w:val="nil"/>
            </w:tcBorders>
            <w:shd w:val="clear" w:color="auto" w:fill="FFFFFF"/>
            <w:noWrap w:val="0"/>
            <w:tcMar>
              <w:top w:w="135" w:type="dxa"/>
              <w:left w:w="225" w:type="dxa"/>
              <w:bottom w:w="135" w:type="dxa"/>
              <w:right w:w="22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一级指标</w:t>
            </w:r>
          </w:p>
        </w:tc>
        <w:tc>
          <w:tcPr>
            <w:tcW w:w="6672" w:type="dxa"/>
            <w:tcBorders>
              <w:tl2br w:val="nil"/>
              <w:tr2bl w:val="nil"/>
            </w:tcBorders>
            <w:shd w:val="clear" w:color="auto" w:fill="FFFFFF"/>
            <w:noWrap w:val="0"/>
            <w:tcMar>
              <w:top w:w="135" w:type="dxa"/>
              <w:left w:w="225" w:type="dxa"/>
              <w:bottom w:w="135" w:type="dxa"/>
              <w:right w:w="22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二级指标</w:t>
            </w:r>
          </w:p>
        </w:tc>
        <w:tc>
          <w:tcPr>
            <w:tcW w:w="1035" w:type="dxa"/>
            <w:tcBorders>
              <w:tl2br w:val="nil"/>
              <w:tr2bl w:val="nil"/>
            </w:tcBorders>
            <w:shd w:val="clear" w:color="auto" w:fill="FFFFFF"/>
            <w:noWrap w:val="0"/>
            <w:tcMar>
              <w:top w:w="135" w:type="dxa"/>
              <w:left w:w="225" w:type="dxa"/>
              <w:bottom w:w="135" w:type="dxa"/>
              <w:right w:w="22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567" w:type="dxa"/>
            <w:vMerge w:val="restart"/>
            <w:tcBorders>
              <w:tl2br w:val="nil"/>
              <w:tr2bl w:val="nil"/>
            </w:tcBorders>
            <w:shd w:val="clear" w:color="auto" w:fill="FFFFFF"/>
            <w:noWrap w:val="0"/>
            <w:tcMar>
              <w:top w:w="135" w:type="dxa"/>
              <w:left w:w="225" w:type="dxa"/>
              <w:bottom w:w="135" w:type="dxa"/>
              <w:right w:w="22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履行优化营商环境工作责任情况（15分）</w:t>
            </w:r>
          </w:p>
        </w:tc>
        <w:tc>
          <w:tcPr>
            <w:tcW w:w="6672" w:type="dxa"/>
            <w:tcBorders>
              <w:tl2br w:val="nil"/>
              <w:tr2bl w:val="nil"/>
            </w:tcBorders>
            <w:shd w:val="clear" w:color="auto" w:fill="FFFFFF"/>
            <w:noWrap w:val="0"/>
            <w:tcMar>
              <w:top w:w="135" w:type="dxa"/>
              <w:left w:w="225" w:type="dxa"/>
              <w:bottom w:w="135" w:type="dxa"/>
              <w:right w:w="22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政府</w:t>
            </w:r>
            <w:r>
              <w:rPr>
                <w:rFonts w:hint="eastAsia" w:ascii="仿宋_GB2312" w:hAnsi="仿宋_GB2312" w:eastAsia="仿宋_GB2312" w:cs="仿宋_GB2312"/>
                <w:sz w:val="24"/>
                <w:szCs w:val="24"/>
              </w:rPr>
              <w:t>主要负责同志将优化营商环境作为“一把手”工程，指导督促班子成员抓好分管领域营商环境建设工作情况。（3分）</w:t>
            </w:r>
          </w:p>
        </w:tc>
        <w:tc>
          <w:tcPr>
            <w:tcW w:w="1035" w:type="dxa"/>
            <w:tcBorders>
              <w:tl2br w:val="nil"/>
              <w:tr2bl w:val="nil"/>
            </w:tcBorders>
            <w:shd w:val="clear" w:color="auto" w:fill="FFFFFF"/>
            <w:noWrap w:val="0"/>
            <w:tcMar>
              <w:top w:w="135" w:type="dxa"/>
              <w:left w:w="225" w:type="dxa"/>
              <w:bottom w:w="135" w:type="dxa"/>
              <w:right w:w="22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567" w:type="dxa"/>
            <w:vMerge w:val="continue"/>
            <w:tcBorders>
              <w:tl2br w:val="nil"/>
              <w:tr2bl w:val="nil"/>
            </w:tcBorders>
            <w:shd w:val="clear" w:color="auto" w:fill="FFFFFF"/>
            <w:noWrap w:val="0"/>
            <w:tcMar>
              <w:top w:w="135" w:type="dxa"/>
              <w:left w:w="225" w:type="dxa"/>
              <w:bottom w:w="135" w:type="dxa"/>
              <w:right w:w="22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p>
        </w:tc>
        <w:tc>
          <w:tcPr>
            <w:tcW w:w="6672" w:type="dxa"/>
            <w:tcBorders>
              <w:tl2br w:val="nil"/>
              <w:tr2bl w:val="nil"/>
            </w:tcBorders>
            <w:shd w:val="clear" w:color="auto" w:fill="FFFFFF"/>
            <w:noWrap w:val="0"/>
            <w:tcMar>
              <w:top w:w="135" w:type="dxa"/>
              <w:left w:w="225" w:type="dxa"/>
              <w:bottom w:w="135" w:type="dxa"/>
              <w:right w:w="22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政府</w:t>
            </w:r>
            <w:r>
              <w:rPr>
                <w:rFonts w:hint="eastAsia" w:ascii="仿宋_GB2312" w:hAnsi="仿宋_GB2312" w:eastAsia="仿宋_GB2312" w:cs="仿宋_GB2312"/>
                <w:sz w:val="24"/>
                <w:szCs w:val="24"/>
              </w:rPr>
              <w:t>主要同志召开专门会议研究营商环境工作情况。（2分）</w:t>
            </w:r>
          </w:p>
        </w:tc>
        <w:tc>
          <w:tcPr>
            <w:tcW w:w="1035"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567" w:type="dxa"/>
            <w:vMerge w:val="continue"/>
            <w:tcBorders>
              <w:tl2br w:val="nil"/>
              <w:tr2bl w:val="nil"/>
            </w:tcBorders>
            <w:shd w:val="clear" w:color="auto" w:fill="FFFFFF"/>
            <w:noWrap w:val="0"/>
            <w:tcMar>
              <w:top w:w="135" w:type="dxa"/>
              <w:left w:w="225" w:type="dxa"/>
              <w:bottom w:w="135" w:type="dxa"/>
              <w:right w:w="22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p>
        </w:tc>
        <w:tc>
          <w:tcPr>
            <w:tcW w:w="6672" w:type="dxa"/>
            <w:tcBorders>
              <w:tl2br w:val="nil"/>
              <w:tr2bl w:val="nil"/>
            </w:tcBorders>
            <w:shd w:val="clear" w:color="auto" w:fill="FFFFFF"/>
            <w:noWrap w:val="0"/>
            <w:tcMar>
              <w:top w:w="135" w:type="dxa"/>
              <w:left w:w="225" w:type="dxa"/>
              <w:bottom w:w="135" w:type="dxa"/>
              <w:right w:w="22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国家、省</w:t>
            </w:r>
            <w:r>
              <w:rPr>
                <w:rFonts w:hint="eastAsia" w:ascii="仿宋_GB2312" w:hAnsi="仿宋_GB2312" w:eastAsia="仿宋_GB2312" w:cs="仿宋_GB2312"/>
                <w:sz w:val="24"/>
                <w:szCs w:val="24"/>
                <w:lang w:eastAsia="zh-CN"/>
              </w:rPr>
              <w:t>上</w:t>
            </w:r>
            <w:r>
              <w:rPr>
                <w:rFonts w:hint="eastAsia" w:ascii="仿宋_GB2312" w:hAnsi="仿宋_GB2312" w:eastAsia="仿宋_GB2312" w:cs="仿宋_GB2312"/>
                <w:sz w:val="24"/>
                <w:szCs w:val="24"/>
              </w:rPr>
              <w:t>优化营商环境工作部署及优化营商环境相关政策贯彻落实情况。（3分）</w:t>
            </w:r>
          </w:p>
        </w:tc>
        <w:tc>
          <w:tcPr>
            <w:tcW w:w="1035"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567" w:type="dxa"/>
            <w:vMerge w:val="continue"/>
            <w:tcBorders>
              <w:tl2br w:val="nil"/>
              <w:tr2bl w:val="nil"/>
            </w:tcBorders>
            <w:shd w:val="clear" w:color="auto" w:fill="FFFFFF"/>
            <w:noWrap w:val="0"/>
            <w:tcMar>
              <w:top w:w="135" w:type="dxa"/>
              <w:left w:w="225" w:type="dxa"/>
              <w:bottom w:w="135" w:type="dxa"/>
              <w:right w:w="22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p>
        </w:tc>
        <w:tc>
          <w:tcPr>
            <w:tcW w:w="6672" w:type="dxa"/>
            <w:tcBorders>
              <w:tl2br w:val="nil"/>
              <w:tr2bl w:val="nil"/>
            </w:tcBorders>
            <w:shd w:val="clear" w:color="auto" w:fill="FFFFFF"/>
            <w:noWrap w:val="0"/>
            <w:tcMar>
              <w:top w:w="135" w:type="dxa"/>
              <w:left w:w="225" w:type="dxa"/>
              <w:bottom w:w="135" w:type="dxa"/>
              <w:right w:w="22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日常工作推进情况。（5分）（配合、反馈、参与</w:t>
            </w:r>
            <w:r>
              <w:rPr>
                <w:rFonts w:hint="eastAsia" w:ascii="仿宋_GB2312" w:hAnsi="仿宋_GB2312" w:eastAsia="仿宋_GB2312" w:cs="仿宋_GB2312"/>
                <w:sz w:val="24"/>
                <w:szCs w:val="24"/>
                <w:lang w:eastAsia="zh-CN"/>
              </w:rPr>
              <w:t>省营商办</w:t>
            </w:r>
            <w:r>
              <w:rPr>
                <w:rFonts w:hint="eastAsia" w:ascii="仿宋_GB2312" w:hAnsi="仿宋_GB2312" w:eastAsia="仿宋_GB2312" w:cs="仿宋_GB2312"/>
                <w:sz w:val="24"/>
                <w:szCs w:val="24"/>
              </w:rPr>
              <w:t>联系的相关工作情况；按要求及时报送相关工作进展、工作总结等情况；报送工作简报、信息、重大改革创新等相关材料情况）</w:t>
            </w:r>
          </w:p>
        </w:tc>
        <w:tc>
          <w:tcPr>
            <w:tcW w:w="1035"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567" w:type="dxa"/>
            <w:vMerge w:val="continue"/>
            <w:tcBorders>
              <w:tl2br w:val="nil"/>
              <w:tr2bl w:val="nil"/>
            </w:tcBorders>
            <w:shd w:val="clear" w:color="auto" w:fill="FFFFFF"/>
            <w:noWrap w:val="0"/>
            <w:tcMar>
              <w:top w:w="135" w:type="dxa"/>
              <w:left w:w="225" w:type="dxa"/>
              <w:bottom w:w="135" w:type="dxa"/>
              <w:right w:w="22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p>
        </w:tc>
        <w:tc>
          <w:tcPr>
            <w:tcW w:w="6672" w:type="dxa"/>
            <w:tcBorders>
              <w:tl2br w:val="nil"/>
              <w:tr2bl w:val="nil"/>
            </w:tcBorders>
            <w:shd w:val="clear" w:color="auto" w:fill="FFFFFF"/>
            <w:noWrap w:val="0"/>
            <w:tcMar>
              <w:top w:w="135" w:type="dxa"/>
              <w:left w:w="225" w:type="dxa"/>
              <w:bottom w:w="135" w:type="dxa"/>
              <w:right w:w="22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针对市场主体反映的营商环境领域相关问题投诉处理情况。（</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分）</w:t>
            </w:r>
          </w:p>
        </w:tc>
        <w:tc>
          <w:tcPr>
            <w:tcW w:w="1035"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567" w:type="dxa"/>
            <w:vMerge w:val="restart"/>
            <w:tcBorders>
              <w:tl2br w:val="nil"/>
              <w:tr2bl w:val="nil"/>
            </w:tcBorders>
            <w:shd w:val="clear" w:color="auto" w:fill="FFFFFF"/>
            <w:noWrap w:val="0"/>
            <w:tcMar>
              <w:top w:w="135" w:type="dxa"/>
              <w:left w:w="225" w:type="dxa"/>
              <w:bottom w:w="135" w:type="dxa"/>
              <w:right w:w="22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工作机制及组织建设情况（10分）</w:t>
            </w:r>
          </w:p>
        </w:tc>
        <w:tc>
          <w:tcPr>
            <w:tcW w:w="6672" w:type="dxa"/>
            <w:tcBorders>
              <w:tl2br w:val="nil"/>
              <w:tr2bl w:val="nil"/>
            </w:tcBorders>
            <w:shd w:val="clear" w:color="auto" w:fill="FFFFFF"/>
            <w:noWrap w:val="0"/>
            <w:tcMar>
              <w:top w:w="135" w:type="dxa"/>
              <w:left w:w="225" w:type="dxa"/>
              <w:bottom w:w="135" w:type="dxa"/>
              <w:right w:w="22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优化营商环境工作</w:t>
            </w:r>
            <w:r>
              <w:rPr>
                <w:rFonts w:hint="eastAsia" w:ascii="仿宋_GB2312" w:hAnsi="仿宋_GB2312" w:eastAsia="仿宋_GB2312" w:cs="仿宋_GB2312"/>
                <w:sz w:val="24"/>
                <w:szCs w:val="24"/>
                <w:lang w:eastAsia="zh-CN"/>
              </w:rPr>
              <w:t>推进</w:t>
            </w:r>
            <w:r>
              <w:rPr>
                <w:rFonts w:hint="eastAsia" w:ascii="仿宋_GB2312" w:hAnsi="仿宋_GB2312" w:eastAsia="仿宋_GB2312" w:cs="仿宋_GB2312"/>
                <w:sz w:val="24"/>
                <w:szCs w:val="24"/>
              </w:rPr>
              <w:t>机制建立情况。（1分）</w:t>
            </w:r>
          </w:p>
        </w:tc>
        <w:tc>
          <w:tcPr>
            <w:tcW w:w="1035" w:type="dxa"/>
            <w:tcBorders>
              <w:tl2br w:val="nil"/>
              <w:tr2bl w:val="nil"/>
            </w:tcBorders>
            <w:shd w:val="clear" w:color="auto" w:fill="FFFFFF"/>
            <w:noWrap w:val="0"/>
            <w:tcMar>
              <w:top w:w="135" w:type="dxa"/>
              <w:left w:w="225" w:type="dxa"/>
              <w:bottom w:w="135" w:type="dxa"/>
              <w:right w:w="22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567" w:type="dxa"/>
            <w:vMerge w:val="continue"/>
            <w:tcBorders>
              <w:tl2br w:val="nil"/>
              <w:tr2bl w:val="nil"/>
            </w:tcBorders>
            <w:shd w:val="clear" w:color="auto" w:fill="FFFFFF"/>
            <w:noWrap w:val="0"/>
            <w:tcMar>
              <w:top w:w="135" w:type="dxa"/>
              <w:left w:w="225" w:type="dxa"/>
              <w:bottom w:w="135" w:type="dxa"/>
              <w:right w:w="22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p>
        </w:tc>
        <w:tc>
          <w:tcPr>
            <w:tcW w:w="6672" w:type="dxa"/>
            <w:tcBorders>
              <w:tl2br w:val="nil"/>
              <w:tr2bl w:val="nil"/>
            </w:tcBorders>
            <w:shd w:val="clear" w:color="auto" w:fill="FFFFFF"/>
            <w:noWrap w:val="0"/>
            <w:tcMar>
              <w:top w:w="135" w:type="dxa"/>
              <w:left w:w="225" w:type="dxa"/>
              <w:bottom w:w="135" w:type="dxa"/>
              <w:right w:w="22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优化营商环境工作机构建设情况。（3分）（专门的</w:t>
            </w:r>
            <w:r>
              <w:rPr>
                <w:rFonts w:hint="eastAsia" w:ascii="仿宋_GB2312" w:hAnsi="仿宋_GB2312" w:eastAsia="仿宋_GB2312" w:cs="仿宋_GB2312"/>
                <w:sz w:val="24"/>
                <w:szCs w:val="24"/>
                <w:lang w:eastAsia="zh-CN"/>
              </w:rPr>
              <w:t>优化</w:t>
            </w:r>
            <w:r>
              <w:rPr>
                <w:rFonts w:hint="eastAsia" w:ascii="仿宋_GB2312" w:hAnsi="仿宋_GB2312" w:eastAsia="仿宋_GB2312" w:cs="仿宋_GB2312"/>
                <w:sz w:val="24"/>
                <w:szCs w:val="24"/>
              </w:rPr>
              <w:t>营商环境</w:t>
            </w:r>
            <w:r>
              <w:rPr>
                <w:rFonts w:hint="eastAsia" w:ascii="仿宋_GB2312" w:hAnsi="仿宋_GB2312" w:eastAsia="仿宋_GB2312" w:cs="仿宋_GB2312"/>
                <w:sz w:val="24"/>
                <w:szCs w:val="24"/>
                <w:lang w:eastAsia="zh-CN"/>
              </w:rPr>
              <w:t>管理</w:t>
            </w:r>
            <w:r>
              <w:rPr>
                <w:rFonts w:hint="eastAsia" w:ascii="仿宋_GB2312" w:hAnsi="仿宋_GB2312" w:eastAsia="仿宋_GB2312" w:cs="仿宋_GB2312"/>
                <w:sz w:val="24"/>
                <w:szCs w:val="24"/>
              </w:rPr>
              <w:t>机构和专职工作人员配备情况等）</w:t>
            </w:r>
          </w:p>
        </w:tc>
        <w:tc>
          <w:tcPr>
            <w:tcW w:w="1035"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567" w:type="dxa"/>
            <w:vMerge w:val="continue"/>
            <w:tcBorders>
              <w:tl2br w:val="nil"/>
              <w:tr2bl w:val="nil"/>
            </w:tcBorders>
            <w:shd w:val="clear" w:color="auto" w:fill="FFFFFF"/>
            <w:noWrap w:val="0"/>
            <w:tcMar>
              <w:top w:w="135" w:type="dxa"/>
              <w:left w:w="225" w:type="dxa"/>
              <w:bottom w:w="135" w:type="dxa"/>
              <w:right w:w="22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p>
        </w:tc>
        <w:tc>
          <w:tcPr>
            <w:tcW w:w="6672" w:type="dxa"/>
            <w:tcBorders>
              <w:tl2br w:val="nil"/>
              <w:tr2bl w:val="nil"/>
            </w:tcBorders>
            <w:shd w:val="clear" w:color="auto" w:fill="FFFFFF"/>
            <w:noWrap w:val="0"/>
            <w:tcMar>
              <w:top w:w="135" w:type="dxa"/>
              <w:left w:w="225" w:type="dxa"/>
              <w:bottom w:w="135" w:type="dxa"/>
              <w:right w:w="22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牵头部门、配合</w:t>
            </w:r>
            <w:r>
              <w:rPr>
                <w:rFonts w:hint="eastAsia" w:ascii="仿宋_GB2312" w:hAnsi="仿宋_GB2312" w:eastAsia="仿宋_GB2312" w:cs="仿宋_GB2312"/>
                <w:sz w:val="24"/>
                <w:szCs w:val="24"/>
              </w:rPr>
              <w:t>部门间协调联动工作机制建设情况。（2分）</w:t>
            </w:r>
          </w:p>
        </w:tc>
        <w:tc>
          <w:tcPr>
            <w:tcW w:w="1035"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567" w:type="dxa"/>
            <w:vMerge w:val="continue"/>
            <w:tcBorders>
              <w:tl2br w:val="nil"/>
              <w:tr2bl w:val="nil"/>
            </w:tcBorders>
            <w:shd w:val="clear" w:color="auto" w:fill="FFFFFF"/>
            <w:noWrap w:val="0"/>
            <w:tcMar>
              <w:top w:w="135" w:type="dxa"/>
              <w:left w:w="225" w:type="dxa"/>
              <w:bottom w:w="135" w:type="dxa"/>
              <w:right w:w="22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p>
        </w:tc>
        <w:tc>
          <w:tcPr>
            <w:tcW w:w="6672" w:type="dxa"/>
            <w:tcBorders>
              <w:tl2br w:val="nil"/>
              <w:tr2bl w:val="nil"/>
            </w:tcBorders>
            <w:shd w:val="clear" w:color="auto" w:fill="FFFFFF"/>
            <w:noWrap w:val="0"/>
            <w:tcMar>
              <w:top w:w="135" w:type="dxa"/>
              <w:left w:w="225" w:type="dxa"/>
              <w:bottom w:w="135" w:type="dxa"/>
              <w:right w:w="22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优化营商环境领导小组召开会议，协调解决营商环境领域重大问题情况。（</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分）</w:t>
            </w:r>
          </w:p>
        </w:tc>
        <w:tc>
          <w:tcPr>
            <w:tcW w:w="1035"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567" w:type="dxa"/>
            <w:vMerge w:val="restart"/>
            <w:tcBorders>
              <w:tl2br w:val="nil"/>
              <w:tr2bl w:val="nil"/>
            </w:tcBorders>
            <w:shd w:val="clear" w:color="auto" w:fill="FFFFFF"/>
            <w:noWrap w:val="0"/>
            <w:tcMar>
              <w:top w:w="135" w:type="dxa"/>
              <w:left w:w="225" w:type="dxa"/>
              <w:bottom w:w="135" w:type="dxa"/>
              <w:right w:w="22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营商环境宣传</w:t>
            </w:r>
            <w:r>
              <w:rPr>
                <w:rFonts w:hint="eastAsia" w:ascii="仿宋_GB2312" w:hAnsi="仿宋_GB2312" w:eastAsia="仿宋_GB2312" w:cs="仿宋_GB2312"/>
                <w:sz w:val="24"/>
                <w:szCs w:val="24"/>
              </w:rPr>
              <w:t>（10分）</w:t>
            </w:r>
          </w:p>
        </w:tc>
        <w:tc>
          <w:tcPr>
            <w:tcW w:w="6672" w:type="dxa"/>
            <w:tcBorders>
              <w:tl2br w:val="nil"/>
              <w:tr2bl w:val="nil"/>
            </w:tcBorders>
            <w:shd w:val="clear" w:color="auto" w:fill="FFFFFF"/>
            <w:noWrap w:val="0"/>
            <w:tcMar>
              <w:top w:w="135" w:type="dxa"/>
              <w:left w:w="225" w:type="dxa"/>
              <w:bottom w:w="135" w:type="dxa"/>
              <w:right w:w="22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政府门户网站营商环境专栏开设情况</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（1分）</w:t>
            </w:r>
          </w:p>
        </w:tc>
        <w:tc>
          <w:tcPr>
            <w:tcW w:w="1035" w:type="dxa"/>
            <w:tcBorders>
              <w:tl2br w:val="nil"/>
              <w:tr2bl w:val="nil"/>
            </w:tcBorders>
            <w:shd w:val="clear" w:color="auto" w:fill="FFFFFF"/>
            <w:noWrap w:val="0"/>
            <w:tcMar>
              <w:top w:w="135" w:type="dxa"/>
              <w:left w:w="225" w:type="dxa"/>
              <w:bottom w:w="135" w:type="dxa"/>
              <w:right w:w="22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567" w:type="dxa"/>
            <w:vMerge w:val="continue"/>
            <w:tcBorders>
              <w:tl2br w:val="nil"/>
              <w:tr2bl w:val="nil"/>
            </w:tcBorders>
            <w:shd w:val="clear" w:color="auto" w:fill="FFFFFF"/>
            <w:noWrap w:val="0"/>
            <w:tcMar>
              <w:top w:w="135" w:type="dxa"/>
              <w:left w:w="225" w:type="dxa"/>
              <w:bottom w:w="135" w:type="dxa"/>
              <w:right w:w="22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p>
        </w:tc>
        <w:tc>
          <w:tcPr>
            <w:tcW w:w="6672" w:type="dxa"/>
            <w:tcBorders>
              <w:tl2br w:val="nil"/>
              <w:tr2bl w:val="nil"/>
            </w:tcBorders>
            <w:shd w:val="clear" w:color="auto" w:fill="FFFFFF"/>
            <w:noWrap w:val="0"/>
            <w:tcMar>
              <w:top w:w="135" w:type="dxa"/>
              <w:left w:w="225" w:type="dxa"/>
              <w:bottom w:w="135" w:type="dxa"/>
              <w:right w:w="22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在国家级媒体宣传营商环境情况，相关先进典型案例被国家级媒体转载报道情况。（</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分）</w:t>
            </w:r>
          </w:p>
        </w:tc>
        <w:tc>
          <w:tcPr>
            <w:tcW w:w="1035"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567" w:type="dxa"/>
            <w:vMerge w:val="continue"/>
            <w:tcBorders>
              <w:tl2br w:val="nil"/>
              <w:tr2bl w:val="nil"/>
            </w:tcBorders>
            <w:shd w:val="clear" w:color="auto" w:fill="FFFFFF"/>
            <w:noWrap w:val="0"/>
            <w:tcMar>
              <w:top w:w="135" w:type="dxa"/>
              <w:left w:w="225" w:type="dxa"/>
              <w:bottom w:w="135" w:type="dxa"/>
              <w:right w:w="22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p>
        </w:tc>
        <w:tc>
          <w:tcPr>
            <w:tcW w:w="6672" w:type="dxa"/>
            <w:tcBorders>
              <w:tl2br w:val="nil"/>
              <w:tr2bl w:val="nil"/>
            </w:tcBorders>
            <w:shd w:val="clear" w:color="auto" w:fill="FFFFFF"/>
            <w:noWrap w:val="0"/>
            <w:tcMar>
              <w:top w:w="135" w:type="dxa"/>
              <w:left w:w="225" w:type="dxa"/>
              <w:bottom w:w="135" w:type="dxa"/>
              <w:right w:w="22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在</w:t>
            </w:r>
            <w:r>
              <w:rPr>
                <w:rFonts w:hint="eastAsia" w:ascii="仿宋_GB2312" w:hAnsi="仿宋_GB2312" w:eastAsia="仿宋_GB2312" w:cs="仿宋_GB2312"/>
                <w:sz w:val="24"/>
                <w:szCs w:val="24"/>
                <w:lang w:eastAsia="zh-CN"/>
              </w:rPr>
              <w:t>陕西</w:t>
            </w:r>
            <w:r>
              <w:rPr>
                <w:rFonts w:hint="eastAsia" w:ascii="仿宋_GB2312" w:hAnsi="仿宋_GB2312" w:eastAsia="仿宋_GB2312" w:cs="仿宋_GB2312"/>
                <w:sz w:val="24"/>
                <w:szCs w:val="24"/>
              </w:rPr>
              <w:t>日报、</w:t>
            </w:r>
            <w:r>
              <w:rPr>
                <w:rFonts w:hint="eastAsia" w:ascii="仿宋_GB2312" w:hAnsi="仿宋_GB2312" w:eastAsia="仿宋_GB2312" w:cs="仿宋_GB2312"/>
                <w:sz w:val="24"/>
                <w:szCs w:val="24"/>
                <w:lang w:eastAsia="zh-CN"/>
              </w:rPr>
              <w:t>陕西卫视、陕西</w:t>
            </w:r>
            <w:r>
              <w:rPr>
                <w:rFonts w:hint="eastAsia" w:ascii="仿宋_GB2312" w:hAnsi="仿宋_GB2312" w:eastAsia="仿宋_GB2312" w:cs="仿宋_GB2312"/>
                <w:sz w:val="24"/>
                <w:szCs w:val="24"/>
                <w:lang w:val="en-US" w:eastAsia="zh-CN"/>
              </w:rPr>
              <w:t>1套</w:t>
            </w:r>
            <w:r>
              <w:rPr>
                <w:rFonts w:hint="eastAsia" w:ascii="仿宋_GB2312" w:hAnsi="仿宋_GB2312" w:eastAsia="仿宋_GB2312" w:cs="仿宋_GB2312"/>
                <w:sz w:val="24"/>
                <w:szCs w:val="24"/>
              </w:rPr>
              <w:t>等新闻</w:t>
            </w:r>
            <w:r>
              <w:rPr>
                <w:rFonts w:hint="eastAsia" w:ascii="仿宋_GB2312" w:hAnsi="仿宋_GB2312" w:eastAsia="仿宋_GB2312" w:cs="仿宋_GB2312"/>
                <w:sz w:val="24"/>
                <w:szCs w:val="24"/>
                <w:lang w:eastAsia="zh-CN"/>
              </w:rPr>
              <w:t>媒体</w:t>
            </w:r>
            <w:r>
              <w:rPr>
                <w:rFonts w:hint="eastAsia" w:ascii="仿宋_GB2312" w:hAnsi="仿宋_GB2312" w:eastAsia="仿宋_GB2312" w:cs="仿宋_GB2312"/>
                <w:sz w:val="24"/>
                <w:szCs w:val="24"/>
              </w:rPr>
              <w:t>宣传报道情况</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分）</w:t>
            </w:r>
          </w:p>
        </w:tc>
        <w:tc>
          <w:tcPr>
            <w:tcW w:w="1035"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567" w:type="dxa"/>
            <w:vMerge w:val="continue"/>
            <w:tcBorders>
              <w:tl2br w:val="nil"/>
              <w:tr2bl w:val="nil"/>
            </w:tcBorders>
            <w:shd w:val="clear" w:color="auto" w:fill="FFFFFF"/>
            <w:noWrap w:val="0"/>
            <w:tcMar>
              <w:top w:w="135" w:type="dxa"/>
              <w:left w:w="225" w:type="dxa"/>
              <w:bottom w:w="135" w:type="dxa"/>
              <w:right w:w="22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p>
        </w:tc>
        <w:tc>
          <w:tcPr>
            <w:tcW w:w="6672" w:type="dxa"/>
            <w:tcBorders>
              <w:tl2br w:val="nil"/>
              <w:tr2bl w:val="nil"/>
            </w:tcBorders>
            <w:shd w:val="clear" w:color="auto" w:fill="FFFFFF"/>
            <w:noWrap w:val="0"/>
            <w:tcMar>
              <w:top w:w="135" w:type="dxa"/>
              <w:left w:w="225" w:type="dxa"/>
              <w:bottom w:w="135" w:type="dxa"/>
              <w:right w:w="22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开展国家优化营商环境条例、</w:t>
            </w:r>
            <w:r>
              <w:rPr>
                <w:rFonts w:hint="eastAsia" w:ascii="仿宋_GB2312" w:hAnsi="仿宋_GB2312" w:eastAsia="仿宋_GB2312" w:cs="仿宋_GB2312"/>
                <w:sz w:val="24"/>
                <w:szCs w:val="24"/>
                <w:lang w:eastAsia="zh-CN"/>
              </w:rPr>
              <w:t>陕西</w:t>
            </w:r>
            <w:r>
              <w:rPr>
                <w:rFonts w:hint="eastAsia" w:ascii="仿宋_GB2312" w:hAnsi="仿宋_GB2312" w:eastAsia="仿宋_GB2312" w:cs="仿宋_GB2312"/>
                <w:sz w:val="24"/>
                <w:szCs w:val="24"/>
              </w:rPr>
              <w:t>省优化营商环境条例</w:t>
            </w:r>
            <w:r>
              <w:rPr>
                <w:rFonts w:hint="eastAsia" w:ascii="仿宋_GB2312" w:hAnsi="仿宋_GB2312" w:eastAsia="仿宋_GB2312" w:cs="仿宋_GB2312"/>
                <w:sz w:val="24"/>
                <w:szCs w:val="24"/>
                <w:lang w:eastAsia="zh-CN"/>
              </w:rPr>
              <w:t>、优化营商环境三年行动计划</w:t>
            </w:r>
            <w:r>
              <w:rPr>
                <w:rFonts w:hint="eastAsia" w:ascii="仿宋_GB2312" w:hAnsi="仿宋_GB2312" w:eastAsia="仿宋_GB2312" w:cs="仿宋_GB2312"/>
                <w:sz w:val="24"/>
                <w:szCs w:val="24"/>
              </w:rPr>
              <w:t>等相关法规政策宣传情况。（</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分）</w:t>
            </w:r>
          </w:p>
        </w:tc>
        <w:tc>
          <w:tcPr>
            <w:tcW w:w="1035"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567" w:type="dxa"/>
            <w:vMerge w:val="continue"/>
            <w:tcBorders>
              <w:tl2br w:val="nil"/>
              <w:tr2bl w:val="nil"/>
            </w:tcBorders>
            <w:shd w:val="clear" w:color="auto" w:fill="FFFFFF"/>
            <w:noWrap w:val="0"/>
            <w:tcMar>
              <w:top w:w="135" w:type="dxa"/>
              <w:left w:w="225" w:type="dxa"/>
              <w:bottom w:w="135" w:type="dxa"/>
              <w:right w:w="22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p>
        </w:tc>
        <w:tc>
          <w:tcPr>
            <w:tcW w:w="6672" w:type="dxa"/>
            <w:tcBorders>
              <w:tl2br w:val="nil"/>
              <w:tr2bl w:val="nil"/>
            </w:tcBorders>
            <w:shd w:val="clear" w:color="auto" w:fill="FFFFFF"/>
            <w:noWrap w:val="0"/>
            <w:tcMar>
              <w:top w:w="135" w:type="dxa"/>
              <w:left w:w="225" w:type="dxa"/>
              <w:bottom w:w="135" w:type="dxa"/>
              <w:right w:w="22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总结典型案例，加强信息报送工作的情况</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（1分）</w:t>
            </w:r>
          </w:p>
        </w:tc>
        <w:tc>
          <w:tcPr>
            <w:tcW w:w="1035"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567" w:type="dxa"/>
            <w:vMerge w:val="restart"/>
            <w:tcBorders>
              <w:tl2br w:val="nil"/>
              <w:tr2bl w:val="nil"/>
            </w:tcBorders>
            <w:shd w:val="clear" w:color="auto" w:fill="FFFFFF"/>
            <w:noWrap w:val="0"/>
            <w:tcMar>
              <w:top w:w="135" w:type="dxa"/>
              <w:left w:w="225" w:type="dxa"/>
              <w:bottom w:w="135" w:type="dxa"/>
              <w:right w:w="22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开展复制推广借鉴工作情况（</w:t>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lang w:eastAsia="zh-CN"/>
              </w:rPr>
              <w:t>）</w:t>
            </w:r>
          </w:p>
        </w:tc>
        <w:tc>
          <w:tcPr>
            <w:tcW w:w="6672" w:type="dxa"/>
            <w:tcBorders>
              <w:tl2br w:val="nil"/>
              <w:tr2bl w:val="nil"/>
            </w:tcBorders>
            <w:shd w:val="clear" w:color="auto" w:fill="FFFFFF"/>
            <w:noWrap w:val="0"/>
            <w:tcMar>
              <w:top w:w="135" w:type="dxa"/>
              <w:left w:w="225" w:type="dxa"/>
              <w:bottom w:w="135" w:type="dxa"/>
              <w:right w:w="22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及时开展复制推广借鉴工作。（</w:t>
            </w:r>
            <w:r>
              <w:rPr>
                <w:rFonts w:hint="eastAsia" w:ascii="仿宋_GB2312" w:hAnsi="仿宋_GB2312" w:eastAsia="仿宋_GB2312" w:cs="仿宋_GB2312"/>
                <w:sz w:val="24"/>
                <w:szCs w:val="24"/>
                <w:lang w:val="en-US" w:eastAsia="zh-CN"/>
              </w:rPr>
              <w:t>2分</w:t>
            </w:r>
            <w:r>
              <w:rPr>
                <w:rFonts w:hint="eastAsia" w:ascii="仿宋_GB2312" w:hAnsi="仿宋_GB2312" w:eastAsia="仿宋_GB2312" w:cs="仿宋_GB2312"/>
                <w:sz w:val="24"/>
                <w:szCs w:val="24"/>
                <w:lang w:eastAsia="zh-CN"/>
              </w:rPr>
              <w:t>）</w:t>
            </w:r>
          </w:p>
        </w:tc>
        <w:tc>
          <w:tcPr>
            <w:tcW w:w="1035"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567" w:type="dxa"/>
            <w:vMerge w:val="continue"/>
            <w:tcBorders>
              <w:tl2br w:val="nil"/>
              <w:tr2bl w:val="nil"/>
            </w:tcBorders>
            <w:shd w:val="clear" w:color="auto" w:fill="FFFFFF"/>
            <w:noWrap w:val="0"/>
            <w:tcMar>
              <w:top w:w="135" w:type="dxa"/>
              <w:left w:w="225" w:type="dxa"/>
              <w:bottom w:w="135" w:type="dxa"/>
              <w:right w:w="22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p>
        </w:tc>
        <w:tc>
          <w:tcPr>
            <w:tcW w:w="6672" w:type="dxa"/>
            <w:tcBorders>
              <w:tl2br w:val="nil"/>
              <w:tr2bl w:val="nil"/>
            </w:tcBorders>
            <w:shd w:val="clear" w:color="auto" w:fill="FFFFFF"/>
            <w:noWrap w:val="0"/>
            <w:tcMar>
              <w:top w:w="135" w:type="dxa"/>
              <w:left w:w="225" w:type="dxa"/>
              <w:bottom w:w="135" w:type="dxa"/>
              <w:right w:w="22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近 2 年全省推广的典型经验，每落地 1 项得 </w:t>
            </w:r>
            <w:r>
              <w:rPr>
                <w:rFonts w:hint="default" w:ascii="仿宋_GB2312" w:hAnsi="仿宋_GB2312" w:eastAsia="仿宋_GB2312" w:cs="仿宋_GB2312"/>
                <w:sz w:val="24"/>
                <w:szCs w:val="24"/>
                <w:lang w:val="en" w:eastAsia="zh-CN"/>
              </w:rPr>
              <w:t>0.5</w:t>
            </w:r>
            <w:r>
              <w:rPr>
                <w:rFonts w:hint="eastAsia" w:ascii="仿宋_GB2312" w:hAnsi="仿宋_GB2312" w:eastAsia="仿宋_GB2312" w:cs="仿宋_GB2312"/>
                <w:sz w:val="24"/>
                <w:szCs w:val="24"/>
                <w:lang w:val="en-US" w:eastAsia="zh-CN"/>
              </w:rPr>
              <w:t>分。（总分不超过 18 分）</w:t>
            </w:r>
          </w:p>
        </w:tc>
        <w:tc>
          <w:tcPr>
            <w:tcW w:w="1035"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440" w:hRule="atLeast"/>
          <w:jc w:val="center"/>
        </w:trPr>
        <w:tc>
          <w:tcPr>
            <w:tcW w:w="1567" w:type="dxa"/>
            <w:tcBorders>
              <w:tl2br w:val="nil"/>
              <w:tr2bl w:val="nil"/>
            </w:tcBorders>
            <w:shd w:val="clear" w:color="auto" w:fill="FFFFFF"/>
            <w:noWrap w:val="0"/>
            <w:tcMar>
              <w:top w:w="135" w:type="dxa"/>
              <w:left w:w="225" w:type="dxa"/>
              <w:bottom w:w="135" w:type="dxa"/>
              <w:right w:w="22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示范区营商环境评价</w:t>
            </w:r>
            <w:r>
              <w:rPr>
                <w:rFonts w:hint="eastAsia" w:ascii="仿宋_GB2312" w:hAnsi="仿宋_GB2312" w:eastAsia="仿宋_GB2312" w:cs="仿宋_GB2312"/>
                <w:sz w:val="24"/>
                <w:szCs w:val="24"/>
                <w:lang w:eastAsia="zh-CN"/>
              </w:rPr>
              <w:t>考核</w:t>
            </w:r>
            <w:r>
              <w:rPr>
                <w:rFonts w:hint="eastAsia" w:ascii="仿宋_GB2312" w:hAnsi="仿宋_GB2312" w:eastAsia="仿宋_GB2312" w:cs="仿宋_GB2312"/>
                <w:sz w:val="24"/>
                <w:szCs w:val="24"/>
              </w:rPr>
              <w:t>情况（</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0分）</w:t>
            </w:r>
          </w:p>
        </w:tc>
        <w:tc>
          <w:tcPr>
            <w:tcW w:w="6672" w:type="dxa"/>
            <w:tcBorders>
              <w:tl2br w:val="nil"/>
              <w:tr2bl w:val="nil"/>
            </w:tcBorders>
            <w:shd w:val="clear" w:color="auto" w:fill="FFFFFF"/>
            <w:noWrap w:val="0"/>
            <w:tcMar>
              <w:top w:w="135" w:type="dxa"/>
              <w:left w:w="225" w:type="dxa"/>
              <w:bottom w:w="135" w:type="dxa"/>
              <w:right w:w="22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区县、开发区（自贸区）在各市区营商环境考核中前两名得</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0分、</w:t>
            </w:r>
            <w:r>
              <w:rPr>
                <w:rFonts w:hint="eastAsia" w:ascii="仿宋_GB2312" w:hAnsi="仿宋_GB2312" w:eastAsia="仿宋_GB2312" w:cs="仿宋_GB2312"/>
                <w:sz w:val="24"/>
                <w:szCs w:val="24"/>
                <w:lang w:eastAsia="zh-CN"/>
              </w:rPr>
              <w:t>前四名</w:t>
            </w:r>
            <w:r>
              <w:rPr>
                <w:rFonts w:hint="eastAsia" w:ascii="仿宋_GB2312" w:hAnsi="仿宋_GB2312" w:eastAsia="仿宋_GB2312" w:cs="仿宋_GB2312"/>
                <w:sz w:val="24"/>
                <w:szCs w:val="24"/>
              </w:rPr>
              <w:t>得</w:t>
            </w:r>
            <w:r>
              <w:rPr>
                <w:rFonts w:hint="eastAsia" w:ascii="仿宋_GB2312" w:hAnsi="仿宋_GB2312" w:eastAsia="仿宋_GB2312" w:cs="仿宋_GB2312"/>
                <w:sz w:val="24"/>
                <w:szCs w:val="24"/>
                <w:lang w:val="en-US" w:eastAsia="zh-CN"/>
              </w:rPr>
              <w:t>25</w:t>
            </w:r>
            <w:r>
              <w:rPr>
                <w:rFonts w:hint="eastAsia" w:ascii="仿宋_GB2312" w:hAnsi="仿宋_GB2312" w:eastAsia="仿宋_GB2312" w:cs="仿宋_GB2312"/>
                <w:sz w:val="24"/>
                <w:szCs w:val="24"/>
              </w:rPr>
              <w:t>分、前</w:t>
            </w:r>
            <w:r>
              <w:rPr>
                <w:rFonts w:hint="eastAsia" w:ascii="仿宋_GB2312" w:hAnsi="仿宋_GB2312" w:eastAsia="仿宋_GB2312" w:cs="仿宋_GB2312"/>
                <w:sz w:val="24"/>
                <w:szCs w:val="24"/>
                <w:lang w:eastAsia="zh-CN"/>
              </w:rPr>
              <w:t>六名</w:t>
            </w:r>
            <w:r>
              <w:rPr>
                <w:rFonts w:hint="eastAsia" w:ascii="仿宋_GB2312" w:hAnsi="仿宋_GB2312" w:eastAsia="仿宋_GB2312" w:cs="仿宋_GB2312"/>
                <w:sz w:val="24"/>
                <w:szCs w:val="24"/>
              </w:rPr>
              <w:t>得</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0分。</w:t>
            </w:r>
          </w:p>
        </w:tc>
        <w:tc>
          <w:tcPr>
            <w:tcW w:w="1035" w:type="dxa"/>
            <w:tcBorders>
              <w:tl2br w:val="nil"/>
              <w:tr2bl w:val="nil"/>
            </w:tcBorders>
            <w:shd w:val="clear" w:color="auto" w:fill="FFFFFF"/>
            <w:noWrap w:val="0"/>
            <w:tcMar>
              <w:top w:w="135" w:type="dxa"/>
              <w:left w:w="225" w:type="dxa"/>
              <w:bottom w:w="135" w:type="dxa"/>
              <w:right w:w="22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567" w:type="dxa"/>
            <w:vMerge w:val="restart"/>
            <w:tcBorders>
              <w:tl2br w:val="nil"/>
              <w:tr2bl w:val="nil"/>
            </w:tcBorders>
            <w:shd w:val="clear" w:color="auto" w:fill="FFFFFF"/>
            <w:noWrap w:val="0"/>
            <w:tcMar>
              <w:top w:w="135" w:type="dxa"/>
              <w:left w:w="225" w:type="dxa"/>
              <w:bottom w:w="135" w:type="dxa"/>
              <w:right w:w="22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示范创建工作方案制定情况（15分）</w:t>
            </w:r>
          </w:p>
        </w:tc>
        <w:tc>
          <w:tcPr>
            <w:tcW w:w="6672" w:type="dxa"/>
            <w:tcBorders>
              <w:tl2br w:val="nil"/>
              <w:tr2bl w:val="nil"/>
            </w:tcBorders>
            <w:shd w:val="clear" w:color="auto" w:fill="FFFFFF"/>
            <w:noWrap w:val="0"/>
            <w:tcMar>
              <w:top w:w="135" w:type="dxa"/>
              <w:left w:w="225" w:type="dxa"/>
              <w:bottom w:w="135" w:type="dxa"/>
              <w:right w:w="22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改革创新目标全国领先，具有示范性、前瞻性</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（8分）</w:t>
            </w:r>
          </w:p>
        </w:tc>
        <w:tc>
          <w:tcPr>
            <w:tcW w:w="1035" w:type="dxa"/>
            <w:tcBorders>
              <w:tl2br w:val="nil"/>
              <w:tr2bl w:val="nil"/>
            </w:tcBorders>
            <w:shd w:val="clear" w:color="auto" w:fill="FFFFFF"/>
            <w:noWrap w:val="0"/>
            <w:tcMar>
              <w:top w:w="135" w:type="dxa"/>
              <w:left w:w="225" w:type="dxa"/>
              <w:bottom w:w="135" w:type="dxa"/>
              <w:right w:w="22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567" w:type="dxa"/>
            <w:vMerge w:val="continue"/>
            <w:tcBorders>
              <w:tl2br w:val="nil"/>
              <w:tr2bl w:val="nil"/>
            </w:tcBorders>
            <w:shd w:val="clear" w:color="auto" w:fill="FFFFFF"/>
            <w:noWrap w:val="0"/>
            <w:tcMar>
              <w:top w:w="135" w:type="dxa"/>
              <w:left w:w="225" w:type="dxa"/>
              <w:bottom w:w="135" w:type="dxa"/>
              <w:right w:w="22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p>
        </w:tc>
        <w:tc>
          <w:tcPr>
            <w:tcW w:w="6672" w:type="dxa"/>
            <w:tcBorders>
              <w:tl2br w:val="nil"/>
              <w:tr2bl w:val="nil"/>
            </w:tcBorders>
            <w:shd w:val="clear" w:color="auto" w:fill="FFFFFF"/>
            <w:noWrap w:val="0"/>
            <w:tcMar>
              <w:top w:w="135" w:type="dxa"/>
              <w:left w:w="225" w:type="dxa"/>
              <w:bottom w:w="135" w:type="dxa"/>
              <w:right w:w="22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在体制机制改革、先进经验推广、重点问题攻坚等方面举措完善、路线图时间表明确。（7分）</w:t>
            </w:r>
          </w:p>
        </w:tc>
        <w:tc>
          <w:tcPr>
            <w:tcW w:w="1035"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567" w:type="dxa"/>
            <w:vMerge w:val="restart"/>
            <w:tcBorders>
              <w:tl2br w:val="nil"/>
              <w:tr2bl w:val="nil"/>
            </w:tcBorders>
            <w:shd w:val="clear" w:color="auto" w:fill="FFFFFF"/>
            <w:noWrap w:val="0"/>
            <w:tcMar>
              <w:top w:w="135" w:type="dxa"/>
              <w:left w:w="225" w:type="dxa"/>
              <w:bottom w:w="135" w:type="dxa"/>
              <w:right w:w="22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营商环境工作创新情况</w:t>
            </w:r>
            <w:r>
              <w:rPr>
                <w:rFonts w:hint="eastAsia" w:ascii="仿宋_GB2312" w:hAnsi="仿宋_GB2312" w:eastAsia="仿宋_GB2312" w:cs="仿宋_GB2312"/>
                <w:sz w:val="24"/>
                <w:szCs w:val="24"/>
              </w:rPr>
              <w:t>（加分项，2</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分）</w:t>
            </w:r>
          </w:p>
        </w:tc>
        <w:tc>
          <w:tcPr>
            <w:tcW w:w="6672" w:type="dxa"/>
            <w:tcBorders>
              <w:tl2br w:val="nil"/>
              <w:tr2bl w:val="nil"/>
            </w:tcBorders>
            <w:shd w:val="clear" w:color="auto" w:fill="FFFFFF"/>
            <w:noWrap w:val="0"/>
            <w:tcMar>
              <w:top w:w="135" w:type="dxa"/>
              <w:left w:w="225" w:type="dxa"/>
              <w:bottom w:w="135" w:type="dxa"/>
              <w:right w:w="22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在营商环境重点领域受到过党中央国务院（5分），国家部委、省委省政府（3分）通报表扬或奖励</w:t>
            </w:r>
            <w:r>
              <w:rPr>
                <w:rFonts w:hint="eastAsia" w:ascii="仿宋_GB2312" w:hAnsi="仿宋_GB2312" w:eastAsia="仿宋_GB2312" w:cs="仿宋_GB2312"/>
                <w:sz w:val="24"/>
                <w:szCs w:val="24"/>
                <w:lang w:eastAsia="zh-CN"/>
              </w:rPr>
              <w:t>的</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（总分不超过</w:t>
            </w:r>
            <w:r>
              <w:rPr>
                <w:rFonts w:hint="eastAsia" w:ascii="仿宋_GB2312" w:hAnsi="仿宋_GB2312" w:eastAsia="仿宋_GB2312" w:cs="仿宋_GB2312"/>
                <w:sz w:val="24"/>
                <w:szCs w:val="24"/>
              </w:rPr>
              <w:t>5分）</w:t>
            </w:r>
          </w:p>
        </w:tc>
        <w:tc>
          <w:tcPr>
            <w:tcW w:w="1035" w:type="dxa"/>
            <w:tcBorders>
              <w:tl2br w:val="nil"/>
              <w:tr2bl w:val="nil"/>
            </w:tcBorders>
            <w:shd w:val="clear" w:color="auto" w:fill="FFFFFF"/>
            <w:noWrap w:val="0"/>
            <w:tcMar>
              <w:top w:w="135" w:type="dxa"/>
              <w:left w:w="225" w:type="dxa"/>
              <w:bottom w:w="135" w:type="dxa"/>
              <w:right w:w="22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567" w:type="dxa"/>
            <w:vMerge w:val="continue"/>
            <w:tcBorders>
              <w:tl2br w:val="nil"/>
              <w:tr2bl w:val="nil"/>
            </w:tcBorders>
            <w:shd w:val="clear" w:color="auto" w:fill="FFFFFF"/>
            <w:noWrap w:val="0"/>
            <w:tcMar>
              <w:top w:w="135" w:type="dxa"/>
              <w:left w:w="225" w:type="dxa"/>
              <w:bottom w:w="135" w:type="dxa"/>
              <w:right w:w="22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p>
        </w:tc>
        <w:tc>
          <w:tcPr>
            <w:tcW w:w="6672" w:type="dxa"/>
            <w:tcBorders>
              <w:tl2br w:val="nil"/>
              <w:tr2bl w:val="nil"/>
            </w:tcBorders>
            <w:shd w:val="clear" w:color="auto" w:fill="FFFFFF"/>
            <w:noWrap w:val="0"/>
            <w:tcMar>
              <w:top w:w="135" w:type="dxa"/>
              <w:left w:w="225" w:type="dxa"/>
              <w:bottom w:w="135" w:type="dxa"/>
              <w:right w:w="22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近2年</w:t>
            </w:r>
            <w:r>
              <w:rPr>
                <w:rFonts w:hint="eastAsia" w:ascii="仿宋_GB2312" w:hAnsi="仿宋_GB2312" w:eastAsia="仿宋_GB2312" w:cs="仿宋_GB2312"/>
                <w:sz w:val="24"/>
                <w:szCs w:val="24"/>
                <w:lang w:eastAsia="zh-CN"/>
              </w:rPr>
              <w:t>营商环境重点</w:t>
            </w:r>
            <w:r>
              <w:rPr>
                <w:rFonts w:hint="eastAsia" w:ascii="仿宋_GB2312" w:hAnsi="仿宋_GB2312" w:eastAsia="仿宋_GB2312" w:cs="仿宋_GB2312"/>
                <w:sz w:val="24"/>
                <w:szCs w:val="24"/>
              </w:rPr>
              <w:t>领域被确定为国家级示范试点。（5分）</w:t>
            </w:r>
          </w:p>
        </w:tc>
        <w:tc>
          <w:tcPr>
            <w:tcW w:w="1035"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24" w:hRule="atLeast"/>
          <w:jc w:val="center"/>
        </w:trPr>
        <w:tc>
          <w:tcPr>
            <w:tcW w:w="1567" w:type="dxa"/>
            <w:vMerge w:val="continue"/>
            <w:tcBorders>
              <w:tl2br w:val="nil"/>
              <w:tr2bl w:val="nil"/>
            </w:tcBorders>
            <w:shd w:val="clear" w:color="auto" w:fill="FFFFFF"/>
            <w:noWrap w:val="0"/>
            <w:tcMar>
              <w:top w:w="135" w:type="dxa"/>
              <w:left w:w="225" w:type="dxa"/>
              <w:bottom w:w="135" w:type="dxa"/>
              <w:right w:w="22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p>
        </w:tc>
        <w:tc>
          <w:tcPr>
            <w:tcW w:w="6672" w:type="dxa"/>
            <w:tcBorders>
              <w:tl2br w:val="nil"/>
              <w:tr2bl w:val="nil"/>
            </w:tcBorders>
            <w:shd w:val="clear" w:color="auto" w:fill="FFFFFF"/>
            <w:noWrap w:val="0"/>
            <w:tcMar>
              <w:top w:w="135" w:type="dxa"/>
              <w:left w:w="225" w:type="dxa"/>
              <w:bottom w:w="135" w:type="dxa"/>
              <w:right w:w="22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近</w:t>
            </w:r>
            <w:r>
              <w:rPr>
                <w:rFonts w:hint="eastAsia" w:ascii="仿宋_GB2312" w:hAnsi="仿宋_GB2312" w:eastAsia="仿宋_GB2312" w:cs="仿宋_GB2312"/>
                <w:sz w:val="24"/>
                <w:szCs w:val="24"/>
              </w:rPr>
              <w:t>2年有重大创新突破</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好经验好做法被全国</w:t>
            </w:r>
            <w:r>
              <w:rPr>
                <w:rFonts w:hint="eastAsia" w:ascii="仿宋_GB2312" w:hAnsi="仿宋_GB2312" w:eastAsia="仿宋_GB2312" w:cs="仿宋_GB2312"/>
                <w:sz w:val="24"/>
                <w:szCs w:val="24"/>
                <w:lang w:eastAsia="zh-CN"/>
              </w:rPr>
              <w:t>、全省</w:t>
            </w:r>
            <w:r>
              <w:rPr>
                <w:rFonts w:hint="eastAsia" w:ascii="仿宋_GB2312" w:hAnsi="仿宋_GB2312" w:eastAsia="仿宋_GB2312" w:cs="仿宋_GB2312"/>
                <w:sz w:val="24"/>
                <w:szCs w:val="24"/>
              </w:rPr>
              <w:t>复制推广等情况。（</w:t>
            </w:r>
            <w:r>
              <w:rPr>
                <w:rFonts w:hint="eastAsia" w:ascii="仿宋_GB2312" w:hAnsi="仿宋_GB2312" w:eastAsia="仿宋_GB2312" w:cs="仿宋_GB2312"/>
                <w:sz w:val="24"/>
                <w:szCs w:val="24"/>
                <w:lang w:val="en-US" w:eastAsia="zh-CN"/>
              </w:rPr>
              <w:t>全国复制推广一个加4分，</w:t>
            </w:r>
            <w:r>
              <w:rPr>
                <w:rFonts w:hint="eastAsia" w:ascii="仿宋_GB2312" w:hAnsi="仿宋_GB2312" w:eastAsia="仿宋_GB2312" w:cs="仿宋_GB2312"/>
                <w:sz w:val="24"/>
                <w:szCs w:val="24"/>
                <w:lang w:eastAsia="zh-CN"/>
              </w:rPr>
              <w:t>全省复制推广一个加</w:t>
            </w:r>
            <w:r>
              <w:rPr>
                <w:rFonts w:hint="eastAsia" w:ascii="仿宋_GB2312" w:hAnsi="仿宋_GB2312" w:eastAsia="仿宋_GB2312" w:cs="仿宋_GB2312"/>
                <w:sz w:val="24"/>
                <w:szCs w:val="24"/>
                <w:lang w:val="en-US" w:eastAsia="zh-CN"/>
              </w:rPr>
              <w:t>2分，最多加满10</w:t>
            </w:r>
            <w:r>
              <w:rPr>
                <w:rFonts w:hint="eastAsia" w:ascii="仿宋_GB2312" w:hAnsi="仿宋_GB2312" w:eastAsia="仿宋_GB2312" w:cs="仿宋_GB2312"/>
                <w:sz w:val="24"/>
                <w:szCs w:val="24"/>
              </w:rPr>
              <w:t>分）</w:t>
            </w:r>
          </w:p>
        </w:tc>
        <w:tc>
          <w:tcPr>
            <w:tcW w:w="1035"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567" w:type="dxa"/>
            <w:vMerge w:val="continue"/>
            <w:tcBorders>
              <w:tl2br w:val="nil"/>
              <w:tr2bl w:val="nil"/>
            </w:tcBorders>
            <w:shd w:val="clear" w:color="auto" w:fill="FFFFFF"/>
            <w:noWrap w:val="0"/>
            <w:tcMar>
              <w:top w:w="135" w:type="dxa"/>
              <w:left w:w="225" w:type="dxa"/>
              <w:bottom w:w="135" w:type="dxa"/>
              <w:right w:w="22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p>
        </w:tc>
        <w:tc>
          <w:tcPr>
            <w:tcW w:w="6672" w:type="dxa"/>
            <w:tcBorders>
              <w:tl2br w:val="nil"/>
              <w:tr2bl w:val="nil"/>
            </w:tcBorders>
            <w:shd w:val="clear" w:color="auto" w:fill="FFFFFF"/>
            <w:noWrap w:val="0"/>
            <w:tcMar>
              <w:top w:w="135" w:type="dxa"/>
              <w:left w:w="225" w:type="dxa"/>
              <w:bottom w:w="135" w:type="dxa"/>
              <w:right w:w="22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近</w:t>
            </w:r>
            <w:r>
              <w:rPr>
                <w:rFonts w:hint="eastAsia" w:ascii="仿宋_GB2312" w:hAnsi="仿宋_GB2312" w:eastAsia="仿宋_GB2312" w:cs="仿宋_GB2312"/>
                <w:sz w:val="24"/>
                <w:szCs w:val="24"/>
              </w:rPr>
              <w:t>2年有先进经验在全国</w:t>
            </w:r>
            <w:r>
              <w:rPr>
                <w:rFonts w:hint="eastAsia" w:ascii="仿宋_GB2312" w:hAnsi="仿宋_GB2312" w:eastAsia="仿宋_GB2312" w:cs="仿宋_GB2312"/>
                <w:sz w:val="24"/>
                <w:szCs w:val="24"/>
                <w:lang w:eastAsia="zh-CN"/>
              </w:rPr>
              <w:t>、全省优化营商环境工作</w:t>
            </w:r>
            <w:r>
              <w:rPr>
                <w:rFonts w:hint="eastAsia" w:ascii="仿宋_GB2312" w:hAnsi="仿宋_GB2312" w:eastAsia="仿宋_GB2312" w:cs="仿宋_GB2312"/>
                <w:sz w:val="24"/>
                <w:szCs w:val="24"/>
              </w:rPr>
              <w:t>会议上交流。（</w:t>
            </w:r>
            <w:r>
              <w:rPr>
                <w:rFonts w:hint="eastAsia" w:ascii="仿宋_GB2312" w:hAnsi="仿宋_GB2312" w:eastAsia="仿宋_GB2312" w:cs="仿宋_GB2312"/>
                <w:sz w:val="24"/>
                <w:szCs w:val="24"/>
                <w:lang w:eastAsia="zh-CN"/>
              </w:rPr>
              <w:t>全国交流一次加</w:t>
            </w:r>
            <w:r>
              <w:rPr>
                <w:rFonts w:hint="eastAsia" w:ascii="仿宋_GB2312" w:hAnsi="仿宋_GB2312" w:eastAsia="仿宋_GB2312" w:cs="仿宋_GB2312"/>
                <w:sz w:val="24"/>
                <w:szCs w:val="24"/>
                <w:lang w:val="en-US" w:eastAsia="zh-CN"/>
              </w:rPr>
              <w:t>3分，全省交流一次加2分，最多加满</w:t>
            </w:r>
            <w:r>
              <w:rPr>
                <w:rFonts w:hint="eastAsia" w:ascii="仿宋_GB2312" w:hAnsi="仿宋_GB2312" w:eastAsia="仿宋_GB2312" w:cs="仿宋_GB2312"/>
                <w:sz w:val="24"/>
                <w:szCs w:val="24"/>
              </w:rPr>
              <w:t>5分）</w:t>
            </w:r>
          </w:p>
        </w:tc>
        <w:tc>
          <w:tcPr>
            <w:tcW w:w="1035"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567" w:type="dxa"/>
            <w:vMerge w:val="restart"/>
            <w:tcBorders>
              <w:tl2br w:val="nil"/>
              <w:tr2bl w:val="nil"/>
            </w:tcBorders>
            <w:shd w:val="clear" w:color="auto" w:fill="FFFFFF"/>
            <w:noWrap w:val="0"/>
            <w:tcMar>
              <w:top w:w="135" w:type="dxa"/>
              <w:left w:w="225" w:type="dxa"/>
              <w:bottom w:w="135" w:type="dxa"/>
              <w:right w:w="22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营商环境领域风险防控情况（扣分项，2</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分）</w:t>
            </w:r>
          </w:p>
        </w:tc>
        <w:tc>
          <w:tcPr>
            <w:tcW w:w="6672" w:type="dxa"/>
            <w:tcBorders>
              <w:tl2br w:val="nil"/>
              <w:tr2bl w:val="nil"/>
            </w:tcBorders>
            <w:shd w:val="clear" w:color="auto" w:fill="FFFFFF"/>
            <w:noWrap w:val="0"/>
            <w:tcMar>
              <w:top w:w="135" w:type="dxa"/>
              <w:left w:w="225" w:type="dxa"/>
              <w:bottom w:w="135" w:type="dxa"/>
              <w:right w:w="22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近2</w:t>
            </w:r>
            <w:r>
              <w:rPr>
                <w:rFonts w:hint="eastAsia" w:ascii="仿宋_GB2312" w:hAnsi="仿宋_GB2312" w:eastAsia="仿宋_GB2312" w:cs="仿宋_GB2312"/>
                <w:sz w:val="24"/>
                <w:szCs w:val="24"/>
              </w:rPr>
              <w:t>年，发生恶劣社会影响的侵害市场主体权益、政府失信行为、统计造假及其他因弄虚作假被国家通报批评等影响营商环境事件情况。（每次扣</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分，最多扣满</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分）</w:t>
            </w:r>
          </w:p>
        </w:tc>
        <w:tc>
          <w:tcPr>
            <w:tcW w:w="1035" w:type="dxa"/>
            <w:tcBorders>
              <w:tl2br w:val="nil"/>
              <w:tr2bl w:val="nil"/>
            </w:tcBorders>
            <w:shd w:val="clear" w:color="auto" w:fill="FFFFFF"/>
            <w:noWrap w:val="0"/>
            <w:tcMar>
              <w:top w:w="135" w:type="dxa"/>
              <w:left w:w="225" w:type="dxa"/>
              <w:bottom w:w="135" w:type="dxa"/>
              <w:right w:w="22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567" w:type="dxa"/>
            <w:vMerge w:val="continue"/>
            <w:tcBorders>
              <w:tl2br w:val="nil"/>
              <w:tr2bl w:val="nil"/>
            </w:tcBorders>
            <w:shd w:val="clear" w:color="auto" w:fill="FFFFFF"/>
            <w:noWrap w:val="0"/>
            <w:tcMar>
              <w:top w:w="135" w:type="dxa"/>
              <w:left w:w="225" w:type="dxa"/>
              <w:bottom w:w="135" w:type="dxa"/>
              <w:right w:w="22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p>
        </w:tc>
        <w:tc>
          <w:tcPr>
            <w:tcW w:w="6672" w:type="dxa"/>
            <w:tcBorders>
              <w:tl2br w:val="nil"/>
              <w:tr2bl w:val="nil"/>
            </w:tcBorders>
            <w:shd w:val="clear" w:color="auto" w:fill="FFFFFF"/>
            <w:noWrap w:val="0"/>
            <w:tcMar>
              <w:top w:w="135" w:type="dxa"/>
              <w:left w:w="225" w:type="dxa"/>
              <w:bottom w:w="135" w:type="dxa"/>
              <w:right w:w="22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市场主体反映的问题未及时处理，被</w:t>
            </w:r>
            <w:r>
              <w:rPr>
                <w:rFonts w:hint="eastAsia" w:ascii="仿宋_GB2312" w:hAnsi="仿宋_GB2312" w:eastAsia="仿宋_GB2312" w:cs="仿宋_GB2312"/>
                <w:sz w:val="24"/>
                <w:szCs w:val="24"/>
                <w:lang w:eastAsia="zh-CN"/>
              </w:rPr>
              <w:t>省级以上部门通报的</w:t>
            </w:r>
            <w:r>
              <w:rPr>
                <w:rFonts w:hint="eastAsia" w:ascii="仿宋_GB2312" w:hAnsi="仿宋_GB2312" w:eastAsia="仿宋_GB2312" w:cs="仿宋_GB2312"/>
                <w:sz w:val="24"/>
                <w:szCs w:val="24"/>
              </w:rPr>
              <w:t>事件。（每次扣1分，最多扣满5分）</w:t>
            </w:r>
          </w:p>
        </w:tc>
        <w:tc>
          <w:tcPr>
            <w:tcW w:w="1035"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567" w:type="dxa"/>
            <w:vMerge w:val="continue"/>
            <w:tcBorders>
              <w:tl2br w:val="nil"/>
              <w:tr2bl w:val="nil"/>
            </w:tcBorders>
            <w:shd w:val="clear" w:color="auto" w:fill="FFFFFF"/>
            <w:noWrap w:val="0"/>
            <w:tcMar>
              <w:top w:w="135" w:type="dxa"/>
              <w:left w:w="225" w:type="dxa"/>
              <w:bottom w:w="135" w:type="dxa"/>
              <w:right w:w="22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p>
        </w:tc>
        <w:tc>
          <w:tcPr>
            <w:tcW w:w="6672" w:type="dxa"/>
            <w:tcBorders>
              <w:tl2br w:val="nil"/>
              <w:tr2bl w:val="nil"/>
            </w:tcBorders>
            <w:shd w:val="clear" w:color="auto" w:fill="FFFFFF"/>
            <w:noWrap w:val="0"/>
            <w:tcMar>
              <w:top w:w="135" w:type="dxa"/>
              <w:left w:w="225" w:type="dxa"/>
              <w:bottom w:w="135" w:type="dxa"/>
              <w:right w:w="22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对在实地核验、督查中，发现有严重影响全省优化营商环境行为的事件。（每次扣1分，最多扣满5分）</w:t>
            </w:r>
          </w:p>
        </w:tc>
        <w:tc>
          <w:tcPr>
            <w:tcW w:w="1035"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567" w:type="dxa"/>
            <w:vMerge w:val="continue"/>
            <w:tcBorders>
              <w:tl2br w:val="nil"/>
              <w:tr2bl w:val="nil"/>
            </w:tcBorders>
            <w:shd w:val="clear" w:color="auto" w:fill="FFFFFF"/>
            <w:noWrap w:val="0"/>
            <w:tcMar>
              <w:top w:w="135" w:type="dxa"/>
              <w:left w:w="225" w:type="dxa"/>
              <w:bottom w:w="135" w:type="dxa"/>
              <w:right w:w="22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p>
        </w:tc>
        <w:tc>
          <w:tcPr>
            <w:tcW w:w="6672" w:type="dxa"/>
            <w:tcBorders>
              <w:tl2br w:val="nil"/>
              <w:tr2bl w:val="nil"/>
            </w:tcBorders>
            <w:shd w:val="clear" w:color="auto" w:fill="FFFFFF"/>
            <w:noWrap w:val="0"/>
            <w:tcMar>
              <w:top w:w="135" w:type="dxa"/>
              <w:left w:w="225" w:type="dxa"/>
              <w:bottom w:w="135" w:type="dxa"/>
              <w:right w:w="22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对</w:t>
            </w:r>
            <w:r>
              <w:rPr>
                <w:rFonts w:hint="eastAsia" w:ascii="仿宋_GB2312" w:hAnsi="仿宋_GB2312" w:eastAsia="仿宋_GB2312" w:cs="仿宋_GB2312"/>
                <w:sz w:val="24"/>
                <w:szCs w:val="24"/>
                <w:vertAlign w:val="baseline"/>
                <w:lang w:eastAsia="zh-CN"/>
              </w:rPr>
              <w:t>纪检监察部门通报的损害营商环境典型案例、</w:t>
            </w:r>
            <w:r>
              <w:rPr>
                <w:rFonts w:hint="eastAsia" w:ascii="仿宋_GB2312" w:hAnsi="仿宋_GB2312" w:eastAsia="仿宋_GB2312" w:cs="仿宋_GB2312"/>
                <w:sz w:val="24"/>
                <w:szCs w:val="24"/>
              </w:rPr>
              <w:t>对巡视巡察</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审计等发现的影响营商环境行为的问题，以及发现问题整改不力的情况</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（每次扣1分，最多扣满5分）</w:t>
            </w:r>
          </w:p>
        </w:tc>
        <w:tc>
          <w:tcPr>
            <w:tcW w:w="1035"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rPr>
            </w:pPr>
          </w:p>
        </w:tc>
      </w:tr>
    </w:tbl>
    <w:p/>
    <w:p>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FE6C2B"/>
    <w:multiLevelType w:val="singleLevel"/>
    <w:tmpl w:val="FBFE6C2B"/>
    <w:lvl w:ilvl="0" w:tentative="0">
      <w:start w:val="1"/>
      <w:numFmt w:val="chineseCounting"/>
      <w:suff w:val="nothing"/>
      <w:lvlText w:val="（%1）"/>
      <w:lvlJc w:val="left"/>
      <w:rPr>
        <w:rFonts w:hint="eastAsia"/>
      </w:rPr>
    </w:lvl>
  </w:abstractNum>
  <w:abstractNum w:abstractNumId="1">
    <w:nsid w:val="FBFEBF82"/>
    <w:multiLevelType w:val="singleLevel"/>
    <w:tmpl w:val="FBFEBF82"/>
    <w:lvl w:ilvl="0" w:tentative="0">
      <w:start w:val="2"/>
      <w:numFmt w:val="chineseCounting"/>
      <w:suff w:val="nothing"/>
      <w:lvlText w:val="%1、"/>
      <w:lvlJc w:val="left"/>
      <w:rPr>
        <w:rFonts w:hint="eastAsia"/>
      </w:rPr>
    </w:lvl>
  </w:abstractNum>
  <w:abstractNum w:abstractNumId="2">
    <w:nsid w:val="1AAB1E7B"/>
    <w:multiLevelType w:val="singleLevel"/>
    <w:tmpl w:val="1AAB1E7B"/>
    <w:lvl w:ilvl="0" w:tentative="0">
      <w:start w:val="3"/>
      <w:numFmt w:val="chineseCounting"/>
      <w:suff w:val="nothing"/>
      <w:lvlText w:val="%1、"/>
      <w:lvlJc w:val="left"/>
      <w:rPr>
        <w:rFonts w:hint="eastAsia"/>
      </w:rPr>
    </w:lvl>
  </w:abstractNum>
  <w:abstractNum w:abstractNumId="3">
    <w:nsid w:val="73E5AB00"/>
    <w:multiLevelType w:val="singleLevel"/>
    <w:tmpl w:val="73E5AB00"/>
    <w:lvl w:ilvl="0" w:tentative="0">
      <w:start w:val="1"/>
      <w:numFmt w:val="decimal"/>
      <w:lvlText w:val="%1."/>
      <w:lvlJc w:val="left"/>
      <w:pPr>
        <w:tabs>
          <w:tab w:val="left" w:pos="312"/>
        </w:tabs>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4Yzg5NzYxYWNlMDgxMjZlNTM2MTIwMTJlYjQ2NGYifQ=="/>
  </w:docVars>
  <w:rsids>
    <w:rsidRoot w:val="0D530279"/>
    <w:rsid w:val="0D530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0" w:after="140" w:line="276" w:lineRule="auto"/>
    </w:pPr>
  </w:style>
  <w:style w:type="paragraph" w:styleId="3">
    <w:name w:val="index 5"/>
    <w:basedOn w:val="1"/>
    <w:next w:val="1"/>
    <w:qFormat/>
    <w:uiPriority w:val="0"/>
    <w:pPr>
      <w:ind w:left="1680"/>
    </w:pPr>
    <w:rPr>
      <w:rFonts w:ascii="黑体" w:eastAsia="黑体"/>
      <w:sz w:val="32"/>
      <w:szCs w:val="32"/>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2022-05-20T07:40:00Z</dcterms:created>
  <dc:creator>许文宇</dc:creator>
  <cp:lastModifiedBy>许文宇</cp:lastModifiedBy>
  <dcterms:modified xsi:type="dcterms:W3CDTF">2022-05-20T07:40:45Z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96FF08ECFADD4B9E802ABA2B15BE2D2A</vt:lpwstr>
  </property>
</Properties>
</file>