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DCB1E">
      <w:pPr>
        <w:pStyle w:val="3"/>
        <w:widowControl w:val="0"/>
        <w:spacing w:line="580" w:lineRule="exact"/>
        <w:ind w:left="0" w:leftChars="0"/>
        <w:jc w:val="both"/>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附件</w:t>
      </w:r>
    </w:p>
    <w:p w14:paraId="0B028314">
      <w:pPr>
        <w:widowControl w:val="0"/>
        <w:spacing w:before="156" w:beforeLines="50" w:after="156" w:afterLines="50" w:line="580" w:lineRule="exact"/>
        <w:jc w:val="center"/>
        <w:rPr>
          <w:rFonts w:hint="eastAsia" w:ascii="方正小标宋简体" w:hAnsi="方正小标宋简体" w:eastAsia="方正小标宋简体" w:cs="方正小标宋简体"/>
          <w:kern w:val="2"/>
          <w:sz w:val="44"/>
          <w:szCs w:val="44"/>
          <w:lang w:eastAsia="zh-CN" w:bidi="ar-SA"/>
        </w:rPr>
      </w:pPr>
      <w:r>
        <w:rPr>
          <w:rFonts w:hint="eastAsia" w:ascii="方正小标宋简体" w:hAnsi="方正小标宋简体" w:eastAsia="方正小标宋简体" w:cs="方正小标宋简体"/>
          <w:kern w:val="2"/>
          <w:sz w:val="44"/>
          <w:szCs w:val="44"/>
          <w:lang w:eastAsia="zh-CN" w:bidi="ar-SA"/>
        </w:rPr>
        <w:t>2025年过渡期组合类电价约定条款</w:t>
      </w:r>
    </w:p>
    <w:p w14:paraId="0A84E32F">
      <w:pPr>
        <w:widowControl w:val="0"/>
        <w:spacing w:line="560" w:lineRule="exact"/>
        <w:ind w:firstLine="632" w:firstLineChars="200"/>
        <w:jc w:val="both"/>
        <w:rPr>
          <w:rFonts w:hint="eastAsia" w:ascii="黑体" w:hAnsi="黑体" w:eastAsia="黑体" w:cs="黑体"/>
          <w:kern w:val="2"/>
          <w:sz w:val="32"/>
          <w:szCs w:val="40"/>
          <w:lang w:eastAsia="zh-CN" w:bidi="ar-SA"/>
        </w:rPr>
      </w:pPr>
      <w:r>
        <w:rPr>
          <w:rFonts w:hint="eastAsia" w:ascii="黑体" w:hAnsi="黑体" w:eastAsia="黑体" w:cs="黑体"/>
          <w:kern w:val="2"/>
          <w:sz w:val="32"/>
          <w:szCs w:val="40"/>
          <w:lang w:eastAsia="zh-CN" w:bidi="ar-SA"/>
        </w:rPr>
        <w:t>一、批发市场参考价联动条款</w:t>
      </w:r>
    </w:p>
    <w:p w14:paraId="5BABE5B0">
      <w:pPr>
        <w:widowControl w:val="0"/>
        <w:spacing w:line="560" w:lineRule="exact"/>
        <w:ind w:firstLine="632" w:firstLineChars="200"/>
        <w:jc w:val="both"/>
        <w:rPr>
          <w:rFonts w:hint="default" w:ascii="Times New Roman" w:hAnsi="Times New Roman" w:eastAsia="仿宋_GB2312" w:cs="Times New Roman"/>
          <w:kern w:val="2"/>
          <w:sz w:val="32"/>
          <w:szCs w:val="40"/>
          <w:highlight w:val="none"/>
          <w:lang w:eastAsia="zh-CN" w:bidi="ar-SA"/>
        </w:rPr>
      </w:pPr>
      <w:r>
        <w:rPr>
          <w:rFonts w:hint="default" w:ascii="Times New Roman" w:hAnsi="Times New Roman" w:eastAsia="仿宋_GB2312" w:cs="Times New Roman"/>
          <w:kern w:val="2"/>
          <w:sz w:val="32"/>
          <w:szCs w:val="40"/>
          <w:lang w:eastAsia="zh-CN" w:bidi="ar-SA"/>
        </w:rPr>
        <w:t>零售</w:t>
      </w:r>
      <w:r>
        <w:rPr>
          <w:rFonts w:hint="default" w:ascii="Times New Roman" w:hAnsi="Times New Roman" w:eastAsia="仿宋_GB2312" w:cs="Times New Roman"/>
          <w:kern w:val="2"/>
          <w:sz w:val="32"/>
          <w:szCs w:val="40"/>
          <w:highlight w:val="none"/>
          <w:lang w:eastAsia="zh-CN" w:bidi="ar-SA"/>
        </w:rPr>
        <w:t>电能量价格与中长期</w:t>
      </w:r>
      <w:r>
        <w:rPr>
          <w:rFonts w:hint="eastAsia" w:ascii="Times New Roman" w:hAnsi="Times New Roman" w:eastAsia="仿宋_GB2312" w:cs="仿宋_GB2312"/>
          <w:kern w:val="2"/>
          <w:sz w:val="32"/>
          <w:szCs w:val="40"/>
          <w:highlight w:val="none"/>
          <w:lang w:val="en-US" w:eastAsia="zh-CN" w:bidi="ar"/>
        </w:rPr>
        <w:t>批发市场</w:t>
      </w:r>
      <w:r>
        <w:rPr>
          <w:rFonts w:hint="default" w:ascii="Times New Roman" w:hAnsi="Times New Roman" w:eastAsia="仿宋_GB2312" w:cs="Times New Roman"/>
          <w:kern w:val="2"/>
          <w:sz w:val="32"/>
          <w:szCs w:val="40"/>
          <w:highlight w:val="none"/>
          <w:lang w:eastAsia="zh-CN" w:bidi="ar-SA"/>
        </w:rPr>
        <w:t>交易总体价格水平以及现货市场分时出清价格按90%、10%的比例进行联动。售电公司可向零售用户收取合理的度电服务费</w:t>
      </w:r>
      <w:r>
        <w:rPr>
          <w:rFonts w:hint="eastAsia" w:ascii="Times New Roman" w:hAnsi="Times New Roman" w:eastAsia="仿宋_GB2312" w:cs="仿宋_GB2312"/>
          <w:kern w:val="2"/>
          <w:sz w:val="32"/>
          <w:szCs w:val="40"/>
          <w:highlight w:val="none"/>
          <w:lang w:val="en-US" w:eastAsia="zh-CN" w:bidi="ar"/>
        </w:rPr>
        <w:t>，并约定中长期批发市场交易价格（含度电服务费）的封顶价格上限</w:t>
      </w:r>
      <w:r>
        <w:rPr>
          <w:rFonts w:hint="default" w:ascii="Times New Roman" w:hAnsi="Times New Roman" w:eastAsia="仿宋_GB2312" w:cs="Times New Roman"/>
          <w:kern w:val="2"/>
          <w:sz w:val="32"/>
          <w:szCs w:val="40"/>
          <w:highlight w:val="none"/>
          <w:lang w:eastAsia="zh-CN" w:bidi="ar-SA"/>
        </w:rPr>
        <w:t>。</w:t>
      </w:r>
    </w:p>
    <w:p w14:paraId="5547EC19">
      <w:pPr>
        <w:widowControl w:val="0"/>
        <w:spacing w:line="560" w:lineRule="exact"/>
        <w:ind w:firstLine="632" w:firstLineChars="200"/>
        <w:jc w:val="both"/>
        <w:rPr>
          <w:rFonts w:hint="default" w:ascii="Times New Roman" w:hAnsi="Times New Roman" w:eastAsia="仿宋_GB2312" w:cs="Times New Roman"/>
          <w:kern w:val="2"/>
          <w:sz w:val="32"/>
          <w:szCs w:val="40"/>
          <w:highlight w:val="none"/>
          <w:lang w:eastAsia="zh-CN" w:bidi="ar-SA"/>
        </w:rPr>
      </w:pPr>
      <w:r>
        <w:rPr>
          <w:rFonts w:hint="eastAsia" w:ascii="Times New Roman" w:hAnsi="Times New Roman" w:eastAsia="仿宋_GB2312" w:cs="Times New Roman"/>
          <w:kern w:val="2"/>
          <w:sz w:val="32"/>
          <w:szCs w:val="40"/>
          <w:highlight w:val="none"/>
          <w:lang w:eastAsia="zh-CN" w:bidi="ar-SA"/>
        </w:rPr>
        <w:t>执行分时电价的零售用户</w:t>
      </w:r>
      <w:r>
        <w:rPr>
          <w:rFonts w:hint="default" w:ascii="Times New Roman" w:hAnsi="Times New Roman" w:eastAsia="仿宋_GB2312" w:cs="Times New Roman"/>
          <w:kern w:val="2"/>
          <w:sz w:val="32"/>
          <w:szCs w:val="40"/>
          <w:highlight w:val="none"/>
          <w:lang w:eastAsia="zh-CN" w:bidi="ar-SA"/>
        </w:rPr>
        <w:t>中长期合同价格（含度电服务费）部分，在零售市场结算时按新分时电价政策明确的峰谷时段和对应比例浮动，计算公式如下：</w:t>
      </w:r>
    </w:p>
    <w:p w14:paraId="18E6E120">
      <w:pPr>
        <w:widowControl w:val="0"/>
        <w:spacing w:line="560" w:lineRule="exact"/>
        <w:ind w:firstLine="632" w:firstLineChars="200"/>
        <w:jc w:val="both"/>
        <w:rPr>
          <w:rFonts w:hint="eastAsia" w:ascii="Times New Roman" w:hAnsi="Times New Roman" w:eastAsia="仿宋_GB2312" w:cs="Times New Roman"/>
          <w:kern w:val="2"/>
          <w:sz w:val="32"/>
          <w:szCs w:val="40"/>
          <w:highlight w:val="none"/>
          <w:lang w:eastAsia="zh-CN" w:bidi="ar-SA"/>
        </w:rPr>
      </w:pPr>
      <w:r>
        <w:rPr>
          <w:rFonts w:hint="default" w:ascii="Times New Roman" w:hAnsi="Times New Roman" w:eastAsia="仿宋_GB2312" w:cs="Times New Roman"/>
          <w:kern w:val="2"/>
          <w:sz w:val="32"/>
          <w:szCs w:val="40"/>
          <w:highlight w:val="none"/>
          <w:lang w:eastAsia="zh-CN" w:bidi="ar-SA"/>
        </w:rPr>
        <w:t>零售用户</w:t>
      </w:r>
      <w:r>
        <w:rPr>
          <w:rFonts w:hint="eastAsia" w:ascii="Times New Roman" w:hAnsi="Times New Roman" w:eastAsia="仿宋_GB2312" w:cs="Times New Roman"/>
          <w:kern w:val="2"/>
          <w:sz w:val="32"/>
          <w:szCs w:val="40"/>
          <w:highlight w:val="none"/>
          <w:lang w:val="en-US" w:eastAsia="zh-CN" w:bidi="ar-SA"/>
        </w:rPr>
        <w:t>每小时</w:t>
      </w:r>
      <w:r>
        <w:rPr>
          <w:rFonts w:hint="default" w:ascii="Times New Roman" w:hAnsi="Times New Roman" w:eastAsia="仿宋_GB2312" w:cs="Times New Roman"/>
          <w:kern w:val="2"/>
          <w:sz w:val="32"/>
          <w:szCs w:val="40"/>
          <w:highlight w:val="none"/>
          <w:lang w:eastAsia="zh-CN" w:bidi="ar-SA"/>
        </w:rPr>
        <w:t>电能量价格=90%×</w:t>
      </w:r>
      <w:r>
        <w:rPr>
          <w:rFonts w:hint="default" w:ascii="Times New Roman" w:hAnsi="Times New Roman" w:eastAsia="仿宋_GB2312" w:cs="Times New Roman"/>
          <w:kern w:val="2"/>
          <w:sz w:val="32"/>
          <w:szCs w:val="40"/>
          <w:highlight w:val="none"/>
          <w:lang w:val="en-US" w:eastAsia="zh-CN" w:bidi="ar"/>
        </w:rPr>
        <w:t>min[</w:t>
      </w:r>
      <w:r>
        <w:rPr>
          <w:rFonts w:hint="eastAsia" w:ascii="Times New Roman" w:hAnsi="Times New Roman" w:eastAsia="仿宋_GB2312" w:cs="仿宋_GB2312"/>
          <w:kern w:val="2"/>
          <w:sz w:val="32"/>
          <w:szCs w:val="40"/>
          <w:highlight w:val="none"/>
          <w:lang w:val="en-US" w:eastAsia="zh-CN" w:bidi="ar"/>
        </w:rPr>
        <w:t>（当月中长期批发市场交易均价</w:t>
      </w:r>
      <w:r>
        <w:rPr>
          <w:rFonts w:hint="default" w:ascii="Times New Roman" w:hAnsi="Times New Roman" w:eastAsia="仿宋_GB2312" w:cs="Times New Roman"/>
          <w:kern w:val="2"/>
          <w:sz w:val="32"/>
          <w:szCs w:val="40"/>
          <w:highlight w:val="none"/>
          <w:lang w:val="en-US" w:eastAsia="zh-CN" w:bidi="ar"/>
        </w:rPr>
        <w:t>+</w:t>
      </w:r>
      <w:r>
        <w:rPr>
          <w:rFonts w:hint="eastAsia" w:ascii="Times New Roman" w:hAnsi="Times New Roman" w:eastAsia="仿宋_GB2312" w:cs="仿宋_GB2312"/>
          <w:kern w:val="2"/>
          <w:sz w:val="32"/>
          <w:szCs w:val="40"/>
          <w:highlight w:val="none"/>
          <w:lang w:val="en-US" w:eastAsia="zh-CN" w:bidi="ar"/>
        </w:rPr>
        <w:t>度电服务费），约定的封顶价格上限</w:t>
      </w:r>
      <w:r>
        <w:rPr>
          <w:rFonts w:hint="default" w:ascii="Times New Roman" w:hAnsi="Times New Roman" w:eastAsia="仿宋_GB2312" w:cs="仿宋_GB2312"/>
          <w:kern w:val="2"/>
          <w:sz w:val="32"/>
          <w:szCs w:val="40"/>
          <w:highlight w:val="none"/>
          <w:lang w:val="en-US" w:eastAsia="zh-CN" w:bidi="ar"/>
        </w:rPr>
        <w:t>]</w:t>
      </w:r>
      <w:r>
        <w:rPr>
          <w:rFonts w:hint="default" w:ascii="Times New Roman" w:hAnsi="Times New Roman" w:eastAsia="仿宋_GB2312" w:cs="Times New Roman"/>
          <w:kern w:val="2"/>
          <w:sz w:val="32"/>
          <w:szCs w:val="40"/>
          <w:highlight w:val="none"/>
          <w:lang w:eastAsia="zh-CN" w:bidi="ar-SA"/>
        </w:rPr>
        <w:t>×</w:t>
      </w:r>
      <w:r>
        <w:rPr>
          <w:rFonts w:hint="eastAsia" w:ascii="Times New Roman" w:hAnsi="Times New Roman" w:eastAsia="仿宋_GB2312" w:cs="Times New Roman"/>
          <w:kern w:val="2"/>
          <w:sz w:val="32"/>
          <w:szCs w:val="40"/>
          <w:highlight w:val="none"/>
          <w:lang w:val="en-US" w:eastAsia="zh-CN" w:bidi="ar-SA"/>
        </w:rPr>
        <w:t>该小时</w:t>
      </w:r>
      <w:r>
        <w:rPr>
          <w:rFonts w:hint="default" w:ascii="Times New Roman" w:hAnsi="Times New Roman" w:eastAsia="仿宋_GB2312" w:cs="Times New Roman"/>
          <w:kern w:val="2"/>
          <w:sz w:val="32"/>
          <w:szCs w:val="40"/>
          <w:highlight w:val="none"/>
          <w:lang w:eastAsia="zh-CN" w:bidi="ar-SA"/>
        </w:rPr>
        <w:t>对应的峰谷浮动系数+10%×</w:t>
      </w:r>
      <w:r>
        <w:rPr>
          <w:rFonts w:hint="eastAsia" w:ascii="Times New Roman" w:hAnsi="Times New Roman" w:eastAsia="仿宋_GB2312" w:cs="Times New Roman"/>
          <w:kern w:val="2"/>
          <w:sz w:val="32"/>
          <w:szCs w:val="40"/>
          <w:highlight w:val="none"/>
          <w:lang w:val="en-US" w:eastAsia="zh-CN" w:bidi="ar"/>
        </w:rPr>
        <w:t>当月现货</w:t>
      </w:r>
      <w:r>
        <w:rPr>
          <w:rFonts w:hint="eastAsia" w:ascii="Times New Roman" w:hAnsi="Times New Roman" w:eastAsia="仿宋_GB2312" w:cs="Times New Roman"/>
          <w:kern w:val="2"/>
          <w:sz w:val="32"/>
          <w:szCs w:val="40"/>
          <w:highlight w:val="none"/>
          <w:lang w:eastAsia="zh-CN" w:bidi="ar-SA"/>
        </w:rPr>
        <w:t>实时市场</w:t>
      </w:r>
      <w:r>
        <w:rPr>
          <w:rFonts w:hint="eastAsia" w:ascii="Times New Roman" w:hAnsi="Times New Roman" w:eastAsia="仿宋_GB2312" w:cs="Times New Roman"/>
          <w:kern w:val="2"/>
          <w:sz w:val="32"/>
          <w:szCs w:val="40"/>
          <w:highlight w:val="none"/>
          <w:lang w:val="en-US" w:eastAsia="zh-CN" w:bidi="ar-SA"/>
        </w:rPr>
        <w:t>该小时</w:t>
      </w:r>
      <w:r>
        <w:rPr>
          <w:rFonts w:hint="eastAsia" w:ascii="Times New Roman" w:hAnsi="Times New Roman" w:eastAsia="仿宋_GB2312" w:cs="Times New Roman"/>
          <w:kern w:val="2"/>
          <w:sz w:val="32"/>
          <w:szCs w:val="40"/>
          <w:highlight w:val="none"/>
          <w:lang w:eastAsia="zh-CN" w:bidi="ar-SA"/>
        </w:rPr>
        <w:t>均价</w:t>
      </w:r>
    </w:p>
    <w:p w14:paraId="062B8C81">
      <w:pPr>
        <w:widowControl w:val="0"/>
        <w:spacing w:line="560" w:lineRule="exact"/>
        <w:ind w:firstLine="632" w:firstLineChars="200"/>
        <w:jc w:val="both"/>
        <w:rPr>
          <w:rFonts w:hint="default" w:ascii="Times New Roman" w:hAnsi="Times New Roman" w:eastAsia="仿宋_GB2312" w:cs="Times New Roman"/>
          <w:kern w:val="2"/>
          <w:sz w:val="32"/>
          <w:szCs w:val="40"/>
          <w:highlight w:val="none"/>
          <w:lang w:eastAsia="zh-CN" w:bidi="ar-SA"/>
        </w:rPr>
      </w:pPr>
      <w:r>
        <w:rPr>
          <w:rFonts w:hint="default" w:ascii="Times New Roman" w:hAnsi="Times New Roman" w:eastAsia="仿宋_GB2312" w:cs="Times New Roman"/>
          <w:kern w:val="2"/>
          <w:sz w:val="32"/>
          <w:szCs w:val="40"/>
          <w:highlight w:val="none"/>
          <w:lang w:eastAsia="zh-CN" w:bidi="ar-SA"/>
        </w:rPr>
        <w:t>其中，中长期批发</w:t>
      </w:r>
      <w:r>
        <w:rPr>
          <w:rFonts w:hint="eastAsia" w:ascii="Times New Roman" w:hAnsi="Times New Roman" w:eastAsia="仿宋_GB2312" w:cs="Times New Roman"/>
          <w:kern w:val="2"/>
          <w:sz w:val="32"/>
          <w:szCs w:val="40"/>
          <w:highlight w:val="none"/>
          <w:lang w:val="en-US" w:eastAsia="zh-CN" w:bidi="ar-SA"/>
        </w:rPr>
        <w:t>市场</w:t>
      </w:r>
      <w:r>
        <w:rPr>
          <w:rFonts w:hint="default" w:ascii="Times New Roman" w:hAnsi="Times New Roman" w:eastAsia="仿宋_GB2312" w:cs="Times New Roman"/>
          <w:kern w:val="2"/>
          <w:sz w:val="32"/>
          <w:szCs w:val="40"/>
          <w:highlight w:val="none"/>
          <w:lang w:eastAsia="zh-CN" w:bidi="ar-SA"/>
        </w:rPr>
        <w:t>交易均价按照</w:t>
      </w:r>
      <w:r>
        <w:rPr>
          <w:rFonts w:hint="eastAsia" w:ascii="Times New Roman" w:hAnsi="Times New Roman" w:eastAsia="仿宋_GB2312" w:cs="Times New Roman"/>
          <w:kern w:val="2"/>
          <w:sz w:val="32"/>
          <w:szCs w:val="40"/>
          <w:highlight w:val="none"/>
          <w:lang w:val="en-US" w:eastAsia="zh-CN" w:bidi="ar-SA"/>
        </w:rPr>
        <w:t>批发</w:t>
      </w:r>
      <w:r>
        <w:rPr>
          <w:rFonts w:hint="default" w:ascii="Times New Roman" w:hAnsi="Times New Roman" w:eastAsia="仿宋_GB2312" w:cs="Times New Roman"/>
          <w:kern w:val="2"/>
          <w:sz w:val="32"/>
          <w:szCs w:val="40"/>
          <w:highlight w:val="none"/>
          <w:lang w:eastAsia="zh-CN" w:bidi="ar-SA"/>
        </w:rPr>
        <w:t>市场内所有售电公司全部时段的中长期批发交易合同均价（不含售电公司多年期交易、保底售电电量</w:t>
      </w:r>
      <w:r>
        <w:rPr>
          <w:rFonts w:hint="eastAsia" w:ascii="Times New Roman" w:hAnsi="Times New Roman" w:eastAsia="仿宋_GB2312" w:cs="Times New Roman"/>
          <w:kern w:val="2"/>
          <w:sz w:val="32"/>
          <w:szCs w:val="40"/>
          <w:highlight w:val="none"/>
          <w:lang w:val="en-US" w:eastAsia="zh-CN" w:bidi="ar-SA"/>
        </w:rPr>
        <w:t>及绿色环境权益价值</w:t>
      </w:r>
      <w:r>
        <w:rPr>
          <w:rFonts w:hint="default" w:ascii="Times New Roman" w:hAnsi="Times New Roman" w:eastAsia="仿宋_GB2312" w:cs="Times New Roman"/>
          <w:kern w:val="2"/>
          <w:sz w:val="32"/>
          <w:szCs w:val="40"/>
          <w:highlight w:val="none"/>
          <w:lang w:eastAsia="zh-CN" w:bidi="ar-SA"/>
        </w:rPr>
        <w:t>）确定。</w:t>
      </w:r>
      <w:r>
        <w:rPr>
          <w:rFonts w:hint="eastAsia" w:ascii="Times New Roman" w:hAnsi="Times New Roman" w:eastAsia="仿宋_GB2312" w:cs="Times New Roman"/>
          <w:kern w:val="2"/>
          <w:sz w:val="32"/>
          <w:szCs w:val="40"/>
          <w:highlight w:val="none"/>
          <w:lang w:val="en-US" w:eastAsia="zh-CN" w:bidi="ar-SA"/>
        </w:rPr>
        <w:t>现货</w:t>
      </w:r>
      <w:r>
        <w:rPr>
          <w:rFonts w:hint="eastAsia" w:ascii="Times New Roman" w:hAnsi="Times New Roman" w:eastAsia="仿宋_GB2312" w:cs="Times New Roman"/>
          <w:kern w:val="2"/>
          <w:sz w:val="32"/>
          <w:szCs w:val="40"/>
          <w:highlight w:val="none"/>
          <w:lang w:eastAsia="zh-CN" w:bidi="ar-SA"/>
        </w:rPr>
        <w:t>实时市场分时均价</w:t>
      </w:r>
      <w:r>
        <w:rPr>
          <w:rFonts w:hint="default" w:ascii="Times New Roman" w:hAnsi="Times New Roman" w:eastAsia="仿宋_GB2312" w:cs="Times New Roman"/>
          <w:kern w:val="2"/>
          <w:sz w:val="32"/>
          <w:szCs w:val="40"/>
          <w:highlight w:val="none"/>
          <w:lang w:eastAsia="zh-CN" w:bidi="ar-SA"/>
        </w:rPr>
        <w:t>按照</w:t>
      </w:r>
      <w:r>
        <w:rPr>
          <w:rFonts w:hint="eastAsia" w:ascii="Times New Roman" w:hAnsi="Times New Roman" w:eastAsia="仿宋_GB2312" w:cs="Times New Roman"/>
          <w:kern w:val="2"/>
          <w:sz w:val="32"/>
          <w:szCs w:val="40"/>
          <w:highlight w:val="none"/>
          <w:lang w:val="en-US" w:eastAsia="zh-CN" w:bidi="ar-SA"/>
        </w:rPr>
        <w:t>发电侧</w:t>
      </w:r>
      <w:r>
        <w:rPr>
          <w:rFonts w:hint="eastAsia" w:ascii="仿宋_GB2312" w:hAnsi="仿宋_GB2312" w:eastAsia="仿宋_GB2312" w:cs="仿宋_GB2312"/>
          <w:kern w:val="2"/>
          <w:sz w:val="32"/>
          <w:szCs w:val="40"/>
          <w:highlight w:val="none"/>
          <w:lang w:eastAsia="zh-CN" w:bidi="ar-SA"/>
        </w:rPr>
        <w:t>实时市场出清电量与出清价格</w:t>
      </w:r>
      <w:r>
        <w:rPr>
          <w:rFonts w:hint="eastAsia" w:ascii="仿宋_GB2312" w:hAnsi="仿宋_GB2312" w:eastAsia="仿宋_GB2312" w:cs="仿宋_GB2312"/>
          <w:kern w:val="2"/>
          <w:sz w:val="32"/>
          <w:szCs w:val="40"/>
          <w:highlight w:val="none"/>
          <w:lang w:val="en-US" w:eastAsia="zh-CN" w:bidi="ar-SA"/>
        </w:rPr>
        <w:t>的</w:t>
      </w:r>
      <w:r>
        <w:rPr>
          <w:rFonts w:hint="eastAsia" w:ascii="仿宋_GB2312" w:hAnsi="仿宋_GB2312" w:eastAsia="仿宋_GB2312" w:cs="仿宋_GB2312"/>
          <w:kern w:val="2"/>
          <w:sz w:val="32"/>
          <w:szCs w:val="40"/>
          <w:highlight w:val="none"/>
          <w:lang w:eastAsia="zh-CN" w:bidi="ar-SA"/>
        </w:rPr>
        <w:t>加权均价确定。</w:t>
      </w:r>
      <w:r>
        <w:rPr>
          <w:rFonts w:hint="eastAsia" w:ascii="仿宋_GB2312" w:hAnsi="仿宋_GB2312" w:eastAsia="仿宋_GB2312" w:cs="仿宋_GB2312"/>
          <w:kern w:val="2"/>
          <w:sz w:val="32"/>
          <w:szCs w:val="40"/>
          <w:highlight w:val="none"/>
          <w:lang w:val="en-US" w:eastAsia="zh-CN" w:bidi="ar"/>
        </w:rPr>
        <w:t>峰平谷时段划分、峰谷浮动系数参照《陕西省发展和改革委员会关于调整陕西电网分时电价政策有关事项的通知》（陕发改价格〔2025〕1034号）执行，其中电气化铁路牵引用电不进行峰谷浮动</w:t>
      </w:r>
      <w:r>
        <w:rPr>
          <w:rFonts w:hint="eastAsia" w:ascii="仿宋_GB2312" w:hAnsi="仿宋_GB2312" w:eastAsia="仿宋_GB2312" w:cs="仿宋_GB2312"/>
          <w:kern w:val="2"/>
          <w:sz w:val="32"/>
          <w:szCs w:val="40"/>
          <w:highlight w:val="none"/>
          <w:lang w:eastAsia="zh-CN" w:bidi="ar-SA"/>
        </w:rPr>
        <w:t>。</w:t>
      </w:r>
    </w:p>
    <w:p w14:paraId="0809E272">
      <w:pPr>
        <w:widowControl w:val="0"/>
        <w:spacing w:line="560" w:lineRule="exact"/>
        <w:ind w:firstLine="632" w:firstLineChars="200"/>
        <w:jc w:val="both"/>
        <w:rPr>
          <w:rFonts w:hint="default" w:ascii="Times New Roman" w:hAnsi="Times New Roman" w:eastAsia="仿宋_GB2312" w:cs="Times New Roman"/>
          <w:kern w:val="2"/>
          <w:sz w:val="32"/>
          <w:szCs w:val="40"/>
          <w:highlight w:val="none"/>
          <w:lang w:eastAsia="zh-CN" w:bidi="ar-SA"/>
        </w:rPr>
      </w:pPr>
      <w:r>
        <w:rPr>
          <w:rFonts w:hint="default" w:ascii="Times New Roman" w:hAnsi="Times New Roman" w:eastAsia="仿宋_GB2312" w:cs="Times New Roman"/>
          <w:kern w:val="2"/>
          <w:sz w:val="32"/>
          <w:szCs w:val="40"/>
          <w:highlight w:val="none"/>
          <w:lang w:eastAsia="zh-CN" w:bidi="ar-SA"/>
        </w:rPr>
        <w:t>售电公司零售电费计算时使用的电能量价格不进行峰谷浮动，计算公式如下：</w:t>
      </w:r>
    </w:p>
    <w:p w14:paraId="4688954C">
      <w:pPr>
        <w:widowControl w:val="0"/>
        <w:spacing w:line="560" w:lineRule="exact"/>
        <w:ind w:firstLine="632" w:firstLineChars="200"/>
        <w:jc w:val="both"/>
        <w:rPr>
          <w:rFonts w:hint="eastAsia" w:ascii="Times New Roman" w:hAnsi="Times New Roman" w:eastAsia="仿宋_GB2312" w:cs="Times New Roman"/>
          <w:kern w:val="2"/>
          <w:sz w:val="32"/>
          <w:szCs w:val="40"/>
          <w:highlight w:val="none"/>
          <w:lang w:eastAsia="zh-CN" w:bidi="ar-SA"/>
        </w:rPr>
      </w:pPr>
      <w:r>
        <w:rPr>
          <w:rFonts w:hint="default" w:ascii="Times New Roman" w:hAnsi="Times New Roman" w:eastAsia="仿宋_GB2312" w:cs="Times New Roman"/>
          <w:kern w:val="2"/>
          <w:sz w:val="32"/>
          <w:szCs w:val="40"/>
          <w:highlight w:val="none"/>
          <w:lang w:eastAsia="zh-CN" w:bidi="ar-SA"/>
        </w:rPr>
        <w:t>售电公司零售</w:t>
      </w:r>
      <w:r>
        <w:rPr>
          <w:rFonts w:hint="eastAsia" w:ascii="Times New Roman" w:hAnsi="Times New Roman" w:eastAsia="仿宋_GB2312" w:cs="Times New Roman"/>
          <w:kern w:val="2"/>
          <w:sz w:val="32"/>
          <w:szCs w:val="40"/>
          <w:highlight w:val="none"/>
          <w:lang w:val="en-US" w:eastAsia="zh-CN" w:bidi="ar-SA"/>
        </w:rPr>
        <w:t>每小时</w:t>
      </w:r>
      <w:r>
        <w:rPr>
          <w:rFonts w:hint="default" w:ascii="Times New Roman" w:hAnsi="Times New Roman" w:eastAsia="仿宋_GB2312" w:cs="Times New Roman"/>
          <w:kern w:val="2"/>
          <w:sz w:val="32"/>
          <w:szCs w:val="40"/>
          <w:highlight w:val="none"/>
          <w:lang w:eastAsia="zh-CN" w:bidi="ar-SA"/>
        </w:rPr>
        <w:t>电能量价格=90%×</w:t>
      </w:r>
      <w:r>
        <w:rPr>
          <w:rFonts w:hint="default" w:ascii="Times New Roman" w:hAnsi="Times New Roman" w:eastAsia="仿宋_GB2312" w:cs="Times New Roman"/>
          <w:kern w:val="2"/>
          <w:sz w:val="32"/>
          <w:szCs w:val="40"/>
          <w:highlight w:val="none"/>
          <w:lang w:val="en-US" w:eastAsia="zh-CN" w:bidi="ar"/>
        </w:rPr>
        <w:t>min[</w:t>
      </w:r>
      <w:r>
        <w:rPr>
          <w:rFonts w:hint="default" w:ascii="Times New Roman" w:hAnsi="Times New Roman" w:eastAsia="仿宋_GB2312" w:cs="Times New Roman"/>
          <w:kern w:val="2"/>
          <w:sz w:val="32"/>
          <w:szCs w:val="40"/>
          <w:highlight w:val="none"/>
          <w:lang w:eastAsia="zh-CN" w:bidi="ar-SA"/>
        </w:rPr>
        <w:t>（</w:t>
      </w:r>
      <w:r>
        <w:rPr>
          <w:rFonts w:hint="eastAsia" w:ascii="Times New Roman" w:hAnsi="Times New Roman" w:eastAsia="仿宋_GB2312" w:cs="Times New Roman"/>
          <w:kern w:val="2"/>
          <w:sz w:val="32"/>
          <w:szCs w:val="40"/>
          <w:highlight w:val="none"/>
          <w:lang w:val="en-US" w:eastAsia="zh-CN" w:bidi="ar-SA"/>
        </w:rPr>
        <w:t>当月</w:t>
      </w:r>
      <w:r>
        <w:rPr>
          <w:rFonts w:hint="default" w:ascii="Times New Roman" w:hAnsi="Times New Roman" w:eastAsia="仿宋_GB2312" w:cs="Times New Roman"/>
          <w:kern w:val="2"/>
          <w:sz w:val="32"/>
          <w:szCs w:val="40"/>
          <w:highlight w:val="none"/>
          <w:lang w:eastAsia="zh-CN" w:bidi="ar-SA"/>
        </w:rPr>
        <w:t>中长期批发</w:t>
      </w:r>
      <w:r>
        <w:rPr>
          <w:rFonts w:hint="eastAsia" w:ascii="Times New Roman" w:hAnsi="Times New Roman" w:eastAsia="仿宋_GB2312" w:cs="Times New Roman"/>
          <w:kern w:val="2"/>
          <w:sz w:val="32"/>
          <w:szCs w:val="40"/>
          <w:highlight w:val="none"/>
          <w:lang w:val="en-US" w:eastAsia="zh-CN" w:bidi="ar-SA"/>
        </w:rPr>
        <w:t>市场</w:t>
      </w:r>
      <w:r>
        <w:rPr>
          <w:rFonts w:hint="default" w:ascii="Times New Roman" w:hAnsi="Times New Roman" w:eastAsia="仿宋_GB2312" w:cs="Times New Roman"/>
          <w:kern w:val="2"/>
          <w:sz w:val="32"/>
          <w:szCs w:val="40"/>
          <w:highlight w:val="none"/>
          <w:lang w:eastAsia="zh-CN" w:bidi="ar-SA"/>
        </w:rPr>
        <w:t>交易均价+度电服务费）</w:t>
      </w:r>
      <w:r>
        <w:rPr>
          <w:rFonts w:hint="eastAsia" w:ascii="Times New Roman" w:hAnsi="Times New Roman" w:eastAsia="仿宋_GB2312" w:cs="仿宋_GB2312"/>
          <w:kern w:val="2"/>
          <w:sz w:val="32"/>
          <w:szCs w:val="40"/>
          <w:highlight w:val="none"/>
          <w:lang w:val="en-US" w:eastAsia="zh-CN" w:bidi="ar"/>
        </w:rPr>
        <w:t>，约定的封顶价格上限</w:t>
      </w:r>
      <w:r>
        <w:rPr>
          <w:rFonts w:hint="default" w:ascii="Times New Roman" w:hAnsi="Times New Roman" w:eastAsia="仿宋_GB2312" w:cs="仿宋_GB2312"/>
          <w:kern w:val="2"/>
          <w:sz w:val="32"/>
          <w:szCs w:val="40"/>
          <w:highlight w:val="none"/>
          <w:lang w:val="en-US" w:eastAsia="zh-CN" w:bidi="ar"/>
        </w:rPr>
        <w:t>]</w:t>
      </w:r>
      <w:r>
        <w:rPr>
          <w:rFonts w:hint="default" w:ascii="Times New Roman" w:hAnsi="Times New Roman" w:eastAsia="仿宋_GB2312" w:cs="Times New Roman"/>
          <w:kern w:val="2"/>
          <w:sz w:val="32"/>
          <w:szCs w:val="40"/>
          <w:highlight w:val="none"/>
          <w:lang w:eastAsia="zh-CN" w:bidi="ar-SA"/>
        </w:rPr>
        <w:t>+10%×</w:t>
      </w:r>
      <w:r>
        <w:rPr>
          <w:rFonts w:hint="eastAsia" w:ascii="Times New Roman" w:hAnsi="Times New Roman" w:eastAsia="仿宋_GB2312" w:cs="Times New Roman"/>
          <w:kern w:val="2"/>
          <w:sz w:val="32"/>
          <w:szCs w:val="40"/>
          <w:highlight w:val="none"/>
          <w:lang w:val="en-US" w:eastAsia="zh-CN" w:bidi="ar-SA"/>
        </w:rPr>
        <w:t>现货</w:t>
      </w:r>
      <w:r>
        <w:rPr>
          <w:rFonts w:hint="eastAsia" w:ascii="Times New Roman" w:hAnsi="Times New Roman" w:eastAsia="仿宋_GB2312" w:cs="Times New Roman"/>
          <w:kern w:val="2"/>
          <w:sz w:val="32"/>
          <w:szCs w:val="40"/>
          <w:highlight w:val="none"/>
          <w:lang w:eastAsia="zh-CN" w:bidi="ar-SA"/>
        </w:rPr>
        <w:t>实时市场</w:t>
      </w:r>
      <w:r>
        <w:rPr>
          <w:rFonts w:hint="eastAsia" w:ascii="Times New Roman" w:hAnsi="Times New Roman" w:eastAsia="仿宋_GB2312" w:cs="Times New Roman"/>
          <w:kern w:val="2"/>
          <w:sz w:val="32"/>
          <w:szCs w:val="40"/>
          <w:highlight w:val="none"/>
          <w:lang w:val="en-US" w:eastAsia="zh-CN" w:bidi="ar-SA"/>
        </w:rPr>
        <w:t>该小时</w:t>
      </w:r>
      <w:r>
        <w:rPr>
          <w:rFonts w:hint="eastAsia" w:ascii="Times New Roman" w:hAnsi="Times New Roman" w:eastAsia="仿宋_GB2312" w:cs="Times New Roman"/>
          <w:kern w:val="2"/>
          <w:sz w:val="32"/>
          <w:szCs w:val="40"/>
          <w:highlight w:val="none"/>
          <w:lang w:eastAsia="zh-CN" w:bidi="ar-SA"/>
        </w:rPr>
        <w:t>均价</w:t>
      </w:r>
    </w:p>
    <w:p w14:paraId="3907B454">
      <w:pPr>
        <w:widowControl w:val="0"/>
        <w:spacing w:line="560" w:lineRule="exact"/>
        <w:ind w:firstLine="632" w:firstLineChars="200"/>
        <w:jc w:val="both"/>
        <w:rPr>
          <w:rFonts w:ascii="黑体" w:hAnsi="黑体" w:eastAsia="黑体" w:cs="黑体"/>
          <w:kern w:val="2"/>
          <w:sz w:val="32"/>
          <w:szCs w:val="40"/>
          <w:highlight w:val="none"/>
          <w:lang w:eastAsia="zh-CN" w:bidi="ar-SA"/>
        </w:rPr>
      </w:pPr>
      <w:r>
        <w:rPr>
          <w:rFonts w:hint="eastAsia" w:ascii="黑体" w:hAnsi="黑体" w:eastAsia="黑体" w:cs="黑体"/>
          <w:kern w:val="2"/>
          <w:sz w:val="32"/>
          <w:szCs w:val="40"/>
          <w:highlight w:val="none"/>
          <w:lang w:eastAsia="zh-CN" w:bidi="ar-SA"/>
        </w:rPr>
        <w:t>二、售电公司批发均价联动条款</w:t>
      </w:r>
    </w:p>
    <w:p w14:paraId="3DC0D62D">
      <w:pPr>
        <w:widowControl w:val="0"/>
        <w:spacing w:line="560" w:lineRule="exact"/>
        <w:ind w:firstLine="632" w:firstLineChars="200"/>
        <w:jc w:val="both"/>
        <w:rPr>
          <w:rFonts w:hint="default" w:ascii="Times New Roman" w:hAnsi="Times New Roman" w:eastAsia="仿宋_GB2312" w:cs="Times New Roman"/>
          <w:kern w:val="2"/>
          <w:sz w:val="32"/>
          <w:szCs w:val="40"/>
          <w:highlight w:val="none"/>
          <w:lang w:eastAsia="zh-CN" w:bidi="ar-SA"/>
        </w:rPr>
      </w:pPr>
      <w:r>
        <w:rPr>
          <w:rFonts w:hint="default" w:ascii="Times New Roman" w:hAnsi="Times New Roman" w:eastAsia="仿宋_GB2312" w:cs="Times New Roman"/>
          <w:kern w:val="2"/>
          <w:sz w:val="32"/>
          <w:szCs w:val="40"/>
          <w:highlight w:val="none"/>
          <w:lang w:eastAsia="zh-CN" w:bidi="ar-SA"/>
        </w:rPr>
        <w:t>零售电能量价格与对应售电公司的中长期</w:t>
      </w:r>
      <w:r>
        <w:rPr>
          <w:rFonts w:hint="eastAsia" w:ascii="Times New Roman" w:hAnsi="Times New Roman" w:eastAsia="仿宋_GB2312" w:cs="Times New Roman"/>
          <w:kern w:val="2"/>
          <w:sz w:val="32"/>
          <w:szCs w:val="40"/>
          <w:highlight w:val="none"/>
          <w:lang w:val="en-US" w:eastAsia="zh-CN" w:bidi="ar-SA"/>
        </w:rPr>
        <w:t>批发</w:t>
      </w:r>
      <w:r>
        <w:rPr>
          <w:rFonts w:hint="default" w:ascii="Times New Roman" w:hAnsi="Times New Roman" w:eastAsia="仿宋_GB2312" w:cs="Times New Roman"/>
          <w:kern w:val="2"/>
          <w:sz w:val="32"/>
          <w:szCs w:val="40"/>
          <w:highlight w:val="none"/>
          <w:lang w:eastAsia="zh-CN" w:bidi="ar-SA"/>
        </w:rPr>
        <w:t>交易价格以及现货市场分时出清价格按90%、10%的比例进行联动，售电公司可向零售用户收取合理的度电服务费</w:t>
      </w:r>
      <w:r>
        <w:rPr>
          <w:rFonts w:hint="eastAsia" w:ascii="Times New Roman" w:hAnsi="Times New Roman" w:eastAsia="仿宋_GB2312" w:cs="Times New Roman"/>
          <w:kern w:val="2"/>
          <w:sz w:val="32"/>
          <w:szCs w:val="40"/>
          <w:highlight w:val="none"/>
          <w:lang w:eastAsia="zh-CN" w:bidi="ar-SA"/>
        </w:rPr>
        <w:t>，</w:t>
      </w:r>
      <w:r>
        <w:rPr>
          <w:rFonts w:hint="eastAsia" w:ascii="Times New Roman" w:hAnsi="Times New Roman" w:eastAsia="仿宋_GB2312" w:cs="仿宋_GB2312"/>
          <w:kern w:val="2"/>
          <w:sz w:val="32"/>
          <w:szCs w:val="40"/>
          <w:highlight w:val="none"/>
          <w:lang w:val="en-US" w:eastAsia="zh-CN" w:bidi="ar"/>
        </w:rPr>
        <w:t>并约定售电公司中长期批发交易价格（含度电服务费）的封顶价格上限</w:t>
      </w:r>
      <w:r>
        <w:rPr>
          <w:rFonts w:hint="default" w:ascii="Times New Roman" w:hAnsi="Times New Roman" w:eastAsia="仿宋_GB2312" w:cs="Times New Roman"/>
          <w:kern w:val="2"/>
          <w:sz w:val="32"/>
          <w:szCs w:val="40"/>
          <w:highlight w:val="none"/>
          <w:lang w:eastAsia="zh-CN" w:bidi="ar-SA"/>
        </w:rPr>
        <w:t>。售电公司应诚实、守信、公平经营，合理确定自身中长期批发购电价格，保障用户权益。</w:t>
      </w:r>
    </w:p>
    <w:p w14:paraId="10D3C1FD">
      <w:pPr>
        <w:widowControl w:val="0"/>
        <w:spacing w:line="560" w:lineRule="exact"/>
        <w:ind w:firstLine="632" w:firstLineChars="200"/>
        <w:jc w:val="both"/>
        <w:rPr>
          <w:rFonts w:hint="default" w:ascii="Times New Roman" w:hAnsi="Times New Roman" w:eastAsia="仿宋_GB2312" w:cs="Times New Roman"/>
          <w:kern w:val="2"/>
          <w:sz w:val="32"/>
          <w:szCs w:val="40"/>
          <w:highlight w:val="none"/>
          <w:lang w:eastAsia="zh-CN" w:bidi="ar-SA"/>
        </w:rPr>
      </w:pPr>
      <w:r>
        <w:rPr>
          <w:rFonts w:hint="eastAsia" w:ascii="Times New Roman" w:hAnsi="Times New Roman" w:eastAsia="仿宋_GB2312" w:cs="Times New Roman"/>
          <w:kern w:val="2"/>
          <w:sz w:val="32"/>
          <w:szCs w:val="40"/>
          <w:highlight w:val="none"/>
          <w:lang w:eastAsia="zh-CN" w:bidi="ar-SA"/>
        </w:rPr>
        <w:t>执行分时电价的零售用户</w:t>
      </w:r>
      <w:r>
        <w:rPr>
          <w:rFonts w:hint="default" w:ascii="Times New Roman" w:hAnsi="Times New Roman" w:eastAsia="仿宋_GB2312" w:cs="Times New Roman"/>
          <w:kern w:val="2"/>
          <w:sz w:val="32"/>
          <w:szCs w:val="40"/>
          <w:highlight w:val="none"/>
          <w:lang w:eastAsia="zh-CN" w:bidi="ar-SA"/>
        </w:rPr>
        <w:t>中长期合同价格（含度电服务费）部分，在零售市场结算时按新分时电价政策明确的峰谷时段和对应比例浮动，计算公式如下：</w:t>
      </w:r>
    </w:p>
    <w:p w14:paraId="249494F3">
      <w:pPr>
        <w:widowControl w:val="0"/>
        <w:spacing w:line="560" w:lineRule="exact"/>
        <w:ind w:firstLine="632" w:firstLineChars="200"/>
        <w:jc w:val="both"/>
        <w:rPr>
          <w:rFonts w:hint="eastAsia" w:ascii="Times New Roman" w:hAnsi="Times New Roman" w:eastAsia="仿宋_GB2312" w:cs="Times New Roman"/>
          <w:kern w:val="2"/>
          <w:sz w:val="32"/>
          <w:szCs w:val="40"/>
          <w:highlight w:val="none"/>
          <w:lang w:eastAsia="zh-CN" w:bidi="ar-SA"/>
        </w:rPr>
      </w:pPr>
      <w:r>
        <w:rPr>
          <w:rFonts w:hint="default" w:ascii="Times New Roman" w:hAnsi="Times New Roman" w:eastAsia="仿宋_GB2312" w:cs="Times New Roman"/>
          <w:kern w:val="2"/>
          <w:sz w:val="32"/>
          <w:szCs w:val="40"/>
          <w:highlight w:val="none"/>
          <w:lang w:eastAsia="zh-CN" w:bidi="ar-SA"/>
        </w:rPr>
        <w:t>零售用户</w:t>
      </w:r>
      <w:r>
        <w:rPr>
          <w:rFonts w:hint="eastAsia" w:ascii="Times New Roman" w:hAnsi="Times New Roman" w:eastAsia="仿宋_GB2312" w:cs="仿宋_GB2312"/>
          <w:kern w:val="2"/>
          <w:sz w:val="32"/>
          <w:szCs w:val="40"/>
          <w:highlight w:val="none"/>
          <w:lang w:val="en-US" w:eastAsia="zh-CN" w:bidi="ar"/>
        </w:rPr>
        <w:t>每小时</w:t>
      </w:r>
      <w:r>
        <w:rPr>
          <w:rFonts w:hint="default" w:ascii="Times New Roman" w:hAnsi="Times New Roman" w:eastAsia="仿宋_GB2312" w:cs="Times New Roman"/>
          <w:kern w:val="2"/>
          <w:sz w:val="32"/>
          <w:szCs w:val="40"/>
          <w:highlight w:val="none"/>
          <w:lang w:eastAsia="zh-CN" w:bidi="ar-SA"/>
        </w:rPr>
        <w:t>电能量价格=90%×</w:t>
      </w:r>
      <w:r>
        <w:rPr>
          <w:rFonts w:hint="default" w:ascii="Times New Roman" w:hAnsi="Times New Roman" w:eastAsia="仿宋_GB2312" w:cs="Times New Roman"/>
          <w:kern w:val="2"/>
          <w:sz w:val="32"/>
          <w:szCs w:val="40"/>
          <w:highlight w:val="none"/>
          <w:lang w:val="en-US" w:eastAsia="zh-CN" w:bidi="ar"/>
        </w:rPr>
        <w:t>min[</w:t>
      </w:r>
      <w:r>
        <w:rPr>
          <w:rFonts w:hint="eastAsia" w:ascii="Times New Roman" w:hAnsi="Times New Roman" w:eastAsia="仿宋_GB2312" w:cs="仿宋_GB2312"/>
          <w:kern w:val="2"/>
          <w:sz w:val="32"/>
          <w:szCs w:val="40"/>
          <w:highlight w:val="none"/>
          <w:lang w:val="en-US" w:eastAsia="zh-CN" w:bidi="ar"/>
        </w:rPr>
        <w:t>（当月售电公司中长期批发交易均价</w:t>
      </w:r>
      <w:r>
        <w:rPr>
          <w:rFonts w:hint="default" w:ascii="Times New Roman" w:hAnsi="Times New Roman" w:eastAsia="仿宋_GB2312" w:cs="Times New Roman"/>
          <w:kern w:val="2"/>
          <w:sz w:val="32"/>
          <w:szCs w:val="40"/>
          <w:highlight w:val="none"/>
          <w:lang w:val="en-US" w:eastAsia="zh-CN" w:bidi="ar"/>
        </w:rPr>
        <w:t>+</w:t>
      </w:r>
      <w:r>
        <w:rPr>
          <w:rFonts w:hint="eastAsia" w:ascii="Times New Roman" w:hAnsi="Times New Roman" w:eastAsia="仿宋_GB2312" w:cs="仿宋_GB2312"/>
          <w:kern w:val="2"/>
          <w:sz w:val="32"/>
          <w:szCs w:val="40"/>
          <w:highlight w:val="none"/>
          <w:lang w:val="en-US" w:eastAsia="zh-CN" w:bidi="ar"/>
        </w:rPr>
        <w:t>度电服务费），约定的封顶价格上限</w:t>
      </w:r>
      <w:r>
        <w:rPr>
          <w:rFonts w:hint="default" w:ascii="Times New Roman" w:hAnsi="Times New Roman" w:eastAsia="仿宋_GB2312" w:cs="仿宋_GB2312"/>
          <w:kern w:val="2"/>
          <w:sz w:val="32"/>
          <w:szCs w:val="40"/>
          <w:highlight w:val="none"/>
          <w:lang w:val="en-US" w:eastAsia="zh-CN" w:bidi="ar"/>
        </w:rPr>
        <w:t>]</w:t>
      </w:r>
      <w:r>
        <w:rPr>
          <w:rFonts w:hint="default" w:ascii="Times New Roman" w:hAnsi="Times New Roman" w:eastAsia="仿宋_GB2312" w:cs="Times New Roman"/>
          <w:kern w:val="2"/>
          <w:sz w:val="32"/>
          <w:szCs w:val="40"/>
          <w:highlight w:val="none"/>
          <w:lang w:eastAsia="zh-CN" w:bidi="ar-SA"/>
        </w:rPr>
        <w:t>×</w:t>
      </w:r>
      <w:r>
        <w:rPr>
          <w:rFonts w:hint="eastAsia" w:ascii="Times New Roman" w:hAnsi="Times New Roman" w:eastAsia="仿宋_GB2312" w:cs="Times New Roman"/>
          <w:kern w:val="2"/>
          <w:sz w:val="32"/>
          <w:szCs w:val="40"/>
          <w:highlight w:val="none"/>
          <w:lang w:val="en-US" w:eastAsia="zh-CN" w:bidi="ar-SA"/>
        </w:rPr>
        <w:t>该小时</w:t>
      </w:r>
      <w:r>
        <w:rPr>
          <w:rFonts w:hint="default" w:ascii="Times New Roman" w:hAnsi="Times New Roman" w:eastAsia="仿宋_GB2312" w:cs="Times New Roman"/>
          <w:kern w:val="2"/>
          <w:sz w:val="32"/>
          <w:szCs w:val="40"/>
          <w:highlight w:val="none"/>
          <w:lang w:eastAsia="zh-CN" w:bidi="ar-SA"/>
        </w:rPr>
        <w:t>对应的峰谷浮动系数+10%×</w:t>
      </w:r>
      <w:r>
        <w:rPr>
          <w:rFonts w:hint="eastAsia" w:ascii="Times New Roman" w:hAnsi="Times New Roman" w:eastAsia="仿宋_GB2312" w:cs="Times New Roman"/>
          <w:kern w:val="2"/>
          <w:sz w:val="32"/>
          <w:szCs w:val="40"/>
          <w:highlight w:val="none"/>
          <w:lang w:val="en-US" w:eastAsia="zh-CN" w:bidi="ar-SA"/>
        </w:rPr>
        <w:t>当月现货</w:t>
      </w:r>
      <w:r>
        <w:rPr>
          <w:rFonts w:hint="eastAsia" w:ascii="Times New Roman" w:hAnsi="Times New Roman" w:eastAsia="仿宋_GB2312" w:cs="Times New Roman"/>
          <w:kern w:val="2"/>
          <w:sz w:val="32"/>
          <w:szCs w:val="40"/>
          <w:highlight w:val="none"/>
          <w:lang w:eastAsia="zh-CN" w:bidi="ar-SA"/>
        </w:rPr>
        <w:t>实时市场</w:t>
      </w:r>
      <w:r>
        <w:rPr>
          <w:rFonts w:hint="eastAsia" w:ascii="Times New Roman" w:hAnsi="Times New Roman" w:eastAsia="仿宋_GB2312" w:cs="Times New Roman"/>
          <w:kern w:val="2"/>
          <w:sz w:val="32"/>
          <w:szCs w:val="40"/>
          <w:highlight w:val="none"/>
          <w:lang w:val="en-US" w:eastAsia="zh-CN" w:bidi="ar-SA"/>
        </w:rPr>
        <w:t>该小时</w:t>
      </w:r>
      <w:r>
        <w:rPr>
          <w:rFonts w:hint="eastAsia" w:ascii="Times New Roman" w:hAnsi="Times New Roman" w:eastAsia="仿宋_GB2312" w:cs="Times New Roman"/>
          <w:kern w:val="2"/>
          <w:sz w:val="32"/>
          <w:szCs w:val="40"/>
          <w:highlight w:val="none"/>
          <w:lang w:eastAsia="zh-CN" w:bidi="ar-SA"/>
        </w:rPr>
        <w:t>均价</w:t>
      </w:r>
    </w:p>
    <w:p w14:paraId="62F0EDC4">
      <w:pPr>
        <w:widowControl w:val="0"/>
        <w:spacing w:line="560" w:lineRule="exact"/>
        <w:ind w:firstLine="632" w:firstLineChars="200"/>
        <w:jc w:val="both"/>
        <w:rPr>
          <w:rFonts w:hint="default" w:ascii="Times New Roman" w:hAnsi="Times New Roman" w:eastAsia="仿宋_GB2312" w:cs="Times New Roman"/>
          <w:kern w:val="2"/>
          <w:sz w:val="32"/>
          <w:szCs w:val="40"/>
          <w:highlight w:val="none"/>
          <w:lang w:eastAsia="zh-CN" w:bidi="ar-SA"/>
        </w:rPr>
      </w:pPr>
      <w:r>
        <w:rPr>
          <w:rFonts w:hint="default" w:ascii="Times New Roman" w:hAnsi="Times New Roman" w:eastAsia="仿宋_GB2312" w:cs="Times New Roman"/>
          <w:kern w:val="2"/>
          <w:sz w:val="32"/>
          <w:szCs w:val="40"/>
          <w:highlight w:val="none"/>
          <w:lang w:eastAsia="zh-CN" w:bidi="ar-SA"/>
        </w:rPr>
        <w:t>其中，售电公司中长期</w:t>
      </w:r>
      <w:r>
        <w:rPr>
          <w:rFonts w:hint="eastAsia" w:ascii="Times New Roman" w:hAnsi="Times New Roman" w:eastAsia="仿宋_GB2312" w:cs="Times New Roman"/>
          <w:kern w:val="2"/>
          <w:sz w:val="32"/>
          <w:szCs w:val="40"/>
          <w:highlight w:val="none"/>
          <w:lang w:val="en-US" w:eastAsia="zh-CN" w:bidi="ar-SA"/>
        </w:rPr>
        <w:t>批发交易</w:t>
      </w:r>
      <w:r>
        <w:rPr>
          <w:rFonts w:hint="default" w:ascii="Times New Roman" w:hAnsi="Times New Roman" w:eastAsia="仿宋_GB2312" w:cs="Times New Roman"/>
          <w:kern w:val="2"/>
          <w:sz w:val="32"/>
          <w:szCs w:val="40"/>
          <w:highlight w:val="none"/>
          <w:lang w:eastAsia="zh-CN" w:bidi="ar-SA"/>
        </w:rPr>
        <w:t>购电价格，按照提供服务的售电公司批发交易</w:t>
      </w:r>
      <w:r>
        <w:rPr>
          <w:rFonts w:hint="eastAsia" w:ascii="Times New Roman" w:hAnsi="Times New Roman" w:eastAsia="仿宋_GB2312" w:cs="Times New Roman"/>
          <w:kern w:val="2"/>
          <w:sz w:val="32"/>
          <w:szCs w:val="40"/>
          <w:highlight w:val="none"/>
          <w:lang w:eastAsia="zh-CN" w:bidi="ar-SA"/>
        </w:rPr>
        <w:t>净</w:t>
      </w:r>
      <w:r>
        <w:rPr>
          <w:rFonts w:hint="eastAsia" w:ascii="Times New Roman" w:hAnsi="Times New Roman" w:eastAsia="仿宋_GB2312" w:cs="Times New Roman"/>
          <w:kern w:val="2"/>
          <w:sz w:val="32"/>
          <w:szCs w:val="40"/>
          <w:highlight w:val="none"/>
          <w:lang w:val="en-US" w:eastAsia="zh-CN" w:bidi="ar-SA"/>
        </w:rPr>
        <w:t>持有</w:t>
      </w:r>
      <w:r>
        <w:rPr>
          <w:rFonts w:hint="default" w:ascii="Times New Roman" w:hAnsi="Times New Roman" w:eastAsia="仿宋_GB2312" w:cs="Times New Roman"/>
          <w:kern w:val="2"/>
          <w:sz w:val="32"/>
          <w:szCs w:val="40"/>
          <w:highlight w:val="none"/>
          <w:lang w:eastAsia="zh-CN" w:bidi="ar-SA"/>
        </w:rPr>
        <w:t>合同全部时段的加权均价（不含售电公司多年期交易、保底售电电量</w:t>
      </w:r>
      <w:r>
        <w:rPr>
          <w:rFonts w:hint="eastAsia" w:ascii="Times New Roman" w:hAnsi="Times New Roman" w:eastAsia="仿宋_GB2312" w:cs="Times New Roman"/>
          <w:kern w:val="2"/>
          <w:sz w:val="32"/>
          <w:szCs w:val="40"/>
          <w:highlight w:val="none"/>
          <w:lang w:val="en-US" w:eastAsia="zh-CN" w:bidi="ar-SA"/>
        </w:rPr>
        <w:t>及绿色环境权益价值</w:t>
      </w:r>
      <w:r>
        <w:rPr>
          <w:rFonts w:hint="default" w:ascii="Times New Roman" w:hAnsi="Times New Roman" w:eastAsia="仿宋_GB2312" w:cs="Times New Roman"/>
          <w:kern w:val="2"/>
          <w:sz w:val="32"/>
          <w:szCs w:val="40"/>
          <w:highlight w:val="none"/>
          <w:lang w:eastAsia="zh-CN" w:bidi="ar-SA"/>
        </w:rPr>
        <w:t>）确定；</w:t>
      </w:r>
      <w:r>
        <w:rPr>
          <w:rFonts w:hint="eastAsia" w:ascii="Times New Roman" w:hAnsi="Times New Roman" w:eastAsia="仿宋_GB2312" w:cs="Times New Roman"/>
          <w:kern w:val="2"/>
          <w:sz w:val="32"/>
          <w:szCs w:val="40"/>
          <w:highlight w:val="none"/>
          <w:lang w:val="en-US" w:eastAsia="zh-CN" w:bidi="ar-SA"/>
        </w:rPr>
        <w:t>现货</w:t>
      </w:r>
      <w:r>
        <w:rPr>
          <w:rFonts w:hint="eastAsia" w:ascii="Times New Roman" w:hAnsi="Times New Roman" w:eastAsia="仿宋_GB2312" w:cs="Times New Roman"/>
          <w:kern w:val="2"/>
          <w:sz w:val="32"/>
          <w:szCs w:val="40"/>
          <w:highlight w:val="none"/>
          <w:lang w:eastAsia="zh-CN" w:bidi="ar-SA"/>
        </w:rPr>
        <w:t>实时市场分时均价</w:t>
      </w:r>
      <w:r>
        <w:rPr>
          <w:rFonts w:hint="default" w:ascii="Times New Roman" w:hAnsi="Times New Roman" w:eastAsia="仿宋_GB2312" w:cs="Times New Roman"/>
          <w:kern w:val="2"/>
          <w:sz w:val="32"/>
          <w:szCs w:val="40"/>
          <w:highlight w:val="none"/>
          <w:lang w:eastAsia="zh-CN" w:bidi="ar-SA"/>
        </w:rPr>
        <w:t>按照</w:t>
      </w:r>
      <w:r>
        <w:rPr>
          <w:rFonts w:hint="eastAsia" w:ascii="Times New Roman" w:hAnsi="Times New Roman" w:eastAsia="仿宋_GB2312" w:cs="Times New Roman"/>
          <w:kern w:val="2"/>
          <w:sz w:val="32"/>
          <w:szCs w:val="40"/>
          <w:highlight w:val="none"/>
          <w:lang w:val="en-US" w:eastAsia="zh-CN" w:bidi="ar-SA"/>
        </w:rPr>
        <w:t>发电侧</w:t>
      </w:r>
      <w:r>
        <w:rPr>
          <w:rFonts w:hint="default" w:ascii="Times New Roman" w:hAnsi="Times New Roman" w:eastAsia="仿宋_GB2312" w:cs="Times New Roman"/>
          <w:kern w:val="2"/>
          <w:sz w:val="32"/>
          <w:szCs w:val="40"/>
          <w:highlight w:val="none"/>
          <w:lang w:eastAsia="zh-CN" w:bidi="ar-SA"/>
        </w:rPr>
        <w:t>现货实时市场出清电量与出清价格</w:t>
      </w:r>
      <w:r>
        <w:rPr>
          <w:rFonts w:hint="eastAsia" w:ascii="Times New Roman" w:hAnsi="Times New Roman" w:eastAsia="仿宋_GB2312" w:cs="Times New Roman"/>
          <w:kern w:val="2"/>
          <w:sz w:val="32"/>
          <w:szCs w:val="40"/>
          <w:highlight w:val="none"/>
          <w:lang w:val="en-US" w:eastAsia="zh-CN" w:bidi="ar-SA"/>
        </w:rPr>
        <w:t>的</w:t>
      </w:r>
      <w:r>
        <w:rPr>
          <w:rFonts w:hint="default" w:ascii="Times New Roman" w:hAnsi="Times New Roman" w:eastAsia="仿宋_GB2312" w:cs="Times New Roman"/>
          <w:kern w:val="2"/>
          <w:sz w:val="32"/>
          <w:szCs w:val="40"/>
          <w:highlight w:val="none"/>
          <w:lang w:eastAsia="zh-CN" w:bidi="ar-SA"/>
        </w:rPr>
        <w:t>加权均价确定。若售电公司当月</w:t>
      </w:r>
      <w:r>
        <w:rPr>
          <w:rFonts w:hint="eastAsia" w:ascii="Times New Roman" w:hAnsi="Times New Roman" w:eastAsia="仿宋_GB2312" w:cs="Times New Roman"/>
          <w:kern w:val="2"/>
          <w:sz w:val="32"/>
          <w:szCs w:val="40"/>
          <w:highlight w:val="none"/>
          <w:lang w:eastAsia="zh-CN" w:bidi="ar-SA"/>
        </w:rPr>
        <w:t>净</w:t>
      </w:r>
      <w:r>
        <w:rPr>
          <w:rFonts w:hint="eastAsia" w:ascii="Times New Roman" w:hAnsi="Times New Roman" w:eastAsia="仿宋_GB2312" w:cs="Times New Roman"/>
          <w:kern w:val="2"/>
          <w:sz w:val="32"/>
          <w:szCs w:val="40"/>
          <w:highlight w:val="none"/>
          <w:lang w:val="en-US" w:eastAsia="zh-CN" w:bidi="ar-SA"/>
        </w:rPr>
        <w:t>持有</w:t>
      </w:r>
      <w:r>
        <w:rPr>
          <w:rFonts w:hint="default" w:ascii="Times New Roman" w:hAnsi="Times New Roman" w:eastAsia="仿宋_GB2312" w:cs="Times New Roman"/>
          <w:kern w:val="2"/>
          <w:sz w:val="32"/>
          <w:szCs w:val="40"/>
          <w:highlight w:val="none"/>
          <w:lang w:eastAsia="zh-CN" w:bidi="ar-SA"/>
        </w:rPr>
        <w:t>合同</w:t>
      </w:r>
      <w:r>
        <w:rPr>
          <w:rFonts w:hint="eastAsia" w:ascii="Times New Roman" w:hAnsi="Times New Roman" w:eastAsia="仿宋_GB2312" w:cs="Times New Roman"/>
          <w:kern w:val="2"/>
          <w:sz w:val="32"/>
          <w:szCs w:val="40"/>
          <w:highlight w:val="none"/>
          <w:lang w:val="en-US" w:eastAsia="zh-CN" w:bidi="ar-SA"/>
        </w:rPr>
        <w:t>电量</w:t>
      </w:r>
      <w:r>
        <w:rPr>
          <w:rFonts w:hint="default" w:ascii="Times New Roman" w:hAnsi="Times New Roman" w:eastAsia="仿宋_GB2312" w:cs="Times New Roman"/>
          <w:kern w:val="2"/>
          <w:sz w:val="32"/>
          <w:szCs w:val="40"/>
          <w:highlight w:val="none"/>
          <w:lang w:eastAsia="zh-CN" w:bidi="ar-SA"/>
        </w:rPr>
        <w:t>低于</w:t>
      </w:r>
      <w:r>
        <w:rPr>
          <w:rFonts w:hint="eastAsia" w:ascii="Times New Roman" w:hAnsi="Times New Roman" w:eastAsia="仿宋_GB2312" w:cs="Times New Roman"/>
          <w:kern w:val="2"/>
          <w:sz w:val="32"/>
          <w:szCs w:val="40"/>
          <w:highlight w:val="none"/>
          <w:lang w:val="en-US" w:eastAsia="zh-CN" w:bidi="ar-SA"/>
        </w:rPr>
        <w:t>其服务的所有零售用户</w:t>
      </w:r>
      <w:r>
        <w:rPr>
          <w:rFonts w:hint="default" w:ascii="Times New Roman" w:hAnsi="Times New Roman" w:eastAsia="仿宋_GB2312" w:cs="Times New Roman"/>
          <w:kern w:val="2"/>
          <w:sz w:val="32"/>
          <w:szCs w:val="40"/>
          <w:highlight w:val="none"/>
          <w:lang w:eastAsia="zh-CN" w:bidi="ar-SA"/>
        </w:rPr>
        <w:t>实际用电量80%的，</w:t>
      </w:r>
      <w:r>
        <w:rPr>
          <w:rFonts w:hint="eastAsia" w:ascii="Times New Roman" w:hAnsi="Times New Roman" w:eastAsia="仿宋_GB2312" w:cs="Times New Roman"/>
          <w:kern w:val="2"/>
          <w:sz w:val="32"/>
          <w:szCs w:val="40"/>
          <w:highlight w:val="none"/>
          <w:lang w:val="en-US" w:eastAsia="zh-CN" w:bidi="ar-SA"/>
        </w:rPr>
        <w:t>则</w:t>
      </w:r>
      <w:r>
        <w:rPr>
          <w:rFonts w:hint="default" w:ascii="Times New Roman" w:hAnsi="Times New Roman" w:eastAsia="仿宋_GB2312" w:cs="Times New Roman"/>
          <w:kern w:val="2"/>
          <w:sz w:val="32"/>
          <w:szCs w:val="40"/>
          <w:highlight w:val="none"/>
          <w:lang w:eastAsia="zh-CN" w:bidi="ar-SA"/>
        </w:rPr>
        <w:t>售电公司中长期</w:t>
      </w:r>
      <w:r>
        <w:rPr>
          <w:rFonts w:hint="eastAsia" w:ascii="Times New Roman" w:hAnsi="Times New Roman" w:eastAsia="仿宋_GB2312" w:cs="Times New Roman"/>
          <w:kern w:val="2"/>
          <w:sz w:val="32"/>
          <w:szCs w:val="40"/>
          <w:highlight w:val="none"/>
          <w:lang w:val="en-US" w:eastAsia="zh-CN" w:bidi="ar-SA"/>
        </w:rPr>
        <w:t>批发交易</w:t>
      </w:r>
      <w:r>
        <w:rPr>
          <w:rFonts w:hint="default" w:ascii="Times New Roman" w:hAnsi="Times New Roman" w:eastAsia="仿宋_GB2312" w:cs="Times New Roman"/>
          <w:kern w:val="2"/>
          <w:sz w:val="32"/>
          <w:szCs w:val="40"/>
          <w:highlight w:val="none"/>
          <w:lang w:eastAsia="zh-CN" w:bidi="ar-SA"/>
        </w:rPr>
        <w:t>价格按照当月</w:t>
      </w:r>
      <w:r>
        <w:rPr>
          <w:rFonts w:hint="eastAsia" w:ascii="Times New Roman" w:hAnsi="Times New Roman" w:eastAsia="仿宋_GB2312" w:cs="仿宋_GB2312"/>
          <w:kern w:val="2"/>
          <w:sz w:val="32"/>
          <w:szCs w:val="40"/>
          <w:highlight w:val="none"/>
          <w:lang w:val="en-US" w:eastAsia="zh-CN" w:bidi="ar"/>
        </w:rPr>
        <w:t>中长期批发市场交易均价</w:t>
      </w:r>
      <w:r>
        <w:rPr>
          <w:rFonts w:hint="default" w:ascii="Times New Roman" w:hAnsi="Times New Roman" w:eastAsia="仿宋_GB2312" w:cs="Times New Roman"/>
          <w:kern w:val="2"/>
          <w:sz w:val="32"/>
          <w:szCs w:val="40"/>
          <w:highlight w:val="none"/>
          <w:lang w:eastAsia="zh-CN" w:bidi="ar-SA"/>
        </w:rPr>
        <w:t>计算。</w:t>
      </w:r>
      <w:r>
        <w:rPr>
          <w:rFonts w:hint="eastAsia" w:ascii="仿宋_GB2312" w:hAnsi="仿宋_GB2312" w:eastAsia="仿宋_GB2312" w:cs="仿宋_GB2312"/>
          <w:kern w:val="2"/>
          <w:sz w:val="32"/>
          <w:szCs w:val="40"/>
          <w:highlight w:val="none"/>
          <w:lang w:val="en-US" w:eastAsia="zh-CN" w:bidi="ar"/>
        </w:rPr>
        <w:t>峰平谷时段划分、峰谷浮动系数参照《陕西省发展和改革委员会关于调整陕西电网分时电价政策有关事项的通知》（陕发改价格〔2025〕1034号）执行，其中电气化铁路牵引用电不进行峰谷浮动</w:t>
      </w:r>
      <w:r>
        <w:rPr>
          <w:rFonts w:hint="eastAsia" w:ascii="仿宋_GB2312" w:hAnsi="仿宋_GB2312" w:eastAsia="仿宋_GB2312" w:cs="仿宋_GB2312"/>
          <w:kern w:val="2"/>
          <w:sz w:val="32"/>
          <w:szCs w:val="40"/>
          <w:highlight w:val="none"/>
          <w:lang w:eastAsia="zh-CN" w:bidi="ar-SA"/>
        </w:rPr>
        <w:t>。</w:t>
      </w:r>
    </w:p>
    <w:p w14:paraId="2A1F8E6F">
      <w:pPr>
        <w:widowControl w:val="0"/>
        <w:spacing w:line="560" w:lineRule="exact"/>
        <w:ind w:firstLine="632" w:firstLineChars="200"/>
        <w:jc w:val="both"/>
        <w:rPr>
          <w:rFonts w:hint="default" w:ascii="Times New Roman" w:hAnsi="Times New Roman" w:eastAsia="仿宋_GB2312" w:cs="Times New Roman"/>
          <w:kern w:val="2"/>
          <w:sz w:val="32"/>
          <w:szCs w:val="40"/>
          <w:highlight w:val="none"/>
          <w:lang w:eastAsia="zh-CN" w:bidi="ar-SA"/>
        </w:rPr>
      </w:pPr>
      <w:r>
        <w:rPr>
          <w:rFonts w:hint="default" w:ascii="Times New Roman" w:hAnsi="Times New Roman" w:eastAsia="仿宋_GB2312" w:cs="Times New Roman"/>
          <w:kern w:val="2"/>
          <w:sz w:val="32"/>
          <w:szCs w:val="40"/>
          <w:highlight w:val="none"/>
          <w:lang w:eastAsia="zh-CN" w:bidi="ar-SA"/>
        </w:rPr>
        <w:t>售电公司零售电费计算时使用的电能量价格不进行峰谷浮动，计算公式如下：</w:t>
      </w:r>
    </w:p>
    <w:p w14:paraId="379FFC75">
      <w:pPr>
        <w:widowControl w:val="0"/>
        <w:spacing w:line="560" w:lineRule="exact"/>
        <w:ind w:firstLine="632" w:firstLineChars="200"/>
        <w:jc w:val="both"/>
        <w:rPr>
          <w:rFonts w:hint="eastAsia" w:ascii="Times New Roman" w:hAnsi="Times New Roman" w:eastAsia="仿宋_GB2312" w:cs="Times New Roman"/>
          <w:kern w:val="2"/>
          <w:sz w:val="32"/>
          <w:szCs w:val="40"/>
          <w:highlight w:val="none"/>
          <w:lang w:eastAsia="zh-CN" w:bidi="ar-SA"/>
        </w:rPr>
      </w:pPr>
      <w:r>
        <w:rPr>
          <w:rFonts w:hint="default" w:ascii="Times New Roman" w:hAnsi="Times New Roman" w:eastAsia="仿宋_GB2312" w:cs="Times New Roman"/>
          <w:kern w:val="2"/>
          <w:sz w:val="32"/>
          <w:szCs w:val="40"/>
          <w:highlight w:val="none"/>
          <w:lang w:eastAsia="zh-CN" w:bidi="ar-SA"/>
        </w:rPr>
        <w:t>售电公司零售</w:t>
      </w:r>
      <w:r>
        <w:rPr>
          <w:rFonts w:hint="eastAsia" w:ascii="Times New Roman" w:hAnsi="Times New Roman" w:eastAsia="仿宋_GB2312" w:cs="仿宋_GB2312"/>
          <w:kern w:val="2"/>
          <w:sz w:val="32"/>
          <w:szCs w:val="40"/>
          <w:highlight w:val="none"/>
          <w:lang w:val="en-US" w:eastAsia="zh-CN" w:bidi="ar"/>
        </w:rPr>
        <w:t>每小时</w:t>
      </w:r>
      <w:r>
        <w:rPr>
          <w:rFonts w:hint="default" w:ascii="Times New Roman" w:hAnsi="Times New Roman" w:eastAsia="仿宋_GB2312" w:cs="Times New Roman"/>
          <w:kern w:val="2"/>
          <w:sz w:val="32"/>
          <w:szCs w:val="40"/>
          <w:highlight w:val="none"/>
          <w:lang w:eastAsia="zh-CN" w:bidi="ar-SA"/>
        </w:rPr>
        <w:t>电能量价格=90%×</w:t>
      </w:r>
      <w:r>
        <w:rPr>
          <w:rFonts w:hint="default" w:ascii="Times New Roman" w:hAnsi="Times New Roman" w:eastAsia="仿宋_GB2312" w:cs="Times New Roman"/>
          <w:kern w:val="2"/>
          <w:sz w:val="32"/>
          <w:szCs w:val="40"/>
          <w:highlight w:val="none"/>
          <w:lang w:val="en-US" w:eastAsia="zh-CN" w:bidi="ar"/>
        </w:rPr>
        <w:t>min[</w:t>
      </w:r>
      <w:r>
        <w:rPr>
          <w:rFonts w:hint="default" w:ascii="Times New Roman" w:hAnsi="Times New Roman" w:eastAsia="仿宋_GB2312" w:cs="Times New Roman"/>
          <w:kern w:val="2"/>
          <w:sz w:val="32"/>
          <w:szCs w:val="40"/>
          <w:highlight w:val="none"/>
          <w:lang w:eastAsia="zh-CN" w:bidi="ar-SA"/>
        </w:rPr>
        <w:t>（</w:t>
      </w:r>
      <w:r>
        <w:rPr>
          <w:rFonts w:hint="eastAsia" w:ascii="Times New Roman" w:hAnsi="Times New Roman" w:eastAsia="仿宋_GB2312" w:cs="Times New Roman"/>
          <w:kern w:val="2"/>
          <w:sz w:val="32"/>
          <w:szCs w:val="40"/>
          <w:highlight w:val="none"/>
          <w:lang w:val="en-US" w:eastAsia="zh-CN" w:bidi="ar-SA"/>
        </w:rPr>
        <w:t>当月</w:t>
      </w:r>
      <w:r>
        <w:rPr>
          <w:rFonts w:hint="default" w:ascii="Times New Roman" w:hAnsi="Times New Roman" w:eastAsia="仿宋_GB2312" w:cs="Times New Roman"/>
          <w:kern w:val="2"/>
          <w:sz w:val="32"/>
          <w:szCs w:val="40"/>
          <w:highlight w:val="none"/>
          <w:lang w:eastAsia="zh-CN" w:bidi="ar-SA"/>
        </w:rPr>
        <w:t>售电公司中长期购电价格+度电服务费）</w:t>
      </w:r>
      <w:r>
        <w:rPr>
          <w:rFonts w:hint="eastAsia" w:ascii="Times New Roman" w:hAnsi="Times New Roman" w:eastAsia="仿宋_GB2312" w:cs="仿宋_GB2312"/>
          <w:kern w:val="2"/>
          <w:sz w:val="32"/>
          <w:szCs w:val="40"/>
          <w:highlight w:val="none"/>
          <w:lang w:val="en-US" w:eastAsia="zh-CN" w:bidi="ar"/>
        </w:rPr>
        <w:t>，约定的封顶价格上限</w:t>
      </w:r>
      <w:r>
        <w:rPr>
          <w:rFonts w:hint="default" w:ascii="Times New Roman" w:hAnsi="Times New Roman" w:eastAsia="仿宋_GB2312" w:cs="仿宋_GB2312"/>
          <w:kern w:val="2"/>
          <w:sz w:val="32"/>
          <w:szCs w:val="40"/>
          <w:highlight w:val="none"/>
          <w:lang w:val="en-US" w:eastAsia="zh-CN" w:bidi="ar"/>
        </w:rPr>
        <w:t>]</w:t>
      </w:r>
      <w:r>
        <w:rPr>
          <w:rFonts w:hint="default" w:ascii="Times New Roman" w:hAnsi="Times New Roman" w:eastAsia="仿宋_GB2312" w:cs="Times New Roman"/>
          <w:kern w:val="2"/>
          <w:sz w:val="32"/>
          <w:szCs w:val="40"/>
          <w:highlight w:val="none"/>
          <w:lang w:eastAsia="zh-CN" w:bidi="ar-SA"/>
        </w:rPr>
        <w:t>+10%×</w:t>
      </w:r>
      <w:r>
        <w:rPr>
          <w:rFonts w:hint="eastAsia" w:ascii="Times New Roman" w:hAnsi="Times New Roman" w:eastAsia="仿宋_GB2312" w:cs="Times New Roman"/>
          <w:kern w:val="2"/>
          <w:sz w:val="32"/>
          <w:szCs w:val="40"/>
          <w:highlight w:val="none"/>
          <w:lang w:val="en-US" w:eastAsia="zh-CN" w:bidi="ar-SA"/>
        </w:rPr>
        <w:t>现货</w:t>
      </w:r>
      <w:r>
        <w:rPr>
          <w:rFonts w:hint="eastAsia" w:ascii="Times New Roman" w:hAnsi="Times New Roman" w:eastAsia="仿宋_GB2312" w:cs="Times New Roman"/>
          <w:kern w:val="2"/>
          <w:sz w:val="32"/>
          <w:szCs w:val="40"/>
          <w:highlight w:val="none"/>
          <w:lang w:eastAsia="zh-CN" w:bidi="ar-SA"/>
        </w:rPr>
        <w:t>实时市场</w:t>
      </w:r>
      <w:r>
        <w:rPr>
          <w:rFonts w:hint="eastAsia" w:ascii="Times New Roman" w:hAnsi="Times New Roman" w:eastAsia="仿宋_GB2312" w:cs="Times New Roman"/>
          <w:kern w:val="2"/>
          <w:sz w:val="32"/>
          <w:szCs w:val="40"/>
          <w:highlight w:val="none"/>
          <w:lang w:val="en-US" w:eastAsia="zh-CN" w:bidi="ar-SA"/>
        </w:rPr>
        <w:t>该小时</w:t>
      </w:r>
      <w:r>
        <w:rPr>
          <w:rFonts w:hint="eastAsia" w:ascii="Times New Roman" w:hAnsi="Times New Roman" w:eastAsia="仿宋_GB2312" w:cs="Times New Roman"/>
          <w:kern w:val="2"/>
          <w:sz w:val="32"/>
          <w:szCs w:val="40"/>
          <w:highlight w:val="none"/>
          <w:lang w:eastAsia="zh-CN" w:bidi="ar-SA"/>
        </w:rPr>
        <w:t>均价</w:t>
      </w:r>
    </w:p>
    <w:p w14:paraId="5FC8B635">
      <w:pPr>
        <w:keepNext w:val="0"/>
        <w:keepLines w:val="0"/>
        <w:pageBreakBefore w:val="0"/>
        <w:widowControl w:val="0"/>
        <w:kinsoku/>
        <w:overflowPunct/>
        <w:topLinePunct w:val="0"/>
        <w:autoSpaceDE/>
        <w:autoSpaceDN w:val="0"/>
        <w:bidi w:val="0"/>
        <w:spacing w:line="240" w:lineRule="auto"/>
        <w:jc w:val="right"/>
        <w:textAlignment w:val="auto"/>
        <w:outlineLvl w:val="9"/>
        <w:rPr>
          <w:rFonts w:hint="default"/>
          <w:lang w:val="en"/>
        </w:rPr>
      </w:pPr>
    </w:p>
    <w:p w14:paraId="117E3414">
      <w:pPr>
        <w:autoSpaceDN w:val="0"/>
        <w:spacing w:line="240" w:lineRule="auto"/>
        <w:jc w:val="left"/>
        <w:rPr>
          <w:rFonts w:hint="eastAsia"/>
        </w:rPr>
      </w:pPr>
    </w:p>
    <w:p w14:paraId="6789B787">
      <w:pPr>
        <w:rPr>
          <w:rFonts w:hint="eastAsia"/>
          <w:lang w:val="en-US" w:eastAsia="zh-CN"/>
        </w:rPr>
      </w:pPr>
    </w:p>
    <w:p w14:paraId="3D814AE3">
      <w:pPr>
        <w:bidi w:val="0"/>
        <w:rPr>
          <w:rFonts w:hint="eastAsia" w:ascii="Times New Roman" w:hAnsi="Times New Roman" w:eastAsia="仿宋_GB2312"/>
          <w:sz w:val="32"/>
          <w:szCs w:val="24"/>
          <w:lang w:val="en-US" w:eastAsia="zh-CN" w:bidi="en-US"/>
        </w:rPr>
      </w:pPr>
    </w:p>
    <w:p w14:paraId="6BD68C4D">
      <w:pPr>
        <w:bidi w:val="0"/>
        <w:rPr>
          <w:rFonts w:hint="eastAsia"/>
          <w:lang w:val="en-US" w:eastAsia="zh-CN"/>
        </w:rPr>
      </w:pPr>
    </w:p>
    <w:p w14:paraId="44F34BCB">
      <w:pPr>
        <w:tabs>
          <w:tab w:val="left" w:pos="8121"/>
        </w:tabs>
        <w:bidi w:val="0"/>
        <w:jc w:val="right"/>
        <w:rPr>
          <w:rFonts w:hint="eastAsia"/>
          <w:lang w:val="en-US" w:eastAsia="zh-CN"/>
        </w:rPr>
      </w:pPr>
      <w:r>
        <w:rPr>
          <w:rFonts w:hint="eastAsia" w:ascii="Nimbus Roman No9 L" w:hAnsi="Nimbus Roman No9 L" w:cs="Nimbus Roman No9 L"/>
          <w:lang w:val="en-US" w:eastAsia="zh-CN"/>
        </w:rPr>
        <w:t xml:space="preserve">                                       </w:t>
      </w:r>
      <w:bookmarkStart w:id="0" w:name="image"/>
      <w:bookmarkEnd w:id="0"/>
      <w:r>
        <w:rPr>
          <w:rFonts w:hint="eastAsia"/>
          <w:lang w:val="en-US" w:eastAsia="zh-CN"/>
        </w:rPr>
        <w:tab/>
      </w:r>
    </w:p>
    <w:p w14:paraId="390FD6E6">
      <w:bookmarkStart w:id="1" w:name="_GoBack"/>
      <w:bookmarkEnd w:id="1"/>
    </w:p>
    <w:sectPr>
      <w:headerReference r:id="rId3" w:type="default"/>
      <w:footerReference r:id="rId5" w:type="default"/>
      <w:headerReference r:id="rId4" w:type="even"/>
      <w:footerReference r:id="rId6" w:type="even"/>
      <w:pgSz w:w="11906" w:h="16838"/>
      <w:pgMar w:top="1984" w:right="1474" w:bottom="1984" w:left="1588" w:header="567" w:footer="567" w:gutter="0"/>
      <w:cols w:space="720" w:num="1"/>
      <w:rtlGutter w:val="0"/>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Nimbus Roman No9 L">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AFBC0">
    <w:pPr>
      <w:pStyle w:val="4"/>
      <w:tabs>
        <w:tab w:val="left" w:pos="7580"/>
        <w:tab w:val="right" w:pos="8508"/>
      </w:tabs>
      <w:ind w:right="280"/>
      <w:jc w:val="right"/>
      <w:rPr>
        <w:rFonts w:hint="default" w:ascii="Times New Roman" w:hAnsi="Times New Roman" w:eastAsia="宋体" w:cs="Times New Roman"/>
        <w:kern w:val="0"/>
        <w:sz w:val="18"/>
        <w:szCs w:val="18"/>
      </w:rPr>
    </w:pP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p w14:paraId="6FAAB845">
    <w:pPr>
      <w:pStyle w:val="4"/>
      <w:tabs>
        <w:tab w:val="left" w:pos="7580"/>
        <w:tab w:val="right" w:pos="8508"/>
      </w:tabs>
      <w:ind w:right="280"/>
      <w:jc w:val="right"/>
      <w:rPr>
        <w:rFonts w:hint="default" w:ascii="Times New Roman" w:hAnsi="Times New Roman" w:eastAsia="宋体" w:cs="Times New Roman"/>
        <w:kern w:val="0"/>
        <w:sz w:val="18"/>
        <w:szCs w:val="18"/>
      </w:rPr>
    </w:pPr>
  </w:p>
  <w:p w14:paraId="3D605F3D">
    <w:pPr>
      <w:pStyle w:val="4"/>
      <w:ind w:right="280"/>
      <w:jc w:val="right"/>
      <w:rPr>
        <w:rFonts w:hint="eastAsia"/>
        <w:sz w:val="18"/>
        <w:szCs w:val="18"/>
        <w:lang w:eastAsia="zh-CN"/>
      </w:rPr>
    </w:pPr>
  </w:p>
  <w:p w14:paraId="1B0DF230">
    <w:pPr>
      <w:pStyle w:val="4"/>
      <w:ind w:right="280"/>
      <w:jc w:val="right"/>
      <w:rPr>
        <w:rFonts w:hint="eastAsia"/>
        <w:sz w:val="18"/>
        <w:szCs w:val="18"/>
        <w:lang w:eastAsia="zh-CN"/>
      </w:rPr>
    </w:pPr>
  </w:p>
  <w:p w14:paraId="4DD67367">
    <w:pPr>
      <w:pStyle w:val="4"/>
      <w:ind w:right="280"/>
      <w:jc w:val="right"/>
      <w:rPr>
        <w:rFonts w:hint="eastAsia"/>
        <w:sz w:val="18"/>
        <w:szCs w:val="18"/>
        <w:lang w:eastAsia="zh-CN"/>
      </w:rPr>
    </w:pPr>
  </w:p>
  <w:p w14:paraId="653BA46A">
    <w:pPr>
      <w:pStyle w:val="4"/>
      <w:ind w:right="280"/>
      <w:jc w:val="right"/>
      <w:rPr>
        <w:rFonts w:hint="eastAsia"/>
        <w:sz w:val="18"/>
        <w:szCs w:val="1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ADB42">
    <w:pPr>
      <w:pStyle w:val="4"/>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p w14:paraId="3E03981E">
    <w:pPr>
      <w:pStyle w:val="4"/>
    </w:pPr>
  </w:p>
  <w:p w14:paraId="45047995">
    <w:pPr>
      <w:pStyle w:val="4"/>
    </w:pPr>
  </w:p>
  <w:p w14:paraId="6844DA15">
    <w:pPr>
      <w:pStyle w:val="4"/>
    </w:pPr>
  </w:p>
  <w:p w14:paraId="442F83BE">
    <w:pPr>
      <w:pStyle w:val="4"/>
    </w:pPr>
  </w:p>
  <w:p w14:paraId="793D802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51E3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59A1">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D071F"/>
    <w:rsid w:val="284D0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仿宋_GB2312" w:cs="Times New Roman"/>
      <w:sz w:val="32"/>
      <w:szCs w:val="24"/>
      <w:lang w:val="en-US" w:eastAsia="en-US" w:bidi="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keepNext w:val="0"/>
      <w:keepLines w:val="0"/>
      <w:widowControl w:val="0"/>
      <w:suppressLineNumbers w:val="0"/>
      <w:spacing w:before="0" w:beforeAutospacing="0" w:after="120" w:afterAutospacing="0" w:line="580" w:lineRule="exact"/>
      <w:ind w:left="0" w:right="0" w:firstLine="803" w:firstLineChars="200"/>
      <w:jc w:val="both"/>
    </w:pPr>
    <w:rPr>
      <w:rFonts w:hint="eastAsia" w:ascii="仿宋_GB2312" w:hAnsi="仿宋_GB2312" w:eastAsia="仿宋_GB2312" w:cs="Times New Roman"/>
      <w:kern w:val="2"/>
      <w:sz w:val="32"/>
      <w:szCs w:val="24"/>
      <w:lang w:val="en-US" w:eastAsia="zh-CN" w:bidi="ar"/>
    </w:rPr>
  </w:style>
  <w:style w:type="paragraph" w:styleId="3">
    <w:name w:val="toc 3"/>
    <w:next w:val="1"/>
    <w:unhideWhenUsed/>
    <w:qFormat/>
    <w:uiPriority w:val="39"/>
    <w:pPr>
      <w:widowControl w:val="0"/>
      <w:ind w:left="840" w:leftChars="4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2025-08-01T02:44:00Z</dcterms:created>
  <dc:creator>许文宇</dc:creator>
  <cp:lastModifiedBy>许文宇</cp:lastModifiedBy>
  <dcterms:modified xsi:type="dcterms:W3CDTF">2025-08-01T02:44:43Z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099BB34E8D594D94AA51FAFD3E230578_11</vt:lpwstr>
  </property>
  <property fmtid="{D5CDD505-2E9C-101B-9397-08002B2CF9AE}" pid="4" name="KSOTemplateDocerSaveRecord">
    <vt:lpwstr>eyJoZGlkIjoiMmFkYWQ2N2E1NWQxM2ExYTk3MDgwYTBmMDcyMTUyNjYiLCJ1c2VySWQiOiIyMDM1MTgyNDkifQ==</vt:lpwstr>
  </property>
</Properties>
</file>