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13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60" w:lineRule="exact"/>
        <w:rPr>
          <w:rFonts w:hint="eastAsia" w:ascii="仿宋_GB2312"/>
        </w:rPr>
      </w:pPr>
    </w:p>
    <w:p>
      <w:pPr>
        <w:widowControl/>
        <w:spacing w:line="560" w:lineRule="exact"/>
        <w:ind w:firstLine="640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2014〕296号)和省发展改革委《关于做好我省成品油质量升级有关工作的通知》(陕发改油气〔2014〕1149号)精神,我省汽、柴油质量升级后，相关升级成本暂由生产和经销企业消化承担，目前仍然执行原质量标准价格。现将我省汽、柴油最高零售价格公布如下，自2014年9月29日24时起执行。</w:t>
      </w:r>
    </w:p>
    <w:p>
      <w:pPr>
        <w:widowControl/>
        <w:spacing w:line="560" w:lineRule="exact"/>
        <w:ind w:firstLine="640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陕西省汽、柴油最高零售价格表  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汽   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89号、90号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92号、93号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95号、97号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8940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9476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10013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6.71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7.11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9040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9582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10125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6.78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7.19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柴    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7870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8342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8736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9051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6.69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7.09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7.43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8070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8554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8958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9281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6.86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7.27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7.61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7.89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808" w:firstLineChars="181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555" w:firstLineChars="1736"/>
      </w:pPr>
      <w:r>
        <w:rPr>
          <w:rFonts w:hint="eastAsia" w:ascii="仿宋_GB2312"/>
        </w:rPr>
        <w:t>2014年9月29日</w:t>
      </w:r>
    </w:p>
    <w:p>
      <w:pPr>
        <w:spacing w:line="660" w:lineRule="exact"/>
      </w:pPr>
    </w:p>
    <w:p>
      <w:pPr>
        <w:widowControl/>
        <w:spacing w:line="560" w:lineRule="exact"/>
        <w:jc w:val="center"/>
        <w:rPr>
          <w:rFonts w:hint="eastAsia" w:ascii="仿宋_GB2312" w:hAnsi="宋体" w:cs="宋体"/>
          <w:color w:val="000000"/>
          <w:kern w:val="0"/>
        </w:rPr>
      </w:pP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8DA"/>
    <w:rsid w:val="000E4EB1"/>
    <w:rsid w:val="001B0832"/>
    <w:rsid w:val="00217FE0"/>
    <w:rsid w:val="002275FC"/>
    <w:rsid w:val="002C2753"/>
    <w:rsid w:val="00342393"/>
    <w:rsid w:val="003A5169"/>
    <w:rsid w:val="004073F6"/>
    <w:rsid w:val="00535C0B"/>
    <w:rsid w:val="005766B7"/>
    <w:rsid w:val="005F4CC2"/>
    <w:rsid w:val="006211BB"/>
    <w:rsid w:val="00645184"/>
    <w:rsid w:val="00651D4D"/>
    <w:rsid w:val="00665C7B"/>
    <w:rsid w:val="006F0CA6"/>
    <w:rsid w:val="007851C2"/>
    <w:rsid w:val="00793F65"/>
    <w:rsid w:val="008302C6"/>
    <w:rsid w:val="0083772F"/>
    <w:rsid w:val="00903DB3"/>
    <w:rsid w:val="009042C6"/>
    <w:rsid w:val="00917C13"/>
    <w:rsid w:val="00927D69"/>
    <w:rsid w:val="009A01FE"/>
    <w:rsid w:val="009F4DC0"/>
    <w:rsid w:val="00A37331"/>
    <w:rsid w:val="00A723A2"/>
    <w:rsid w:val="00A805AE"/>
    <w:rsid w:val="00AD7236"/>
    <w:rsid w:val="00B049D8"/>
    <w:rsid w:val="00B818DA"/>
    <w:rsid w:val="00C24635"/>
    <w:rsid w:val="00C404AF"/>
    <w:rsid w:val="00C80C4F"/>
    <w:rsid w:val="00C819FE"/>
    <w:rsid w:val="00CC3F95"/>
    <w:rsid w:val="00CE033F"/>
    <w:rsid w:val="00D13A2F"/>
    <w:rsid w:val="00D85AC0"/>
    <w:rsid w:val="00E71900"/>
    <w:rsid w:val="00F00AED"/>
    <w:rsid w:val="00F021F1"/>
    <w:rsid w:val="00F343A9"/>
    <w:rsid w:val="00F61F7E"/>
    <w:rsid w:val="00F8695E"/>
    <w:rsid w:val="00F9078D"/>
    <w:rsid w:val="00FD1ACD"/>
    <w:rsid w:val="00FD216D"/>
    <w:rsid w:val="00FD3ED1"/>
    <w:rsid w:val="75D23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2014-09-29T08:44:00Z</dcterms:created>
  <dc:creator>cnsi</dc:creator>
  <cp:lastModifiedBy>hjj</cp:lastModifiedBy>
  <cp:lastPrinted>2014-09-29T08:47:00Z</cp:lastPrinted>
  <dcterms:modified xsi:type="dcterms:W3CDTF">2022-01-28T03:06:06Z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E7615640C119468D9645274B1CBBB520</vt:lpwstr>
  </property>
</Properties>
</file>