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/>
          <w:shd w:val="clear" w:color="auto" w:fill="FFFFFF"/>
        </w:rPr>
      </w:pPr>
      <w:bookmarkStart w:id="1" w:name="_GoBack"/>
      <w:bookmarkEnd w:id="1"/>
      <w:bookmarkStart w:id="0" w:name="_Toc25551"/>
      <w:r>
        <w:rPr>
          <w:rFonts w:hint="eastAsia" w:ascii="黑体" w:hAnsi="黑体" w:eastAsia="黑体"/>
          <w:b w:val="0"/>
          <w:shd w:val="clear" w:color="auto" w:fill="FFFFFF"/>
        </w:rPr>
        <w:t>附件2</w:t>
      </w:r>
      <w:bookmarkEnd w:id="0"/>
    </w:p>
    <w:p>
      <w:pPr>
        <w:shd w:val="solid" w:color="FFFFFF" w:fill="auto"/>
        <w:autoSpaceDN w:val="0"/>
        <w:spacing w:line="432" w:lineRule="atLeast"/>
        <w:jc w:val="center"/>
        <w:rPr>
          <w:rFonts w:ascii="宋体" w:hAnsi="宋体"/>
          <w:sz w:val="24"/>
          <w:shd w:val="clear" w:color="auto" w:fill="FFFFFF"/>
        </w:rPr>
      </w:pPr>
      <w:r>
        <w:rPr>
          <w:rFonts w:hint="eastAsia" w:ascii="黑体" w:hAnsi="黑体" w:eastAsia="黑体"/>
          <w:bCs/>
          <w:sz w:val="36"/>
          <w:shd w:val="clear" w:color="auto" w:fill="FFFFFF"/>
        </w:rPr>
        <w:t>重点任务分工方案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858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重　点　任　务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责　任　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完善基本公共服务制度，建立基本公共服务清单制，建立健全科学有效的基本公共服务实施机制。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省发展改革委牵头，其他有关部门按职责分工负责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2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推动育幼领域发展指标、重点任务、保障措施有效落实。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省卫健委牵头，其他有关部门按职责分工负责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3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推动教育领域发展指标、重点任务、保障措施有效落实。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省教育厅牵头，其他有关部门按职责分工负责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4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推动劳动就业创业领域发展指标、重点任务、保障措施有效落实。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省人力资源社会保障厅牵头，其他有关部门按职责分工负责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5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推动医疗卫生领域发展指标、重点任务、保障措施有效落实。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省卫健委、省食品药品监管局、省中医药局分别牵头，其他有关部门按职责分工负责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6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推动养老服务领域发展指标、重点任务、保障措施有效落实。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省民政厅牵头，其他有关部门按职责分工负责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7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推动住房保障领域发展指标、重点任务、保障措施有效落实。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省住房城乡建设厅牵头，其他有关部门按职责分工负责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8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推动社会服务领域发展指标、重点任务、保障措施有效落实。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省民政厅、省残联牵头，其他有关部门按职责分工负责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重　点　任　务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责　任　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9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推动拥军优抚领域发展指标、重点任务、保障措施有效落实。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省退役军人事务厅牵头，其他有关部门按职责分工负责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10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推动文化旅游体育领域发展指标、重点任务、保障措施有效落实。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省委宣传部、省文旅厅、省广电局、省体育局、省文物局分别牵头，其他有关部门按职责分工负责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11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促进巩固拓展脱贫攻坚成果与乡村振兴有效衔接。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省扶贫办牵头，其他有关部门按职责分工负责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12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促进基本公共服务城镇常住人口全覆盖。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省公安厅牵头，其他有关部门按职责分工负责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13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缩小城乡基本公共服务差距，提高区域服务均等化水平，夯实基层服务基础。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省发展改革委、省财政厅牵头，其他有关部门按职责分工负责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14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积极引导社会力量参与基本公共服务供给，加强政府和社会资本合作。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省财政厅、省发展改革委牵头，其他有关部门按职责分工负责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15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加大财政对基本公共服务的投入力度，优化转移支付结构，提高资金使用效率。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省财政厅牵头，其他有关部门按职责分工负责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16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加强公共服务人才培养培训。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省教育厅、省人力资源社会保障厅牵头，其他有关部门按职责分工负责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17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促进公共服务人才合理流动，提升基层人员能力。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省人力资源社会保障厅牵头，其他有关部门按职责分工负责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重　点　任　务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责　任　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18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加强公共服务设施规划布局和用地保障。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省自然资源厅牵头，其他有关部门按职责分工负责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19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加强公共服务行业自律和社会监督，强化社会信用体系支撑。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省发展改革委牵头，其他有关部门按职责分工负责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20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建立健全公共服务统计监测和综合评估指标体系。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省发展改革委、省统计局牵头，其他有关部门按职责分工负责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tblHeader/>
          <w:jc w:val="center"/>
        </w:trPr>
        <w:tc>
          <w:tcPr>
            <w:tcW w:w="9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21</w:t>
            </w:r>
          </w:p>
        </w:tc>
        <w:tc>
          <w:tcPr>
            <w:tcW w:w="485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组织规划评估，加强绩效评价和监督问责。</w:t>
            </w:r>
          </w:p>
        </w:tc>
        <w:tc>
          <w:tcPr>
            <w:tcW w:w="28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省发展改革委牵头，地方各级人民政府和其他有关部门按职责分工负责</w:t>
            </w:r>
          </w:p>
        </w:tc>
      </w:tr>
    </w:tbl>
    <w:p/>
    <w:p/>
    <w:p/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7763"/>
    <w:rsid w:val="001B4D42"/>
    <w:rsid w:val="004066BF"/>
    <w:rsid w:val="00DA0CB6"/>
    <w:rsid w:val="00DE7775"/>
    <w:rsid w:val="0A8D7763"/>
    <w:rsid w:val="18C259C2"/>
    <w:rsid w:val="1D52151B"/>
    <w:rsid w:val="22573396"/>
    <w:rsid w:val="292E5F3B"/>
    <w:rsid w:val="32835B6C"/>
    <w:rsid w:val="32DE56F5"/>
    <w:rsid w:val="36CE5710"/>
    <w:rsid w:val="7FB5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10</TotalTime>
  <ScaleCrop>false</ScaleCrop>
  <LinksUpToDate>false</LinksUpToDate>
  <CharactersWithSpaces>1271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2021-01-27T22:41:00Z</dcterms:created>
  <dc:creator>作者</dc:creator>
  <cp:lastModifiedBy>作者</cp:lastModifiedBy>
  <cp:lastPrinted>2021-01-11T00:41:00Z</cp:lastPrinted>
  <dcterms:modified xsi:type="dcterms:W3CDTF">2021-04-30T09:30:57Z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