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tbl>
      <w:tblPr>
        <w:tblStyle w:val="3"/>
        <w:tblW w:w="88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0"/>
        <w:gridCol w:w="936"/>
        <w:gridCol w:w="1092"/>
        <w:gridCol w:w="1092"/>
        <w:gridCol w:w="1248"/>
        <w:gridCol w:w="936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附件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方正小标宋简体" w:hAnsi="Times New Roman" w:eastAsia="方正小标宋简体" w:cs="Times New Roman"/>
              </w:rPr>
            </w:pPr>
            <w:r>
              <w:rPr>
                <w:rFonts w:hint="eastAsia" w:ascii="方正小标宋简体" w:hAnsi="Times New Roman" w:eastAsia="方正小标宋简体" w:cs="Times New Roman"/>
              </w:rPr>
              <w:t>榆能杨伙盘煤电一体化电厂项目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</w:rPr>
              <w:t>招标投标事项核准意见表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招标范围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招标组织形式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招标方式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不采用    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全部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部分 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自行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委托 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公开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邀请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勘  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设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监  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建筑工程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安装工程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主要设备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重要材料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    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1858"/>
    <w:rsid w:val="4270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2020-06-04T07:35:00Z</dcterms:created>
  <dc:creator>Dell</dc:creator>
  <cp:lastModifiedBy>Dell</cp:lastModifiedBy>
  <dcterms:modified xsi:type="dcterms:W3CDTF">2020-06-04T07:35:47Z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